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77602">
      <w:pPr>
        <w:spacing w:line="800" w:lineRule="exact"/>
        <w:rPr>
          <w:rFonts w:ascii="宋体"/>
        </w:rPr>
      </w:pPr>
    </w:p>
    <w:p w14:paraId="4F797760">
      <w:pPr>
        <w:pStyle w:val="3"/>
        <w:spacing w:line="1000" w:lineRule="exact"/>
        <w:jc w:val="center"/>
        <w:rPr>
          <w:rFonts w:hAnsi="宋体"/>
          <w:spacing w:val="30"/>
          <w:kern w:val="52"/>
          <w:sz w:val="64"/>
          <w:szCs w:val="64"/>
        </w:rPr>
      </w:pPr>
      <w:r>
        <w:rPr>
          <w:rFonts w:hint="eastAsia" w:hAnsi="宋体"/>
          <w:spacing w:val="30"/>
          <w:kern w:val="52"/>
          <w:sz w:val="64"/>
          <w:szCs w:val="64"/>
        </w:rPr>
        <w:t>南宁市卫生学</w:t>
      </w:r>
      <w:bookmarkStart w:id="97" w:name="_GoBack"/>
      <w:bookmarkEnd w:id="97"/>
      <w:r>
        <w:rPr>
          <w:rFonts w:hint="eastAsia" w:hAnsi="宋体"/>
          <w:spacing w:val="30"/>
          <w:kern w:val="52"/>
          <w:sz w:val="64"/>
          <w:szCs w:val="64"/>
        </w:rPr>
        <w:t>校</w:t>
      </w:r>
      <w:r>
        <w:rPr>
          <w:rFonts w:hint="eastAsia" w:hAnsi="宋体"/>
          <w:spacing w:val="30"/>
          <w:kern w:val="52"/>
          <w:sz w:val="64"/>
          <w:szCs w:val="64"/>
        </w:rPr>
        <mc:AlternateContent>
          <mc:Choice Requires="wps">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5486400" cy="12700"/>
                <wp:effectExtent l="0" t="0" r="0" b="0"/>
                <wp:wrapNone/>
                <wp:docPr id="1" name="_x0000_s1037"/>
                <wp:cNvGraphicFramePr/>
                <a:graphic xmlns:a="http://schemas.openxmlformats.org/drawingml/2006/main">
                  <a:graphicData uri="http://schemas.microsoft.com/office/word/2010/wordprocessingShape">
                    <wps:wsp>
                      <wps:cNvCnPr/>
                      <wps:spPr>
                        <a:xfrm>
                          <a:off x="114300" y="98425"/>
                          <a:ext cx="5486400" cy="12700"/>
                        </a:xfrm>
                        <a:prstGeom prst="line">
                          <a:avLst/>
                        </a:prstGeom>
                        <a:ln w="12700">
                          <a:solidFill>
                            <a:prstClr val="white"/>
                          </a:solidFill>
                        </a:ln>
                      </wps:spPr>
                      <wps:bodyPr/>
                    </wps:wsp>
                  </a:graphicData>
                </a:graphic>
              </wp:anchor>
            </w:drawing>
          </mc:Choice>
          <mc:Fallback>
            <w:pict>
              <v:line id="_x0000_s1037" o:spid="_x0000_s1026" o:spt="20" style="position:absolute;left:0pt;margin-left:0pt;margin-top:0pt;height:1pt;width:432pt;z-index:251660288;mso-width-relative:page;mso-height-relative:page;" filled="f" stroked="t" coordsize="21600,21600" o:gfxdata="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Jph0FrTAAAAAwEAAA8A&#10;AAAAAAAAAQAgAAAAIgAAAGRycy9kb3ducmV2LnhtbFBLAQIUABQAAAAIAIdO4kD1jTrZqgEAAF0D&#10;AAAOAAAAAAAAAAEAIAAAACIBAABkcnMvZTJvRG9jLnhtbFBLBQYAAAAABgAGAFkBAAA+BQAAAAA=&#10;">
                <v:fill on="f" focussize="0,0"/>
                <v:stroke weight="1pt" color="#FFFFFF" joinstyle="round"/>
                <v:imagedata o:title=""/>
                <o:lock v:ext="edit" aspectratio="f"/>
              </v:line>
            </w:pict>
          </mc:Fallback>
        </mc:AlternateContent>
      </w:r>
      <w:r>
        <w:rPr>
          <w:rFonts w:hint="eastAsia" w:hAnsi="宋体"/>
          <w:spacing w:val="30"/>
          <w:kern w:val="52"/>
          <w:sz w:val="64"/>
          <w:szCs w:val="64"/>
        </w:rPr>
        <w:t>采购文件</w:t>
      </w:r>
    </w:p>
    <w:p w14:paraId="75BB426A">
      <w:pPr>
        <w:pStyle w:val="3"/>
        <w:spacing w:line="800" w:lineRule="exact"/>
        <w:jc w:val="center"/>
        <w:rPr>
          <w:rFonts w:hAnsi="宋体"/>
          <w:b/>
        </w:rPr>
      </w:pPr>
    </w:p>
    <w:p w14:paraId="0725ED7F">
      <w:pPr>
        <w:pStyle w:val="3"/>
        <w:spacing w:line="400" w:lineRule="exact"/>
        <w:jc w:val="center"/>
        <w:rPr>
          <w:rFonts w:hAnsi="宋体"/>
          <w:b/>
        </w:rPr>
      </w:pPr>
    </w:p>
    <w:p w14:paraId="752F9FB4">
      <w:pPr>
        <w:pStyle w:val="3"/>
        <w:spacing w:line="400" w:lineRule="exact"/>
        <w:jc w:val="center"/>
        <w:rPr>
          <w:rFonts w:hAnsi="宋体"/>
          <w:b/>
        </w:rPr>
      </w:pPr>
    </w:p>
    <w:p w14:paraId="425CBA94">
      <w:pPr>
        <w:pStyle w:val="3"/>
        <w:spacing w:line="400" w:lineRule="exact"/>
        <w:jc w:val="center"/>
        <w:rPr>
          <w:rFonts w:hAnsi="宋体"/>
          <w:b/>
        </w:rPr>
      </w:pPr>
    </w:p>
    <w:p w14:paraId="7F65FC89">
      <w:pPr>
        <w:snapToGrid w:val="0"/>
        <w:spacing w:before="156" w:line="400" w:lineRule="exact"/>
        <w:rPr>
          <w:rFonts w:ascii="宋体" w:hAnsi="宋体"/>
          <w:b/>
          <w:sz w:val="32"/>
          <w:szCs w:val="32"/>
        </w:rPr>
      </w:pPr>
    </w:p>
    <w:p w14:paraId="50659240">
      <w:pPr>
        <w:snapToGrid w:val="0"/>
        <w:spacing w:line="500" w:lineRule="exact"/>
        <w:ind w:firstLine="0" w:firstLineChars="0"/>
        <w:jc w:val="center"/>
        <w:rPr>
          <w:rFonts w:ascii="仿宋_GB2312" w:hAnsi="仿宋_GB2312" w:eastAsia="仿宋_GB2312" w:cs="仿宋_GB2312"/>
          <w:bCs/>
          <w:sz w:val="30"/>
          <w:szCs w:val="30"/>
          <w14:ligatures w14:val="standardContextual"/>
        </w:rPr>
      </w:pPr>
      <w:r>
        <w:rPr>
          <w:rFonts w:hint="eastAsia" w:ascii="宋体" w:hAnsi="宋体"/>
          <w:b/>
          <w:sz w:val="32"/>
          <w:szCs w:val="32"/>
        </w:rPr>
        <w:t>项目名称：南宁市卫生学校</w:t>
      </w:r>
      <w:r>
        <w:rPr>
          <w:rFonts w:hint="eastAsia" w:ascii="宋体" w:hAnsi="宋体" w:eastAsia="宋体" w:cs="Times New Roman"/>
          <w:b/>
          <w:bCs w:val="0"/>
          <w:sz w:val="32"/>
          <w:szCs w:val="32"/>
          <w14:ligatures w14:val="none"/>
        </w:rPr>
        <w:t>设备维保子项</w:t>
      </w:r>
      <w:r>
        <w:rPr>
          <w:rFonts w:hint="eastAsia" w:ascii="宋体" w:hAnsi="宋体" w:eastAsia="宋体" w:cs="Times New Roman"/>
          <w:b/>
          <w:bCs w:val="0"/>
          <w:sz w:val="32"/>
          <w:szCs w:val="32"/>
          <w:lang w:val="en-US" w:eastAsia="zh-CN"/>
          <w14:ligatures w14:val="none"/>
        </w:rPr>
        <w:t>1</w:t>
      </w:r>
      <w:r>
        <w:rPr>
          <w:rFonts w:hint="eastAsia" w:ascii="宋体" w:hAnsi="宋体" w:eastAsia="宋体" w:cs="Times New Roman"/>
          <w:b/>
          <w:bCs w:val="0"/>
          <w:sz w:val="32"/>
          <w:szCs w:val="32"/>
          <w:lang w:eastAsia="zh-CN"/>
          <w14:ligatures w14:val="none"/>
        </w:rPr>
        <w:t>配电</w:t>
      </w:r>
      <w:r>
        <w:rPr>
          <w:rFonts w:hint="eastAsia" w:ascii="宋体" w:hAnsi="宋体" w:cs="Times New Roman"/>
          <w:b/>
          <w:bCs w:val="0"/>
          <w:sz w:val="32"/>
          <w:szCs w:val="32"/>
          <w:lang w:eastAsia="zh-CN"/>
          <w14:ligatures w14:val="none"/>
        </w:rPr>
        <w:t>系统</w:t>
      </w:r>
      <w:r>
        <w:rPr>
          <w:rFonts w:hint="eastAsia" w:ascii="宋体" w:hAnsi="宋体" w:eastAsia="宋体" w:cs="Times New Roman"/>
          <w:b/>
          <w:bCs w:val="0"/>
          <w:sz w:val="32"/>
          <w:szCs w:val="32"/>
          <w:lang w:eastAsia="zh-CN"/>
          <w14:ligatures w14:val="none"/>
        </w:rPr>
        <w:t>运维</w:t>
      </w:r>
      <w:r>
        <w:rPr>
          <w:rFonts w:hint="eastAsia" w:ascii="宋体" w:hAnsi="宋体" w:eastAsia="宋体" w:cs="Times New Roman"/>
          <w:b/>
          <w:bCs w:val="0"/>
          <w:sz w:val="32"/>
          <w:szCs w:val="32"/>
          <w14:ligatures w14:val="none"/>
        </w:rPr>
        <w:t>项目</w:t>
      </w:r>
    </w:p>
    <w:p w14:paraId="63B7F800">
      <w:pPr>
        <w:spacing w:line="400" w:lineRule="exact"/>
        <w:jc w:val="center"/>
        <w:rPr>
          <w:rFonts w:ascii="宋体" w:hAnsi="宋体"/>
          <w:b/>
          <w:sz w:val="32"/>
          <w:szCs w:val="32"/>
        </w:rPr>
      </w:pPr>
    </w:p>
    <w:p w14:paraId="259F00B6">
      <w:pPr>
        <w:snapToGrid w:val="0"/>
        <w:spacing w:before="156" w:line="400" w:lineRule="exact"/>
        <w:jc w:val="center"/>
        <w:rPr>
          <w:rFonts w:ascii="宋体" w:hAnsi="宋体"/>
          <w:b/>
          <w:sz w:val="32"/>
          <w:szCs w:val="32"/>
        </w:rPr>
      </w:pPr>
    </w:p>
    <w:p w14:paraId="72BBEE41">
      <w:pPr>
        <w:snapToGrid w:val="0"/>
        <w:spacing w:before="156" w:line="400" w:lineRule="exact"/>
        <w:ind w:left="3154" w:leftChars="740" w:hanging="1600" w:hangingChars="500"/>
        <w:rPr>
          <w:rFonts w:ascii="宋体" w:hAnsi="宋体"/>
          <w:b/>
          <w:sz w:val="32"/>
          <w:szCs w:val="32"/>
        </w:rPr>
      </w:pPr>
    </w:p>
    <w:p w14:paraId="02F63768">
      <w:pPr>
        <w:pStyle w:val="3"/>
        <w:spacing w:line="400" w:lineRule="exact"/>
        <w:jc w:val="center"/>
        <w:rPr>
          <w:rFonts w:hAnsi="宋体"/>
          <w:b/>
        </w:rPr>
      </w:pPr>
    </w:p>
    <w:p w14:paraId="0D8F0D84">
      <w:pPr>
        <w:pStyle w:val="3"/>
        <w:spacing w:line="400" w:lineRule="exact"/>
        <w:jc w:val="center"/>
        <w:rPr>
          <w:rFonts w:hAnsi="宋体"/>
          <w:b/>
        </w:rPr>
      </w:pPr>
    </w:p>
    <w:p w14:paraId="7DA60841">
      <w:pPr>
        <w:pStyle w:val="3"/>
        <w:spacing w:line="400" w:lineRule="exact"/>
        <w:jc w:val="center"/>
        <w:rPr>
          <w:rFonts w:hAnsi="宋体"/>
          <w:b/>
        </w:rPr>
      </w:pPr>
    </w:p>
    <w:p w14:paraId="4DC679B4">
      <w:pPr>
        <w:pStyle w:val="3"/>
        <w:spacing w:line="400" w:lineRule="exact"/>
        <w:jc w:val="center"/>
        <w:rPr>
          <w:rFonts w:hAnsi="宋体"/>
          <w:b/>
        </w:rPr>
      </w:pPr>
    </w:p>
    <w:p w14:paraId="276C474F">
      <w:pPr>
        <w:pStyle w:val="3"/>
        <w:spacing w:line="400" w:lineRule="exact"/>
        <w:jc w:val="center"/>
        <w:rPr>
          <w:rFonts w:hAnsi="宋体"/>
          <w:b/>
        </w:rPr>
      </w:pPr>
    </w:p>
    <w:p w14:paraId="74AA8339">
      <w:pPr>
        <w:pStyle w:val="3"/>
        <w:spacing w:line="400" w:lineRule="exact"/>
        <w:jc w:val="center"/>
        <w:rPr>
          <w:rFonts w:hAnsi="宋体"/>
          <w:b/>
        </w:rPr>
      </w:pPr>
    </w:p>
    <w:p w14:paraId="76FA45AA">
      <w:pPr>
        <w:pStyle w:val="3"/>
        <w:spacing w:line="400" w:lineRule="exact"/>
        <w:jc w:val="center"/>
        <w:rPr>
          <w:rFonts w:hAnsi="宋体"/>
          <w:b/>
        </w:rPr>
      </w:pPr>
    </w:p>
    <w:p w14:paraId="32CE6E3C">
      <w:pPr>
        <w:pStyle w:val="3"/>
        <w:spacing w:line="400" w:lineRule="exact"/>
        <w:jc w:val="center"/>
        <w:rPr>
          <w:rFonts w:hAnsi="宋体"/>
          <w:b/>
        </w:rPr>
      </w:pPr>
    </w:p>
    <w:p w14:paraId="4B67D03B">
      <w:pPr>
        <w:pStyle w:val="3"/>
        <w:spacing w:line="400" w:lineRule="exact"/>
        <w:jc w:val="center"/>
        <w:rPr>
          <w:rFonts w:hAnsi="宋体"/>
          <w:b/>
        </w:rPr>
      </w:pPr>
    </w:p>
    <w:p w14:paraId="6971E061">
      <w:pPr>
        <w:pStyle w:val="3"/>
        <w:spacing w:line="400" w:lineRule="exact"/>
        <w:jc w:val="center"/>
        <w:rPr>
          <w:rFonts w:hAnsi="宋体"/>
          <w:b/>
        </w:rPr>
      </w:pPr>
    </w:p>
    <w:p w14:paraId="44820D65">
      <w:pPr>
        <w:pStyle w:val="3"/>
        <w:spacing w:line="400" w:lineRule="exact"/>
        <w:jc w:val="center"/>
        <w:rPr>
          <w:rFonts w:hAnsi="宋体"/>
          <w:b/>
        </w:rPr>
      </w:pPr>
    </w:p>
    <w:p w14:paraId="0E9B33C2">
      <w:pPr>
        <w:pStyle w:val="3"/>
        <w:spacing w:line="400" w:lineRule="exact"/>
        <w:jc w:val="center"/>
        <w:rPr>
          <w:rFonts w:hAnsi="宋体"/>
          <w:b/>
        </w:rPr>
      </w:pPr>
    </w:p>
    <w:p w14:paraId="39A53357">
      <w:pPr>
        <w:pStyle w:val="3"/>
        <w:spacing w:line="400" w:lineRule="exact"/>
        <w:rPr>
          <w:rFonts w:hAnsi="宋体"/>
          <w:b/>
        </w:rPr>
      </w:pPr>
    </w:p>
    <w:p w14:paraId="6176F63C">
      <w:pPr>
        <w:pStyle w:val="3"/>
        <w:spacing w:line="400" w:lineRule="exact"/>
        <w:jc w:val="center"/>
        <w:rPr>
          <w:rFonts w:hAnsi="宋体"/>
          <w:b/>
        </w:rPr>
      </w:pPr>
    </w:p>
    <w:p w14:paraId="33E3F6DA">
      <w:pPr>
        <w:snapToGrid w:val="0"/>
        <w:spacing w:before="156" w:line="400" w:lineRule="exact"/>
        <w:ind w:firstLine="2576" w:firstLineChars="805"/>
        <w:rPr>
          <w:rFonts w:ascii="宋体" w:hAnsi="宋体"/>
          <w:b/>
          <w:sz w:val="32"/>
          <w:szCs w:val="32"/>
        </w:rPr>
      </w:pPr>
      <w:r>
        <w:rPr>
          <w:rFonts w:hint="eastAsia" w:ascii="宋体" w:hAnsi="宋体"/>
          <w:b/>
          <w:sz w:val="32"/>
          <w:szCs w:val="32"/>
        </w:rPr>
        <w:t xml:space="preserve">采购人：南宁市卫生学校 </w:t>
      </w:r>
    </w:p>
    <w:p w14:paraId="24786A9D">
      <w:pPr>
        <w:snapToGrid w:val="0"/>
        <w:spacing w:before="156" w:line="400" w:lineRule="exact"/>
        <w:jc w:val="center"/>
        <w:rPr>
          <w:rFonts w:ascii="宋体" w:hAnsi="宋体"/>
          <w:b/>
          <w:sz w:val="32"/>
          <w:szCs w:val="32"/>
        </w:rPr>
      </w:pPr>
      <w:r>
        <w:rPr>
          <w:rFonts w:ascii="宋体" w:hAnsi="宋体"/>
          <w:b/>
          <w:sz w:val="32"/>
          <w:szCs w:val="32"/>
        </w:rPr>
        <w:t>202</w:t>
      </w:r>
      <w:r>
        <w:rPr>
          <w:rFonts w:hint="eastAsia" w:ascii="宋体" w:hAnsi="宋体"/>
          <w:b/>
          <w:sz w:val="32"/>
          <w:szCs w:val="32"/>
        </w:rPr>
        <w:t>6年6月</w:t>
      </w:r>
    </w:p>
    <w:p w14:paraId="4FB38D7B">
      <w:pPr>
        <w:snapToGrid w:val="0"/>
        <w:spacing w:before="156" w:line="400" w:lineRule="exact"/>
        <w:jc w:val="center"/>
        <w:rPr>
          <w:rFonts w:ascii="宋体" w:hAnsi="宋体"/>
          <w:b/>
          <w:sz w:val="32"/>
          <w:szCs w:val="32"/>
        </w:rPr>
      </w:pPr>
    </w:p>
    <w:p w14:paraId="3305C97E">
      <w:pPr>
        <w:snapToGrid w:val="0"/>
        <w:spacing w:before="156" w:line="400" w:lineRule="exact"/>
        <w:jc w:val="center"/>
        <w:rPr>
          <w:rFonts w:ascii="宋体" w:hAnsi="宋体"/>
          <w:b/>
          <w:sz w:val="32"/>
          <w:szCs w:val="32"/>
        </w:rPr>
      </w:pPr>
    </w:p>
    <w:p w14:paraId="12523A35">
      <w:pPr>
        <w:snapToGrid w:val="0"/>
        <w:spacing w:before="156" w:line="400" w:lineRule="exact"/>
        <w:jc w:val="center"/>
        <w:rPr>
          <w:rFonts w:ascii="宋体" w:hAnsi="宋体"/>
          <w:b/>
          <w:sz w:val="32"/>
          <w:szCs w:val="32"/>
        </w:rPr>
      </w:pPr>
    </w:p>
    <w:p w14:paraId="460B19A0">
      <w:pPr>
        <w:snapToGrid w:val="0"/>
        <w:spacing w:before="156" w:line="400" w:lineRule="exact"/>
        <w:jc w:val="center"/>
        <w:rPr>
          <w:rFonts w:ascii="宋体" w:hAnsi="宋体"/>
          <w:b/>
          <w:sz w:val="32"/>
          <w:szCs w:val="32"/>
        </w:rPr>
      </w:pPr>
    </w:p>
    <w:p w14:paraId="5C53F36C">
      <w:pPr>
        <w:spacing w:line="480" w:lineRule="auto"/>
        <w:jc w:val="center"/>
        <w:rPr>
          <w:rFonts w:ascii="宋体" w:hAnsi="宋体"/>
          <w:sz w:val="44"/>
          <w:szCs w:val="52"/>
        </w:rPr>
      </w:pPr>
      <w:r>
        <w:rPr>
          <w:rFonts w:ascii="宋体" w:hAnsi="宋体"/>
          <w:sz w:val="44"/>
          <w:szCs w:val="52"/>
        </w:rPr>
        <w:t>目</w:t>
      </w:r>
      <w:r>
        <w:rPr>
          <w:rFonts w:hint="eastAsia" w:ascii="宋体" w:hAnsi="宋体"/>
          <w:sz w:val="44"/>
          <w:szCs w:val="52"/>
        </w:rPr>
        <w:t xml:space="preserve">  </w:t>
      </w:r>
      <w:r>
        <w:rPr>
          <w:rFonts w:ascii="宋体" w:hAnsi="宋体"/>
          <w:sz w:val="44"/>
          <w:szCs w:val="52"/>
        </w:rPr>
        <w:t>录</w:t>
      </w:r>
    </w:p>
    <w:p w14:paraId="7A0A9195">
      <w:pPr>
        <w:pStyle w:val="22"/>
        <w:ind w:firstLine="864"/>
        <w:rPr>
          <w:rFonts w:hAnsi="宋体"/>
          <w:sz w:val="44"/>
          <w:szCs w:val="52"/>
        </w:rPr>
      </w:pPr>
    </w:p>
    <w:p w14:paraId="61953235">
      <w:pPr>
        <w:pStyle w:val="22"/>
        <w:ind w:firstLine="864"/>
        <w:rPr>
          <w:rFonts w:hAnsi="宋体"/>
          <w:sz w:val="44"/>
          <w:szCs w:val="52"/>
        </w:rPr>
      </w:pPr>
    </w:p>
    <w:p w14:paraId="6B1C576F">
      <w:pPr>
        <w:pStyle w:val="22"/>
        <w:ind w:firstLine="864"/>
        <w:rPr>
          <w:rFonts w:hAnsi="宋体"/>
          <w:sz w:val="44"/>
          <w:szCs w:val="52"/>
        </w:rPr>
      </w:pPr>
    </w:p>
    <w:p w14:paraId="6A3D08C5">
      <w:pPr>
        <w:pStyle w:val="15"/>
        <w:tabs>
          <w:tab w:val="clear" w:pos="8398"/>
        </w:tabs>
        <w:spacing w:line="560" w:lineRule="exact"/>
        <w:ind w:firstLine="281"/>
        <w:rPr>
          <w:sz w:val="28"/>
          <w:szCs w:val="28"/>
        </w:rPr>
      </w:pPr>
      <w:r>
        <w:rPr>
          <w:rFonts w:hint="eastAsia"/>
          <w:sz w:val="28"/>
          <w:szCs w:val="28"/>
        </w:rPr>
        <w:fldChar w:fldCharType="begin"/>
      </w:r>
      <w:r>
        <w:rPr>
          <w:rFonts w:hint="eastAsia"/>
          <w:sz w:val="28"/>
          <w:szCs w:val="28"/>
        </w:rPr>
        <w:instrText xml:space="preserve">TOC \o "1-1" \h \u </w:instrText>
      </w:r>
      <w:r>
        <w:rPr>
          <w:rFonts w:hint="eastAsia"/>
          <w:sz w:val="28"/>
          <w:szCs w:val="28"/>
        </w:rPr>
        <w:fldChar w:fldCharType="separate"/>
      </w:r>
      <w:r>
        <w:fldChar w:fldCharType="begin"/>
      </w:r>
      <w:r>
        <w:instrText xml:space="preserve"> HYPERLINK \l "_Toc18486" </w:instrText>
      </w:r>
      <w:r>
        <w:fldChar w:fldCharType="separate"/>
      </w:r>
      <w:r>
        <w:rPr>
          <w:rFonts w:hint="eastAsia"/>
          <w:sz w:val="28"/>
          <w:szCs w:val="28"/>
        </w:rPr>
        <w:t>第一章  公告及须知</w:t>
      </w:r>
      <w:r>
        <w:tab/>
      </w:r>
      <w:r>
        <w:fldChar w:fldCharType="end"/>
      </w:r>
    </w:p>
    <w:p w14:paraId="00C379CC">
      <w:pPr>
        <w:pStyle w:val="15"/>
        <w:tabs>
          <w:tab w:val="clear" w:pos="8398"/>
        </w:tabs>
        <w:spacing w:line="560" w:lineRule="exact"/>
        <w:ind w:firstLine="241"/>
        <w:rPr>
          <w:sz w:val="28"/>
          <w:szCs w:val="28"/>
        </w:rPr>
      </w:pPr>
      <w:r>
        <w:fldChar w:fldCharType="begin"/>
      </w:r>
      <w:r>
        <w:instrText xml:space="preserve"> HYPERLINK \l "_Toc18331" </w:instrText>
      </w:r>
      <w:r>
        <w:fldChar w:fldCharType="separate"/>
      </w:r>
      <w:r>
        <w:rPr>
          <w:rFonts w:hint="eastAsia"/>
          <w:sz w:val="28"/>
          <w:szCs w:val="28"/>
        </w:rPr>
        <w:t>第二章  采购项目需求一览表</w:t>
      </w:r>
      <w:r>
        <w:tab/>
      </w:r>
      <w:r>
        <w:fldChar w:fldCharType="end"/>
      </w:r>
    </w:p>
    <w:p w14:paraId="6349B18C">
      <w:pPr>
        <w:pStyle w:val="15"/>
        <w:tabs>
          <w:tab w:val="clear" w:pos="8398"/>
        </w:tabs>
        <w:spacing w:line="560" w:lineRule="exact"/>
        <w:ind w:firstLine="241"/>
        <w:rPr>
          <w:sz w:val="28"/>
          <w:szCs w:val="28"/>
        </w:rPr>
      </w:pPr>
      <w:r>
        <w:fldChar w:fldCharType="begin"/>
      </w:r>
      <w:r>
        <w:instrText xml:space="preserve"> HYPERLINK \l "_Toc17870" </w:instrText>
      </w:r>
      <w:r>
        <w:fldChar w:fldCharType="separate"/>
      </w:r>
      <w:r>
        <w:rPr>
          <w:rFonts w:hint="eastAsia"/>
          <w:sz w:val="28"/>
          <w:szCs w:val="28"/>
        </w:rPr>
        <w:t xml:space="preserve">第三章  </w:t>
      </w:r>
      <w:r>
        <w:rPr>
          <w:rFonts w:hint="eastAsia"/>
          <w:sz w:val="28"/>
          <w:szCs w:val="28"/>
        </w:rPr>
        <w:fldChar w:fldCharType="end"/>
      </w:r>
      <w:r>
        <w:rPr>
          <w:rFonts w:hint="eastAsia"/>
          <w:sz w:val="28"/>
          <w:szCs w:val="28"/>
        </w:rPr>
        <w:t>评审方法</w:t>
      </w:r>
    </w:p>
    <w:p w14:paraId="7E713865">
      <w:pPr>
        <w:pStyle w:val="15"/>
        <w:tabs>
          <w:tab w:val="clear" w:pos="8398"/>
        </w:tabs>
        <w:spacing w:line="560" w:lineRule="exact"/>
        <w:ind w:firstLine="241"/>
        <w:rPr>
          <w:sz w:val="28"/>
          <w:szCs w:val="28"/>
        </w:rPr>
      </w:pPr>
      <w:r>
        <w:fldChar w:fldCharType="begin"/>
      </w:r>
      <w:r>
        <w:instrText xml:space="preserve"> HYPERLINK \l "_Toc21693" </w:instrText>
      </w:r>
      <w:r>
        <w:fldChar w:fldCharType="separate"/>
      </w:r>
      <w:r>
        <w:rPr>
          <w:rFonts w:hint="eastAsia"/>
          <w:sz w:val="28"/>
          <w:szCs w:val="28"/>
        </w:rPr>
        <w:t xml:space="preserve">第四章 </w:t>
      </w:r>
      <w:r>
        <w:tab/>
      </w:r>
      <w:r>
        <w:fldChar w:fldCharType="end"/>
      </w:r>
      <w:r>
        <w:rPr>
          <w:rFonts w:hint="eastAsia"/>
          <w:sz w:val="28"/>
          <w:szCs w:val="28"/>
        </w:rPr>
        <w:t>响应文件及格式</w:t>
      </w:r>
      <w:r>
        <w:tab/>
      </w:r>
    </w:p>
    <w:p w14:paraId="545B8027">
      <w:pPr>
        <w:spacing w:line="560" w:lineRule="exact"/>
        <w:rPr>
          <w:rFonts w:ascii="宋体" w:hAnsi="宋体"/>
          <w:sz w:val="28"/>
          <w:szCs w:val="28"/>
        </w:rPr>
      </w:pPr>
      <w:r>
        <w:rPr>
          <w:rFonts w:hint="eastAsia" w:ascii="宋体" w:hAnsi="宋体"/>
          <w:sz w:val="28"/>
          <w:szCs w:val="28"/>
        </w:rPr>
        <w:fldChar w:fldCharType="end"/>
      </w:r>
    </w:p>
    <w:p w14:paraId="3F46F402">
      <w:pPr>
        <w:pStyle w:val="3"/>
        <w:spacing w:line="480" w:lineRule="auto"/>
        <w:ind w:left="840" w:leftChars="400"/>
        <w:rPr>
          <w:rFonts w:hAnsi="宋体"/>
          <w:sz w:val="32"/>
          <w:szCs w:val="32"/>
        </w:rPr>
      </w:pPr>
    </w:p>
    <w:p w14:paraId="47383DA6">
      <w:pPr>
        <w:pStyle w:val="3"/>
        <w:spacing w:line="400" w:lineRule="exact"/>
        <w:ind w:left="411" w:leftChars="196"/>
        <w:rPr>
          <w:rFonts w:hAnsi="宋体"/>
          <w:sz w:val="32"/>
        </w:rPr>
      </w:pPr>
    </w:p>
    <w:p w14:paraId="6909EA28">
      <w:pPr>
        <w:tabs>
          <w:tab w:val="center" w:pos="4535"/>
          <w:tab w:val="left" w:pos="6945"/>
        </w:tabs>
        <w:spacing w:line="400" w:lineRule="exact"/>
        <w:jc w:val="right"/>
        <w:rPr>
          <w:rFonts w:ascii="宋体" w:hAnsi="宋体"/>
          <w:sz w:val="36"/>
          <w:szCs w:val="36"/>
        </w:rPr>
      </w:pPr>
      <w:r>
        <w:tab/>
      </w:r>
    </w:p>
    <w:p w14:paraId="70292392">
      <w:pPr>
        <w:snapToGrid w:val="0"/>
        <w:spacing w:before="156" w:line="400" w:lineRule="exact"/>
        <w:rPr>
          <w:rFonts w:ascii="宋体" w:hAnsi="宋体"/>
          <w:b/>
          <w:sz w:val="32"/>
          <w:szCs w:val="32"/>
        </w:rPr>
        <w:sectPr>
          <w:headerReference r:id="rId5" w:type="default"/>
          <w:footerReference r:id="rId6" w:type="default"/>
          <w:footerReference r:id="rId7" w:type="even"/>
          <w:pgSz w:w="11906" w:h="16838"/>
          <w:pgMar w:top="1418" w:right="1418" w:bottom="1418" w:left="1418" w:header="709" w:footer="709" w:gutter="0"/>
          <w:cols w:space="720" w:num="1"/>
          <w:titlePg/>
          <w:docGrid w:type="linesAndChars" w:linePitch="312" w:charSpace="0"/>
        </w:sectPr>
      </w:pPr>
    </w:p>
    <w:p w14:paraId="69885CEA">
      <w:pPr>
        <w:tabs>
          <w:tab w:val="center" w:pos="4535"/>
          <w:tab w:val="left" w:pos="6945"/>
        </w:tabs>
        <w:spacing w:line="400" w:lineRule="exact"/>
        <w:jc w:val="center"/>
        <w:rPr>
          <w:b/>
          <w:bCs/>
          <w:sz w:val="32"/>
          <w:szCs w:val="32"/>
        </w:rPr>
      </w:pPr>
      <w:bookmarkStart w:id="0" w:name="_Toc66377097"/>
      <w:bookmarkStart w:id="1" w:name="_Toc18486"/>
      <w:bookmarkStart w:id="2" w:name="_Toc411"/>
      <w:r>
        <w:rPr>
          <w:rFonts w:hint="eastAsia"/>
          <w:b/>
          <w:bCs/>
          <w:sz w:val="32"/>
          <w:szCs w:val="32"/>
        </w:rPr>
        <w:t>第一章  采购公告</w:t>
      </w:r>
      <w:bookmarkEnd w:id="0"/>
      <w:bookmarkEnd w:id="1"/>
      <w:bookmarkEnd w:id="2"/>
    </w:p>
    <w:p w14:paraId="04557262">
      <w:pPr>
        <w:pStyle w:val="3"/>
        <w:spacing w:line="400" w:lineRule="exact"/>
        <w:jc w:val="center"/>
        <w:rPr>
          <w:rFonts w:hAnsi="宋体"/>
          <w:b/>
          <w:sz w:val="32"/>
          <w:szCs w:val="32"/>
        </w:rPr>
      </w:pPr>
    </w:p>
    <w:p w14:paraId="28E6BC5B">
      <w:pPr>
        <w:spacing w:line="400" w:lineRule="exact"/>
        <w:rPr>
          <w:rFonts w:ascii="宋体" w:hAnsi="宋体"/>
          <w:b/>
          <w:szCs w:val="21"/>
        </w:rPr>
      </w:pPr>
      <w:r>
        <w:rPr>
          <w:rFonts w:hint="eastAsia" w:ascii="宋体" w:hAnsi="宋体"/>
          <w:b/>
          <w:szCs w:val="21"/>
        </w:rPr>
        <w:t>一、项目基本情况</w:t>
      </w:r>
    </w:p>
    <w:p w14:paraId="098FDABA">
      <w:pPr>
        <w:spacing w:line="400" w:lineRule="exact"/>
        <w:ind w:firstLine="420" w:firstLineChars="200"/>
        <w:rPr>
          <w:rFonts w:ascii="宋体" w:hAnsi="宋体"/>
          <w:szCs w:val="21"/>
        </w:rPr>
      </w:pPr>
      <w:r>
        <w:rPr>
          <w:rFonts w:hint="eastAsia" w:ascii="宋体" w:hAnsi="宋体"/>
          <w:szCs w:val="21"/>
        </w:rPr>
        <w:t>项目名称：</w:t>
      </w:r>
      <w:r>
        <w:rPr>
          <w:rFonts w:hint="eastAsia" w:ascii="宋体" w:hAnsi="宋体"/>
          <w:b w:val="0"/>
          <w:sz w:val="21"/>
          <w:szCs w:val="21"/>
        </w:rPr>
        <w:t>南宁市卫生学</w:t>
      </w:r>
      <w:r>
        <w:rPr>
          <w:rFonts w:hint="eastAsia" w:ascii="宋体" w:hAnsi="宋体" w:eastAsia="宋体" w:cs="Times New Roman"/>
          <w:b w:val="0"/>
          <w:sz w:val="21"/>
          <w:szCs w:val="21"/>
        </w:rPr>
        <w:t>校</w:t>
      </w:r>
      <w:r>
        <w:rPr>
          <w:rFonts w:hint="eastAsia" w:ascii="宋体" w:hAnsi="宋体" w:eastAsia="宋体" w:cs="Times New Roman"/>
          <w:b w:val="0"/>
          <w:bCs w:val="0"/>
          <w:sz w:val="21"/>
          <w:szCs w:val="21"/>
          <w14:ligatures w14:val="none"/>
        </w:rPr>
        <w:t>设备维保子项</w:t>
      </w:r>
      <w:r>
        <w:rPr>
          <w:rFonts w:hint="eastAsia" w:ascii="宋体" w:hAnsi="宋体" w:eastAsia="宋体" w:cs="Times New Roman"/>
          <w:b w:val="0"/>
          <w:bCs w:val="0"/>
          <w:sz w:val="21"/>
          <w:szCs w:val="21"/>
          <w:lang w:val="en-US" w:eastAsia="zh-CN"/>
          <w14:ligatures w14:val="none"/>
        </w:rPr>
        <w:t>1</w:t>
      </w:r>
      <w:r>
        <w:rPr>
          <w:rFonts w:hint="eastAsia" w:ascii="宋体" w:hAnsi="宋体" w:eastAsia="宋体" w:cs="Times New Roman"/>
          <w:b w:val="0"/>
          <w:bCs w:val="0"/>
          <w:sz w:val="21"/>
          <w:szCs w:val="21"/>
          <w:lang w:eastAsia="zh-CN"/>
          <w14:ligatures w14:val="none"/>
        </w:rPr>
        <w:t>配电</w:t>
      </w:r>
      <w:r>
        <w:rPr>
          <w:rFonts w:hint="eastAsia" w:ascii="宋体" w:hAnsi="宋体" w:cs="Times New Roman"/>
          <w:b w:val="0"/>
          <w:bCs w:val="0"/>
          <w:sz w:val="21"/>
          <w:szCs w:val="21"/>
          <w:lang w:eastAsia="zh-CN"/>
          <w14:ligatures w14:val="none"/>
        </w:rPr>
        <w:t>系统</w:t>
      </w:r>
      <w:r>
        <w:rPr>
          <w:rFonts w:hint="eastAsia" w:ascii="宋体" w:hAnsi="宋体" w:eastAsia="宋体" w:cs="Times New Roman"/>
          <w:b w:val="0"/>
          <w:bCs w:val="0"/>
          <w:sz w:val="21"/>
          <w:szCs w:val="21"/>
          <w:lang w:eastAsia="zh-CN"/>
          <w14:ligatures w14:val="none"/>
        </w:rPr>
        <w:t>运维</w:t>
      </w:r>
      <w:r>
        <w:rPr>
          <w:rFonts w:hint="eastAsia" w:ascii="宋体" w:hAnsi="宋体" w:eastAsia="宋体" w:cs="Times New Roman"/>
          <w:b w:val="0"/>
          <w:bCs w:val="0"/>
          <w:sz w:val="21"/>
          <w:szCs w:val="21"/>
          <w14:ligatures w14:val="none"/>
        </w:rPr>
        <w:t>项目</w:t>
      </w:r>
    </w:p>
    <w:p w14:paraId="194888E5">
      <w:pPr>
        <w:spacing w:line="400" w:lineRule="exact"/>
        <w:ind w:firstLine="420" w:firstLineChars="200"/>
        <w:rPr>
          <w:rFonts w:ascii="宋体" w:hAnsi="宋体"/>
          <w:szCs w:val="21"/>
        </w:rPr>
      </w:pPr>
      <w:r>
        <w:rPr>
          <w:rFonts w:hint="eastAsia" w:ascii="宋体" w:hAnsi="宋体"/>
          <w:szCs w:val="21"/>
        </w:rPr>
        <w:t>采购方式：校内评选</w:t>
      </w:r>
    </w:p>
    <w:p w14:paraId="6A52DF20">
      <w:pPr>
        <w:spacing w:line="400" w:lineRule="exact"/>
        <w:ind w:firstLine="420" w:firstLineChars="200"/>
        <w:rPr>
          <w:rFonts w:ascii="宋体" w:hAnsi="宋体"/>
          <w:szCs w:val="21"/>
        </w:rPr>
      </w:pPr>
      <w:r>
        <w:rPr>
          <w:rFonts w:hint="eastAsia" w:ascii="宋体" w:hAnsi="宋体"/>
          <w:szCs w:val="21"/>
        </w:rPr>
        <w:t>预估金额：</w:t>
      </w:r>
      <w:r>
        <w:rPr>
          <w:rFonts w:hint="eastAsia" w:ascii="宋体" w:hAnsi="宋体"/>
          <w:szCs w:val="21"/>
          <w:lang w:val="en-US" w:eastAsia="zh-CN"/>
        </w:rPr>
        <w:t>99795</w:t>
      </w:r>
      <w:r>
        <w:rPr>
          <w:rFonts w:hint="eastAsia" w:ascii="宋体" w:hAnsi="宋体"/>
          <w:szCs w:val="21"/>
        </w:rPr>
        <w:t>元</w:t>
      </w:r>
    </w:p>
    <w:p w14:paraId="6D72E50A">
      <w:pPr>
        <w:spacing w:line="400" w:lineRule="exact"/>
        <w:ind w:firstLine="420" w:firstLineChars="200"/>
        <w:rPr>
          <w:rFonts w:ascii="宋体" w:hAnsi="宋体"/>
          <w:szCs w:val="21"/>
        </w:rPr>
      </w:pPr>
      <w:r>
        <w:rPr>
          <w:rFonts w:hint="eastAsia" w:ascii="宋体" w:hAnsi="宋体"/>
          <w:szCs w:val="21"/>
        </w:rPr>
        <w:t>采购需求：</w:t>
      </w:r>
    </w:p>
    <w:tbl>
      <w:tblPr>
        <w:tblStyle w:val="23"/>
        <w:tblW w:w="9588" w:type="dxa"/>
        <w:tblInd w:w="-108" w:type="dxa"/>
        <w:tblLayout w:type="fixed"/>
        <w:tblCellMar>
          <w:top w:w="0" w:type="dxa"/>
          <w:left w:w="108" w:type="dxa"/>
          <w:bottom w:w="0" w:type="dxa"/>
          <w:right w:w="108" w:type="dxa"/>
        </w:tblCellMar>
      </w:tblPr>
      <w:tblGrid>
        <w:gridCol w:w="634"/>
        <w:gridCol w:w="3205"/>
        <w:gridCol w:w="2887"/>
        <w:gridCol w:w="750"/>
        <w:gridCol w:w="938"/>
        <w:gridCol w:w="1174"/>
      </w:tblGrid>
      <w:tr w14:paraId="5881D6BD">
        <w:tblPrEx>
          <w:tblCellMar>
            <w:top w:w="0" w:type="dxa"/>
            <w:left w:w="108" w:type="dxa"/>
            <w:bottom w:w="0" w:type="dxa"/>
            <w:right w:w="108" w:type="dxa"/>
          </w:tblCellMar>
        </w:tblPrEx>
        <w:trPr>
          <w:trHeight w:val="467" w:hRule="atLeast"/>
        </w:trPr>
        <w:tc>
          <w:tcPr>
            <w:tcW w:w="634" w:type="dxa"/>
            <w:tcBorders>
              <w:top w:val="single" w:color="auto" w:sz="4" w:space="0"/>
              <w:left w:val="single" w:color="auto" w:sz="4" w:space="0"/>
              <w:bottom w:val="single" w:color="auto" w:sz="4" w:space="0"/>
              <w:right w:val="single" w:color="auto" w:sz="4" w:space="0"/>
            </w:tcBorders>
            <w:vAlign w:val="center"/>
          </w:tcPr>
          <w:p w14:paraId="2FF62C0F">
            <w:pPr>
              <w:tabs>
                <w:tab w:val="left" w:pos="2178"/>
              </w:tabs>
              <w:snapToGrid w:val="0"/>
              <w:rPr>
                <w:rFonts w:ascii="宋体" w:hAnsi="宋体"/>
                <w:b/>
                <w:bCs/>
                <w:kern w:val="0"/>
                <w:szCs w:val="21"/>
                <w:lang w:bidi="ar"/>
              </w:rPr>
            </w:pPr>
            <w:r>
              <w:rPr>
                <w:rFonts w:hint="eastAsia" w:ascii="宋体" w:hAnsi="宋体"/>
                <w:b/>
                <w:bCs/>
                <w:kern w:val="0"/>
                <w:szCs w:val="21"/>
                <w:lang w:bidi="ar"/>
              </w:rPr>
              <w:t>序号</w:t>
            </w:r>
            <w:r>
              <w:rPr>
                <w:szCs w:val="21"/>
              </w:rPr>
              <w:tab/>
            </w:r>
            <w:r>
              <w:rPr>
                <w:rFonts w:hint="eastAsia" w:ascii="宋体" w:hAnsi="宋体"/>
                <w:b/>
                <w:bCs/>
                <w:szCs w:val="21"/>
              </w:rPr>
              <w:t>序号</w:t>
            </w:r>
          </w:p>
        </w:tc>
        <w:tc>
          <w:tcPr>
            <w:tcW w:w="3205" w:type="dxa"/>
            <w:tcBorders>
              <w:top w:val="single" w:color="auto" w:sz="4" w:space="0"/>
              <w:left w:val="single" w:color="auto" w:sz="4" w:space="0"/>
              <w:bottom w:val="single" w:color="auto" w:sz="4" w:space="0"/>
              <w:right w:val="single" w:color="auto" w:sz="4" w:space="0"/>
            </w:tcBorders>
            <w:vAlign w:val="center"/>
          </w:tcPr>
          <w:p w14:paraId="2DC72942">
            <w:pPr>
              <w:widowControl/>
              <w:spacing w:line="240" w:lineRule="exact"/>
              <w:jc w:val="center"/>
              <w:rPr>
                <w:rFonts w:ascii="宋体" w:hAnsi="宋体"/>
                <w:b/>
                <w:bCs/>
                <w:kern w:val="0"/>
                <w:szCs w:val="21"/>
                <w:lang w:bidi="ar"/>
              </w:rPr>
            </w:pPr>
            <w:r>
              <w:rPr>
                <w:rFonts w:hint="eastAsia" w:ascii="宋体" w:hAnsi="宋体"/>
                <w:b/>
                <w:bCs/>
                <w:kern w:val="0"/>
                <w:szCs w:val="21"/>
                <w:lang w:bidi="ar"/>
              </w:rPr>
              <w:t>服务名称</w:t>
            </w:r>
          </w:p>
        </w:tc>
        <w:tc>
          <w:tcPr>
            <w:tcW w:w="2887" w:type="dxa"/>
            <w:tcBorders>
              <w:top w:val="single" w:color="auto" w:sz="4" w:space="0"/>
              <w:left w:val="single" w:color="auto" w:sz="4" w:space="0"/>
              <w:bottom w:val="single" w:color="auto" w:sz="4" w:space="0"/>
              <w:right w:val="single" w:color="auto" w:sz="4" w:space="0"/>
            </w:tcBorders>
            <w:vAlign w:val="center"/>
          </w:tcPr>
          <w:p w14:paraId="7B539AA7">
            <w:pPr>
              <w:widowControl/>
              <w:spacing w:line="240" w:lineRule="exact"/>
              <w:jc w:val="center"/>
              <w:rPr>
                <w:rFonts w:ascii="宋体" w:hAnsi="宋体"/>
                <w:b/>
                <w:bCs/>
                <w:kern w:val="0"/>
                <w:szCs w:val="21"/>
                <w:lang w:bidi="ar"/>
              </w:rPr>
            </w:pPr>
            <w:r>
              <w:rPr>
                <w:rFonts w:hint="eastAsia" w:ascii="宋体" w:hAnsi="宋体"/>
                <w:b/>
                <w:bCs/>
                <w:kern w:val="0"/>
                <w:szCs w:val="21"/>
                <w:lang w:bidi="ar"/>
              </w:rPr>
              <w:t>需求参数（含规格型号等）</w:t>
            </w:r>
          </w:p>
        </w:tc>
        <w:tc>
          <w:tcPr>
            <w:tcW w:w="750" w:type="dxa"/>
            <w:tcBorders>
              <w:top w:val="single" w:color="auto" w:sz="4" w:space="0"/>
              <w:left w:val="single" w:color="auto" w:sz="4" w:space="0"/>
              <w:bottom w:val="single" w:color="auto" w:sz="4" w:space="0"/>
              <w:right w:val="single" w:color="auto" w:sz="4" w:space="0"/>
            </w:tcBorders>
            <w:vAlign w:val="center"/>
          </w:tcPr>
          <w:p w14:paraId="6BAC0B14">
            <w:pPr>
              <w:widowControl/>
              <w:spacing w:line="240" w:lineRule="exact"/>
              <w:jc w:val="center"/>
              <w:rPr>
                <w:rFonts w:ascii="宋体" w:hAnsi="宋体"/>
                <w:b/>
                <w:bCs/>
                <w:kern w:val="0"/>
                <w:szCs w:val="21"/>
                <w:lang w:bidi="ar"/>
              </w:rPr>
            </w:pPr>
            <w:r>
              <w:rPr>
                <w:rFonts w:hint="eastAsia" w:ascii="宋体" w:hAnsi="宋体"/>
                <w:b/>
                <w:bCs/>
                <w:kern w:val="0"/>
                <w:szCs w:val="21"/>
                <w:lang w:bidi="ar"/>
              </w:rPr>
              <w:t>单位</w:t>
            </w:r>
          </w:p>
        </w:tc>
        <w:tc>
          <w:tcPr>
            <w:tcW w:w="938" w:type="dxa"/>
            <w:tcBorders>
              <w:top w:val="single" w:color="auto" w:sz="4" w:space="0"/>
              <w:left w:val="single" w:color="auto" w:sz="4" w:space="0"/>
              <w:bottom w:val="single" w:color="auto" w:sz="4" w:space="0"/>
              <w:right w:val="single" w:color="auto" w:sz="4" w:space="0"/>
            </w:tcBorders>
            <w:vAlign w:val="center"/>
          </w:tcPr>
          <w:p w14:paraId="6D7669DD">
            <w:pPr>
              <w:widowControl/>
              <w:spacing w:line="240" w:lineRule="exact"/>
              <w:jc w:val="center"/>
              <w:rPr>
                <w:rFonts w:ascii="宋体" w:hAnsi="宋体"/>
                <w:b/>
                <w:bCs/>
                <w:kern w:val="0"/>
                <w:szCs w:val="21"/>
                <w:lang w:bidi="ar"/>
              </w:rPr>
            </w:pPr>
            <w:r>
              <w:rPr>
                <w:rFonts w:hint="eastAsia" w:ascii="宋体" w:hAnsi="宋体"/>
                <w:b/>
                <w:bCs/>
                <w:kern w:val="0"/>
                <w:szCs w:val="21"/>
                <w:lang w:bidi="ar"/>
              </w:rPr>
              <w:t>采购量</w:t>
            </w:r>
          </w:p>
        </w:tc>
        <w:tc>
          <w:tcPr>
            <w:tcW w:w="1174" w:type="dxa"/>
            <w:tcBorders>
              <w:top w:val="single" w:color="auto" w:sz="4" w:space="0"/>
              <w:left w:val="single" w:color="auto" w:sz="4" w:space="0"/>
              <w:bottom w:val="single" w:color="auto" w:sz="4" w:space="0"/>
              <w:right w:val="single" w:color="auto" w:sz="4" w:space="0"/>
            </w:tcBorders>
            <w:vAlign w:val="center"/>
          </w:tcPr>
          <w:p w14:paraId="41A30535">
            <w:pPr>
              <w:widowControl/>
              <w:spacing w:line="240" w:lineRule="exact"/>
              <w:jc w:val="center"/>
              <w:rPr>
                <w:rFonts w:ascii="宋体" w:hAnsi="宋体"/>
                <w:b/>
                <w:bCs/>
                <w:kern w:val="0"/>
                <w:szCs w:val="21"/>
                <w:lang w:bidi="ar"/>
              </w:rPr>
            </w:pPr>
            <w:r>
              <w:rPr>
                <w:rFonts w:hint="eastAsia" w:ascii="宋体" w:hAnsi="宋体"/>
                <w:b/>
                <w:bCs/>
                <w:kern w:val="0"/>
                <w:szCs w:val="21"/>
                <w:lang w:bidi="ar"/>
              </w:rPr>
              <w:t>预</w:t>
            </w:r>
            <w:r>
              <w:rPr>
                <w:rFonts w:hint="eastAsia" w:ascii="宋体" w:hAnsi="宋体"/>
                <w:b/>
                <w:bCs/>
                <w:kern w:val="0"/>
                <w:szCs w:val="21"/>
                <w:lang w:eastAsia="zh-CN" w:bidi="ar"/>
              </w:rPr>
              <w:t>算</w:t>
            </w:r>
            <w:r>
              <w:rPr>
                <w:rFonts w:hint="eastAsia" w:ascii="宋体" w:hAnsi="宋体"/>
                <w:b/>
                <w:bCs/>
                <w:kern w:val="0"/>
                <w:szCs w:val="21"/>
                <w:lang w:bidi="ar"/>
              </w:rPr>
              <w:t>金额</w:t>
            </w:r>
          </w:p>
        </w:tc>
      </w:tr>
      <w:tr w14:paraId="0713B81B">
        <w:tblPrEx>
          <w:tblCellMar>
            <w:top w:w="0" w:type="dxa"/>
            <w:left w:w="108" w:type="dxa"/>
            <w:bottom w:w="0" w:type="dxa"/>
            <w:right w:w="108" w:type="dxa"/>
          </w:tblCellMar>
        </w:tblPrEx>
        <w:trPr>
          <w:trHeight w:val="575" w:hRule="atLeast"/>
        </w:trPr>
        <w:tc>
          <w:tcPr>
            <w:tcW w:w="634" w:type="dxa"/>
            <w:tcBorders>
              <w:top w:val="single" w:color="auto" w:sz="4" w:space="0"/>
              <w:left w:val="single" w:color="auto" w:sz="4" w:space="0"/>
              <w:bottom w:val="single" w:color="auto" w:sz="4" w:space="0"/>
              <w:right w:val="single" w:color="auto" w:sz="4" w:space="0"/>
            </w:tcBorders>
            <w:vAlign w:val="center"/>
          </w:tcPr>
          <w:p w14:paraId="71B1291C">
            <w:pPr>
              <w:widowControl/>
              <w:jc w:val="center"/>
              <w:rPr>
                <w:rFonts w:ascii="宋体" w:hAnsi="宋体"/>
                <w:szCs w:val="21"/>
              </w:rPr>
            </w:pPr>
            <w:r>
              <w:rPr>
                <w:rFonts w:hint="eastAsia" w:ascii="宋体" w:hAnsi="宋体"/>
                <w:szCs w:val="21"/>
              </w:rPr>
              <w:t>1</w:t>
            </w:r>
          </w:p>
        </w:tc>
        <w:tc>
          <w:tcPr>
            <w:tcW w:w="3205" w:type="dxa"/>
            <w:tcBorders>
              <w:top w:val="single" w:color="auto" w:sz="4" w:space="0"/>
              <w:left w:val="single" w:color="auto" w:sz="4" w:space="0"/>
              <w:bottom w:val="single" w:color="auto" w:sz="4" w:space="0"/>
              <w:right w:val="single" w:color="auto" w:sz="4" w:space="0"/>
            </w:tcBorders>
            <w:vAlign w:val="center"/>
          </w:tcPr>
          <w:p w14:paraId="5363E9C4">
            <w:pPr>
              <w:widowControl/>
              <w:jc w:val="center"/>
              <w:rPr>
                <w:rFonts w:ascii="宋体" w:hAnsi="宋体"/>
                <w:szCs w:val="21"/>
              </w:rPr>
            </w:pPr>
            <w:r>
              <w:rPr>
                <w:rFonts w:hint="eastAsia" w:ascii="宋体" w:hAnsi="宋体" w:eastAsia="宋体" w:cs="Times New Roman"/>
                <w:b w:val="0"/>
                <w:bCs w:val="0"/>
                <w:sz w:val="21"/>
                <w:szCs w:val="21"/>
                <w14:ligatures w14:val="none"/>
              </w:rPr>
              <w:t>设备维保子项</w:t>
            </w:r>
            <w:r>
              <w:rPr>
                <w:rFonts w:hint="eastAsia" w:ascii="宋体" w:hAnsi="宋体" w:eastAsia="宋体" w:cs="Times New Roman"/>
                <w:b w:val="0"/>
                <w:bCs w:val="0"/>
                <w:sz w:val="21"/>
                <w:szCs w:val="21"/>
                <w:lang w:val="en-US" w:eastAsia="zh-CN"/>
                <w14:ligatures w14:val="none"/>
              </w:rPr>
              <w:t>1</w:t>
            </w:r>
            <w:r>
              <w:rPr>
                <w:rFonts w:hint="eastAsia" w:ascii="宋体" w:hAnsi="宋体" w:eastAsia="宋体" w:cs="Times New Roman"/>
                <w:b w:val="0"/>
                <w:bCs w:val="0"/>
                <w:sz w:val="21"/>
                <w:szCs w:val="21"/>
                <w:lang w:eastAsia="zh-CN"/>
                <w14:ligatures w14:val="none"/>
              </w:rPr>
              <w:t>配电</w:t>
            </w:r>
            <w:r>
              <w:rPr>
                <w:rFonts w:hint="eastAsia" w:ascii="宋体" w:hAnsi="宋体" w:cs="Times New Roman"/>
                <w:b w:val="0"/>
                <w:bCs w:val="0"/>
                <w:sz w:val="21"/>
                <w:szCs w:val="21"/>
                <w:lang w:eastAsia="zh-CN"/>
                <w14:ligatures w14:val="none"/>
              </w:rPr>
              <w:t>系统</w:t>
            </w:r>
            <w:r>
              <w:rPr>
                <w:rFonts w:hint="eastAsia" w:ascii="宋体" w:hAnsi="宋体" w:eastAsia="宋体" w:cs="Times New Roman"/>
                <w:b w:val="0"/>
                <w:bCs w:val="0"/>
                <w:sz w:val="21"/>
                <w:szCs w:val="21"/>
                <w:lang w:eastAsia="zh-CN"/>
                <w14:ligatures w14:val="none"/>
              </w:rPr>
              <w:t>运维</w:t>
            </w:r>
          </w:p>
        </w:tc>
        <w:tc>
          <w:tcPr>
            <w:tcW w:w="2887" w:type="dxa"/>
            <w:tcBorders>
              <w:top w:val="single" w:color="auto" w:sz="4" w:space="0"/>
              <w:left w:val="single" w:color="auto" w:sz="4" w:space="0"/>
              <w:bottom w:val="single" w:color="auto" w:sz="4" w:space="0"/>
              <w:right w:val="single" w:color="auto" w:sz="4" w:space="0"/>
            </w:tcBorders>
            <w:vAlign w:val="center"/>
          </w:tcPr>
          <w:p w14:paraId="3469B8BC">
            <w:pPr>
              <w:rPr>
                <w:szCs w:val="21"/>
              </w:rPr>
            </w:pPr>
            <w:bookmarkStart w:id="3" w:name="OLE_LINK1"/>
            <w:r>
              <w:rPr>
                <w:rFonts w:hint="eastAsia"/>
                <w:szCs w:val="21"/>
              </w:rPr>
              <w:t>详见《采购项目需求一览表》</w:t>
            </w:r>
            <w:bookmarkEnd w:id="3"/>
          </w:p>
        </w:tc>
        <w:tc>
          <w:tcPr>
            <w:tcW w:w="750" w:type="dxa"/>
            <w:tcBorders>
              <w:top w:val="single" w:color="auto" w:sz="4" w:space="0"/>
              <w:left w:val="single" w:color="auto" w:sz="4" w:space="0"/>
              <w:bottom w:val="single" w:color="auto" w:sz="4" w:space="0"/>
              <w:right w:val="single" w:color="auto" w:sz="4" w:space="0"/>
            </w:tcBorders>
            <w:vAlign w:val="center"/>
          </w:tcPr>
          <w:p w14:paraId="2C8770EF">
            <w:pPr>
              <w:widowControl/>
              <w:jc w:val="center"/>
              <w:rPr>
                <w:rFonts w:ascii="宋体" w:hAnsi="宋体"/>
                <w:szCs w:val="21"/>
              </w:rPr>
            </w:pPr>
            <w:r>
              <w:rPr>
                <w:rFonts w:hint="eastAsia" w:ascii="宋体" w:hAnsi="宋体"/>
                <w:szCs w:val="21"/>
              </w:rPr>
              <w:t>项</w:t>
            </w:r>
          </w:p>
        </w:tc>
        <w:tc>
          <w:tcPr>
            <w:tcW w:w="938" w:type="dxa"/>
            <w:tcBorders>
              <w:top w:val="single" w:color="auto" w:sz="4" w:space="0"/>
              <w:left w:val="single" w:color="auto" w:sz="4" w:space="0"/>
              <w:bottom w:val="single" w:color="auto" w:sz="4" w:space="0"/>
              <w:right w:val="single" w:color="auto" w:sz="4" w:space="0"/>
            </w:tcBorders>
            <w:vAlign w:val="center"/>
          </w:tcPr>
          <w:p w14:paraId="5D8BB107">
            <w:pPr>
              <w:widowControl/>
              <w:jc w:val="center"/>
              <w:rPr>
                <w:rFonts w:ascii="宋体" w:hAnsi="宋体"/>
                <w:szCs w:val="21"/>
              </w:rPr>
            </w:pPr>
            <w:r>
              <w:rPr>
                <w:rFonts w:hint="eastAsia" w:ascii="宋体" w:hAnsi="宋体"/>
                <w:szCs w:val="21"/>
              </w:rPr>
              <w:t>1</w:t>
            </w:r>
          </w:p>
        </w:tc>
        <w:tc>
          <w:tcPr>
            <w:tcW w:w="1174" w:type="dxa"/>
            <w:tcBorders>
              <w:top w:val="single" w:color="auto" w:sz="4" w:space="0"/>
              <w:left w:val="single" w:color="auto" w:sz="4" w:space="0"/>
              <w:bottom w:val="single" w:color="auto" w:sz="4" w:space="0"/>
              <w:right w:val="single" w:color="auto" w:sz="4" w:space="0"/>
            </w:tcBorders>
            <w:vAlign w:val="center"/>
          </w:tcPr>
          <w:p w14:paraId="05DFB617">
            <w:pPr>
              <w:widowControl/>
              <w:jc w:val="center"/>
              <w:rPr>
                <w:rFonts w:hint="default" w:ascii="宋体" w:hAnsi="宋体" w:eastAsia="宋体"/>
                <w:szCs w:val="21"/>
                <w:lang w:val="en-US" w:eastAsia="zh-CN"/>
              </w:rPr>
            </w:pPr>
            <w:r>
              <w:rPr>
                <w:rFonts w:hint="eastAsia" w:ascii="宋体" w:hAnsi="宋体"/>
                <w:szCs w:val="21"/>
                <w:lang w:val="en-US" w:eastAsia="zh-CN"/>
              </w:rPr>
              <w:t>99795</w:t>
            </w:r>
          </w:p>
        </w:tc>
      </w:tr>
    </w:tbl>
    <w:p w14:paraId="3D98F165">
      <w:pPr>
        <w:tabs>
          <w:tab w:val="right" w:pos="9638"/>
        </w:tabs>
        <w:snapToGrid w:val="0"/>
        <w:spacing w:line="400" w:lineRule="exact"/>
        <w:rPr>
          <w:rFonts w:ascii="宋体" w:hAnsi="宋体"/>
          <w:b/>
          <w:szCs w:val="21"/>
        </w:rPr>
      </w:pPr>
      <w:r>
        <w:rPr>
          <w:rFonts w:hint="eastAsia" w:ascii="宋体" w:hAnsi="宋体"/>
          <w:b/>
          <w:szCs w:val="21"/>
        </w:rPr>
        <w:t>二、申请人的资格要求：</w:t>
      </w:r>
      <w:r>
        <w:tab/>
      </w:r>
    </w:p>
    <w:p w14:paraId="014C3FC5">
      <w:pPr>
        <w:snapToGrid w:val="0"/>
        <w:spacing w:line="400" w:lineRule="exact"/>
        <w:ind w:firstLine="420" w:firstLineChars="200"/>
        <w:rPr>
          <w:rFonts w:ascii="宋体" w:hAnsi="宋体"/>
        </w:rPr>
      </w:pPr>
      <w:r>
        <w:rPr>
          <w:rFonts w:hint="eastAsia" w:ascii="宋体" w:hAnsi="宋体"/>
        </w:rPr>
        <w:t>1</w:t>
      </w:r>
      <w:r>
        <w:rPr>
          <w:rFonts w:hint="eastAsia" w:ascii="宋体" w:hAnsi="宋体"/>
          <w:szCs w:val="21"/>
        </w:rPr>
        <w:t>.</w:t>
      </w:r>
      <w:r>
        <w:rPr>
          <w:rFonts w:hint="eastAsia" w:ascii="宋体" w:hAnsi="宋体"/>
        </w:rPr>
        <w:t>符合《中华人民共和国政府采购法》第二十二条规定的投标人资格条件；即：</w:t>
      </w:r>
    </w:p>
    <w:p w14:paraId="791A8201">
      <w:pPr>
        <w:snapToGrid w:val="0"/>
        <w:spacing w:line="400" w:lineRule="exact"/>
        <w:ind w:firstLine="420" w:firstLineChars="200"/>
        <w:rPr>
          <w:rFonts w:ascii="宋体" w:hAnsi="宋体"/>
        </w:rPr>
      </w:pPr>
      <w:r>
        <w:rPr>
          <w:rFonts w:hint="eastAsia" w:ascii="宋体" w:hAnsi="宋体"/>
        </w:rPr>
        <w:t>（1）具有独立承担民事责任的能力；</w:t>
      </w:r>
    </w:p>
    <w:p w14:paraId="072A09EA">
      <w:pPr>
        <w:snapToGrid w:val="0"/>
        <w:spacing w:line="400" w:lineRule="exact"/>
        <w:ind w:firstLine="420" w:firstLineChars="200"/>
        <w:rPr>
          <w:rFonts w:ascii="宋体" w:hAnsi="宋体"/>
        </w:rPr>
      </w:pPr>
      <w:r>
        <w:rPr>
          <w:rFonts w:hint="eastAsia" w:ascii="宋体" w:hAnsi="宋体"/>
        </w:rPr>
        <w:t>（2）具有良好的商业信誉和健全的财务会计制度；</w:t>
      </w:r>
    </w:p>
    <w:p w14:paraId="6FBD4155">
      <w:pPr>
        <w:snapToGrid w:val="0"/>
        <w:spacing w:line="400" w:lineRule="exact"/>
        <w:ind w:firstLine="420" w:firstLineChars="200"/>
        <w:rPr>
          <w:rFonts w:ascii="宋体" w:hAnsi="宋体"/>
        </w:rPr>
      </w:pPr>
      <w:r>
        <w:rPr>
          <w:rFonts w:hint="eastAsia" w:ascii="宋体" w:hAnsi="宋体"/>
        </w:rPr>
        <w:t xml:space="preserve">（3）具有履行合同所需的设备和专业技术能力； </w:t>
      </w:r>
    </w:p>
    <w:p w14:paraId="7FB65A39">
      <w:pPr>
        <w:snapToGrid w:val="0"/>
        <w:spacing w:line="400" w:lineRule="exact"/>
        <w:ind w:firstLine="420" w:firstLineChars="200"/>
        <w:rPr>
          <w:rFonts w:ascii="宋体" w:hAnsi="宋体"/>
        </w:rPr>
      </w:pPr>
      <w:r>
        <w:rPr>
          <w:rFonts w:hint="eastAsia" w:ascii="宋体" w:hAnsi="宋体"/>
        </w:rPr>
        <w:t>（4）有依法缴纳税收和社会保障资金的良好记录；</w:t>
      </w:r>
    </w:p>
    <w:p w14:paraId="59D836FE">
      <w:pPr>
        <w:snapToGrid w:val="0"/>
        <w:spacing w:line="400" w:lineRule="exact"/>
        <w:ind w:firstLine="420" w:firstLineChars="200"/>
        <w:rPr>
          <w:rFonts w:ascii="宋体" w:hAnsi="宋体"/>
        </w:rPr>
      </w:pPr>
      <w:r>
        <w:rPr>
          <w:rFonts w:hint="eastAsia" w:ascii="宋体" w:hAnsi="宋体"/>
        </w:rPr>
        <w:t>（5）参加采购活动前三年内，在经营活动中没有重大违法记录；</w:t>
      </w:r>
    </w:p>
    <w:p w14:paraId="5E0C090C">
      <w:pPr>
        <w:snapToGrid w:val="0"/>
        <w:spacing w:line="400" w:lineRule="exact"/>
        <w:ind w:firstLine="420" w:firstLineChars="200"/>
        <w:rPr>
          <w:rFonts w:ascii="宋体" w:hAnsi="宋体"/>
        </w:rPr>
      </w:pPr>
      <w:r>
        <w:rPr>
          <w:rFonts w:hint="eastAsia" w:ascii="宋体" w:hAnsi="宋体"/>
        </w:rPr>
        <w:t>（6）法律、行政法规规定的其他条件。</w:t>
      </w:r>
    </w:p>
    <w:p w14:paraId="4F07850F">
      <w:pPr>
        <w:snapToGrid w:val="0"/>
        <w:spacing w:line="400" w:lineRule="exact"/>
        <w:ind w:firstLine="420" w:firstLineChars="200"/>
        <w:rPr>
          <w:rFonts w:ascii="宋体" w:hAnsi="宋体"/>
          <w:szCs w:val="21"/>
        </w:rPr>
      </w:pPr>
      <w:r>
        <w:rPr>
          <w:rFonts w:hint="eastAsia" w:ascii="宋体" w:hAnsi="宋体"/>
          <w:szCs w:val="21"/>
        </w:rPr>
        <w:t>2.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68597BBB">
      <w:pPr>
        <w:snapToGrid w:val="0"/>
        <w:spacing w:line="400" w:lineRule="exact"/>
        <w:ind w:firstLine="420" w:firstLineChars="200"/>
        <w:rPr>
          <w:rFonts w:ascii="宋体" w:hAnsi="宋体"/>
          <w:szCs w:val="21"/>
        </w:rPr>
      </w:pPr>
      <w:r>
        <w:rPr>
          <w:rFonts w:hint="eastAsia" w:ascii="宋体" w:hAnsi="宋体"/>
          <w:szCs w:val="21"/>
        </w:rPr>
        <w:t>3.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r>
        <w:rPr>
          <w:rFonts w:hint="eastAsia" w:ascii="宋体" w:hAnsi="Courier New"/>
          <w:spacing w:val="6"/>
          <w:kern w:val="48"/>
        </w:rPr>
        <w:t>（投标人在“信用中国”网站、中国政府采购网的相关投标人信用记录由采购人或采购代理机构查询）</w:t>
      </w:r>
      <w:r>
        <w:rPr>
          <w:rFonts w:hint="eastAsia"/>
          <w:spacing w:val="6"/>
          <w:kern w:val="48"/>
        </w:rPr>
        <w:t>。</w:t>
      </w:r>
    </w:p>
    <w:p w14:paraId="53817E01">
      <w:pPr>
        <w:snapToGrid w:val="0"/>
        <w:spacing w:line="400" w:lineRule="exact"/>
        <w:ind w:firstLine="420" w:firstLineChars="200"/>
        <w:rPr>
          <w:rFonts w:hint="eastAsia" w:ascii="宋体" w:hAnsi="宋体"/>
          <w:szCs w:val="21"/>
          <w:lang w:eastAsia="zh-CN"/>
        </w:rPr>
      </w:pPr>
      <w:r>
        <w:rPr>
          <w:rFonts w:hint="eastAsia" w:ascii="宋体" w:hAnsi="宋体"/>
          <w:szCs w:val="21"/>
        </w:rPr>
        <w:t>4.本项目不接受联合体投标</w:t>
      </w:r>
      <w:r>
        <w:rPr>
          <w:rFonts w:hint="eastAsia" w:ascii="宋体" w:hAnsi="宋体"/>
          <w:szCs w:val="21"/>
          <w:lang w:eastAsia="zh-CN"/>
        </w:rPr>
        <w:t>。</w:t>
      </w:r>
    </w:p>
    <w:p w14:paraId="7340DC64">
      <w:pPr>
        <w:snapToGrid w:val="0"/>
        <w:spacing w:line="400" w:lineRule="exact"/>
        <w:ind w:firstLine="420" w:firstLineChars="200"/>
        <w:rPr>
          <w:rFonts w:ascii="宋体" w:hAnsi="宋体"/>
          <w:szCs w:val="21"/>
        </w:rPr>
      </w:pPr>
      <w:r>
        <w:rPr>
          <w:rFonts w:hint="eastAsia" w:ascii="宋体" w:hAnsi="宋体"/>
          <w:szCs w:val="21"/>
          <w:lang w:val="en-US" w:eastAsia="zh-CN"/>
        </w:rPr>
        <w:t>5.本项目</w:t>
      </w:r>
      <w:r>
        <w:rPr>
          <w:rFonts w:hint="eastAsia" w:ascii="宋体" w:hAnsi="宋体" w:cs="宋体"/>
          <w:b/>
          <w:bCs/>
          <w:szCs w:val="21"/>
        </w:rPr>
        <w:t>特定资格要求：</w:t>
      </w:r>
      <w:r>
        <w:commentReference w:id="0"/>
      </w:r>
      <w:r>
        <w:rPr>
          <w:rFonts w:hint="eastAsia" w:asciiTheme="minorEastAsia" w:hAnsiTheme="minorEastAsia" w:eastAsiaTheme="minorEastAsia" w:cstheme="minorEastAsia"/>
          <w:sz w:val="21"/>
          <w:szCs w:val="21"/>
          <w:lang w:eastAsia="zh-CN"/>
        </w:rPr>
        <w:t>承装（修、试）电力设施许可证、建筑施工安全生产许可证</w:t>
      </w:r>
    </w:p>
    <w:p w14:paraId="03C2A4DF">
      <w:pPr>
        <w:snapToGrid w:val="0"/>
        <w:spacing w:line="400" w:lineRule="exact"/>
        <w:ind w:firstLine="444" w:firstLineChars="200"/>
        <w:rPr>
          <w:rFonts w:hint="eastAsia" w:ascii="宋体" w:hAnsi="Courier New"/>
          <w:spacing w:val="6"/>
          <w:kern w:val="48"/>
        </w:rPr>
      </w:pPr>
      <w:r>
        <w:rPr>
          <w:rFonts w:hint="eastAsia" w:ascii="宋体" w:hAnsi="Courier New"/>
          <w:b/>
          <w:spacing w:val="6"/>
          <w:kern w:val="48"/>
        </w:rPr>
        <w:t>三、获取采购文件方式：</w:t>
      </w:r>
      <w:r>
        <w:rPr>
          <w:rFonts w:hint="eastAsia" w:ascii="宋体" w:hAnsi="Courier New"/>
          <w:spacing w:val="6"/>
          <w:kern w:val="48"/>
        </w:rPr>
        <w:t>网上下载，本项目不发放纸质采购文件，无需报名。</w:t>
      </w:r>
    </w:p>
    <w:p w14:paraId="0BE97303">
      <w:pPr>
        <w:snapToGrid w:val="0"/>
        <w:spacing w:line="400" w:lineRule="exact"/>
        <w:ind w:firstLine="444" w:firstLineChars="200"/>
        <w:rPr>
          <w:rFonts w:ascii="宋体" w:hAnsi="Courier New"/>
          <w:spacing w:val="6"/>
          <w:kern w:val="48"/>
        </w:rPr>
      </w:pPr>
      <w:r>
        <w:rPr>
          <w:rFonts w:hint="eastAsia" w:ascii="宋体" w:hAnsi="Courier New"/>
          <w:b/>
          <w:spacing w:val="6"/>
          <w:kern w:val="48"/>
        </w:rPr>
        <w:t>四、递交竞价文件时间：</w:t>
      </w:r>
      <w:r>
        <w:rPr>
          <w:rFonts w:hint="eastAsia" w:ascii="宋体" w:hAnsi="Courier New"/>
          <w:bCs/>
          <w:spacing w:val="6"/>
          <w:kern w:val="48"/>
        </w:rPr>
        <w:t>供应商将所有竞标文件盖章，于2026年</w:t>
      </w:r>
      <w:r>
        <w:rPr>
          <w:rFonts w:hint="eastAsia" w:ascii="宋体" w:hAnsi="Courier New"/>
          <w:bCs/>
          <w:spacing w:val="6"/>
          <w:kern w:val="48"/>
          <w:u w:val="single"/>
        </w:rPr>
        <w:t xml:space="preserve"> </w:t>
      </w:r>
      <w:r>
        <w:rPr>
          <w:rFonts w:hint="eastAsia" w:ascii="宋体" w:hAnsi="Courier New"/>
          <w:bCs/>
          <w:spacing w:val="6"/>
          <w:kern w:val="48"/>
          <w:u w:val="single"/>
          <w:lang w:val="en-US" w:eastAsia="zh-CN"/>
        </w:rPr>
        <w:t>7</w:t>
      </w:r>
      <w:r>
        <w:rPr>
          <w:rFonts w:hint="eastAsia" w:ascii="宋体" w:hAnsi="Courier New"/>
          <w:bCs/>
          <w:spacing w:val="6"/>
          <w:kern w:val="48"/>
          <w:u w:val="single"/>
        </w:rPr>
        <w:t xml:space="preserve"> </w:t>
      </w:r>
      <w:r>
        <w:rPr>
          <w:rFonts w:hint="eastAsia" w:ascii="宋体" w:hAnsi="Courier New"/>
          <w:bCs/>
          <w:spacing w:val="6"/>
          <w:kern w:val="48"/>
        </w:rPr>
        <w:t>月</w:t>
      </w:r>
      <w:r>
        <w:rPr>
          <w:rFonts w:hint="eastAsia" w:ascii="宋体" w:hAnsi="Courier New"/>
          <w:bCs/>
          <w:spacing w:val="6"/>
          <w:kern w:val="48"/>
          <w:u w:val="single"/>
        </w:rPr>
        <w:t xml:space="preserve"> </w:t>
      </w:r>
      <w:r>
        <w:rPr>
          <w:rFonts w:hint="eastAsia" w:ascii="宋体" w:hAnsi="Courier New"/>
          <w:bCs/>
          <w:spacing w:val="6"/>
          <w:kern w:val="48"/>
          <w:u w:val="single"/>
          <w:lang w:val="en-US" w:eastAsia="zh-CN"/>
        </w:rPr>
        <w:t>14</w:t>
      </w:r>
      <w:r>
        <w:rPr>
          <w:rFonts w:hint="eastAsia" w:ascii="宋体" w:hAnsi="Courier New"/>
          <w:bCs/>
          <w:spacing w:val="6"/>
          <w:kern w:val="48"/>
          <w:u w:val="single"/>
        </w:rPr>
        <w:t xml:space="preserve"> </w:t>
      </w:r>
      <w:r>
        <w:rPr>
          <w:rFonts w:hint="eastAsia" w:ascii="宋体" w:hAnsi="Courier New"/>
          <w:bCs/>
          <w:spacing w:val="6"/>
          <w:kern w:val="48"/>
        </w:rPr>
        <w:t>日</w:t>
      </w:r>
      <w:r>
        <w:rPr>
          <w:rFonts w:hint="eastAsia" w:ascii="宋体" w:hAnsi="Courier New"/>
          <w:bCs/>
          <w:spacing w:val="6"/>
          <w:kern w:val="48"/>
          <w:u w:val="single"/>
        </w:rPr>
        <w:t xml:space="preserve"> </w:t>
      </w:r>
      <w:r>
        <w:rPr>
          <w:rFonts w:hint="eastAsia" w:ascii="宋体" w:hAnsi="Courier New"/>
          <w:bCs/>
          <w:spacing w:val="6"/>
          <w:kern w:val="48"/>
          <w:u w:val="single"/>
          <w:lang w:val="en-US" w:eastAsia="zh-CN"/>
        </w:rPr>
        <w:t>9</w:t>
      </w:r>
      <w:r>
        <w:rPr>
          <w:rFonts w:hint="eastAsia" w:ascii="宋体" w:hAnsi="Courier New"/>
          <w:bCs/>
          <w:spacing w:val="6"/>
          <w:kern w:val="48"/>
          <w:u w:val="single"/>
        </w:rPr>
        <w:t xml:space="preserve"> </w:t>
      </w:r>
      <w:r>
        <w:rPr>
          <w:rFonts w:hint="eastAsia" w:ascii="宋体" w:hAnsi="Courier New"/>
          <w:bCs/>
          <w:spacing w:val="6"/>
          <w:kern w:val="48"/>
        </w:rPr>
        <w:t>时</w:t>
      </w:r>
      <w:r>
        <w:rPr>
          <w:rFonts w:hint="eastAsia" w:ascii="宋体" w:hAnsi="Courier New"/>
          <w:bCs/>
          <w:spacing w:val="6"/>
          <w:kern w:val="48"/>
          <w:u w:val="single"/>
        </w:rPr>
        <w:t xml:space="preserve"> </w:t>
      </w:r>
      <w:r>
        <w:rPr>
          <w:rFonts w:hint="eastAsia" w:ascii="宋体" w:hAnsi="Courier New"/>
          <w:bCs/>
          <w:spacing w:val="6"/>
          <w:kern w:val="48"/>
          <w:u w:val="single"/>
          <w:lang w:val="en-US" w:eastAsia="zh-CN"/>
        </w:rPr>
        <w:t>00</w:t>
      </w:r>
      <w:r>
        <w:rPr>
          <w:rFonts w:hint="eastAsia" w:ascii="宋体" w:hAnsi="Courier New"/>
          <w:bCs/>
          <w:spacing w:val="6"/>
          <w:kern w:val="48"/>
          <w:u w:val="single"/>
        </w:rPr>
        <w:t xml:space="preserve"> </w:t>
      </w:r>
      <w:r>
        <w:rPr>
          <w:rFonts w:hint="eastAsia" w:ascii="宋体" w:hAnsi="Courier New"/>
          <w:bCs/>
          <w:spacing w:val="6"/>
          <w:kern w:val="48"/>
        </w:rPr>
        <w:t>分前送至南宁市卫生学校相思湖校区图书馆综合楼16楼16</w:t>
      </w:r>
      <w:r>
        <w:rPr>
          <w:rFonts w:hint="eastAsia" w:ascii="宋体" w:hAnsi="Courier New"/>
          <w:bCs/>
          <w:spacing w:val="6"/>
          <w:kern w:val="48"/>
          <w:lang w:val="en-US" w:eastAsia="zh-CN"/>
        </w:rPr>
        <w:t>11</w:t>
      </w:r>
      <w:r>
        <w:rPr>
          <w:rFonts w:hint="eastAsia" w:ascii="宋体" w:hAnsi="Courier New"/>
          <w:bCs/>
          <w:spacing w:val="6"/>
          <w:kern w:val="48"/>
        </w:rPr>
        <w:t>室，竞标文件需提供正本1份、副本2份，装入档案袋密封并在骑缝处加盖单位公章，档案袋上注明项目名称、报名单位、联系人、联系方式。</w:t>
      </w:r>
      <w:r>
        <w:br w:type="textWrapping"/>
      </w:r>
      <w:r>
        <w:rPr>
          <w:rFonts w:hint="eastAsia" w:ascii="宋体" w:hAnsi="Courier New"/>
          <w:spacing w:val="6"/>
          <w:kern w:val="48"/>
        </w:rPr>
        <w:t xml:space="preserve">    </w:t>
      </w:r>
      <w:r>
        <w:rPr>
          <w:rFonts w:hint="eastAsia" w:ascii="宋体" w:hAnsi="Courier New"/>
          <w:b/>
          <w:spacing w:val="6"/>
          <w:kern w:val="48"/>
        </w:rPr>
        <w:t>五、咨询电话：</w:t>
      </w:r>
      <w:r>
        <w:rPr>
          <w:rFonts w:hint="eastAsia" w:ascii="宋体" w:hAnsi="Courier New"/>
          <w:spacing w:val="6"/>
          <w:kern w:val="48"/>
        </w:rPr>
        <w:t>0771-3939372 盘老师</w:t>
      </w:r>
    </w:p>
    <w:p w14:paraId="5D210B5A">
      <w:pPr>
        <w:snapToGrid w:val="0"/>
        <w:spacing w:line="400" w:lineRule="exact"/>
        <w:rPr>
          <w:rFonts w:ascii="宋体" w:hAnsi="Courier New"/>
          <w:spacing w:val="6"/>
          <w:kern w:val="48"/>
        </w:rPr>
      </w:pPr>
    </w:p>
    <w:p w14:paraId="2079B64E">
      <w:pPr>
        <w:snapToGrid w:val="0"/>
        <w:spacing w:line="400" w:lineRule="exact"/>
        <w:rPr>
          <w:rFonts w:ascii="宋体" w:hAnsi="Courier New"/>
          <w:spacing w:val="6"/>
          <w:kern w:val="48"/>
        </w:rPr>
      </w:pPr>
    </w:p>
    <w:p w14:paraId="1DFFC06D">
      <w:pPr>
        <w:snapToGrid w:val="0"/>
        <w:spacing w:line="400" w:lineRule="exact"/>
        <w:jc w:val="center"/>
      </w:pPr>
      <w:bookmarkStart w:id="4" w:name="_Toc21161"/>
      <w:bookmarkStart w:id="5" w:name="_Toc18331"/>
      <w:r>
        <w:rPr>
          <w:rFonts w:hint="eastAsia" w:ascii="宋体" w:hAnsi="宋体"/>
          <w:b/>
          <w:bCs/>
          <w:sz w:val="32"/>
        </w:rPr>
        <w:t xml:space="preserve">第二章  </w:t>
      </w:r>
      <w:bookmarkEnd w:id="4"/>
      <w:r>
        <w:rPr>
          <w:rFonts w:hint="eastAsia" w:ascii="宋体" w:hAnsi="宋体"/>
          <w:b/>
          <w:bCs/>
          <w:sz w:val="32"/>
        </w:rPr>
        <w:t>采购项目需求一览表</w:t>
      </w:r>
      <w:bookmarkEnd w:id="5"/>
    </w:p>
    <w:p w14:paraId="45F5411D">
      <w:pPr>
        <w:spacing w:line="400" w:lineRule="exact"/>
        <w:ind w:firstLine="411" w:firstLineChars="196"/>
        <w:rPr>
          <w:rFonts w:ascii="宋体" w:hAnsi="宋体"/>
          <w:b/>
          <w:bCs/>
        </w:rPr>
      </w:pPr>
      <w:r>
        <w:rPr>
          <w:rFonts w:hint="eastAsia" w:ascii="宋体" w:hAnsi="宋体"/>
          <w:b/>
          <w:bCs/>
        </w:rPr>
        <w:t>说明：</w:t>
      </w:r>
    </w:p>
    <w:p w14:paraId="228AF804">
      <w:pPr>
        <w:spacing w:line="400" w:lineRule="exact"/>
        <w:ind w:left="-10" w:leftChars="-5" w:right="2" w:rightChars="1" w:firstLine="420" w:firstLineChars="200"/>
        <w:rPr>
          <w:rFonts w:ascii="宋体" w:hAnsi="宋体"/>
          <w:b/>
          <w:bCs/>
        </w:rPr>
      </w:pPr>
      <w:r>
        <w:rPr>
          <w:rFonts w:hint="eastAsia" w:ascii="宋体" w:hAnsi="宋体"/>
          <w:b/>
          <w:bCs/>
        </w:rPr>
        <w:t>1、供应商所提供的服务应实质上相当于或优于本需求表中的</w:t>
      </w:r>
      <w:r>
        <w:rPr>
          <w:rFonts w:ascii="宋体" w:hAnsi="宋体"/>
          <w:b/>
          <w:bCs/>
        </w:rPr>
        <w:t>服务内容及技术质量要求</w:t>
      </w:r>
      <w:r>
        <w:rPr>
          <w:rFonts w:hint="eastAsia" w:ascii="宋体" w:hAnsi="宋体"/>
          <w:b/>
          <w:bCs/>
          <w:szCs w:val="21"/>
        </w:rPr>
        <w:t>。</w:t>
      </w:r>
    </w:p>
    <w:p w14:paraId="4F8C05BD">
      <w:pPr>
        <w:spacing w:line="400" w:lineRule="exact"/>
        <w:ind w:left="-10" w:leftChars="-5" w:right="2" w:rightChars="1" w:firstLine="420" w:firstLineChars="200"/>
        <w:rPr>
          <w:rFonts w:ascii="宋体" w:hAnsi="宋体"/>
          <w:b/>
          <w:bCs/>
        </w:rPr>
      </w:pPr>
      <w:r>
        <w:rPr>
          <w:rFonts w:hint="eastAsia" w:ascii="宋体" w:hAnsi="宋体"/>
          <w:b/>
          <w:bCs/>
        </w:rPr>
        <w:t>2、本一览表的</w:t>
      </w:r>
      <w:r>
        <w:rPr>
          <w:rFonts w:ascii="宋体" w:hAnsi="宋体"/>
          <w:b/>
          <w:bCs/>
        </w:rPr>
        <w:t>服务内容及技术质量要求不明确或有误的，</w:t>
      </w:r>
      <w:r>
        <w:rPr>
          <w:rFonts w:hint="eastAsia" w:ascii="宋体" w:hAnsi="宋体"/>
          <w:b/>
          <w:bCs/>
        </w:rPr>
        <w:t>供应商</w:t>
      </w:r>
      <w:r>
        <w:rPr>
          <w:rFonts w:ascii="宋体" w:hAnsi="宋体"/>
          <w:b/>
          <w:bCs/>
        </w:rPr>
        <w:t>请以详细、正确的服务内容及技术质量</w:t>
      </w:r>
      <w:r>
        <w:rPr>
          <w:rFonts w:hint="eastAsia" w:ascii="宋体" w:hAnsi="宋体"/>
          <w:b/>
          <w:bCs/>
        </w:rPr>
        <w:t>指标</w:t>
      </w:r>
      <w:r>
        <w:rPr>
          <w:rFonts w:ascii="宋体" w:hAnsi="宋体"/>
          <w:b/>
          <w:bCs/>
        </w:rPr>
        <w:t>同时填写</w:t>
      </w:r>
      <w:r>
        <w:rPr>
          <w:rFonts w:hint="eastAsia" w:ascii="宋体" w:hAnsi="宋体"/>
          <w:b/>
          <w:bCs/>
        </w:rPr>
        <w:t>最终</w:t>
      </w:r>
      <w:r>
        <w:rPr>
          <w:rFonts w:ascii="宋体" w:hAnsi="宋体"/>
          <w:b/>
          <w:bCs/>
        </w:rPr>
        <w:t>报价表和</w:t>
      </w:r>
      <w:r>
        <w:rPr>
          <w:rFonts w:hint="eastAsia" w:ascii="宋体" w:hAnsi="宋体"/>
          <w:b/>
          <w:bCs/>
        </w:rPr>
        <w:t>技术质量响应及偏离情况说明表</w:t>
      </w:r>
      <w:r>
        <w:rPr>
          <w:rFonts w:ascii="宋体" w:hAnsi="宋体"/>
          <w:b/>
          <w:bCs/>
        </w:rPr>
        <w:t>。</w:t>
      </w:r>
    </w:p>
    <w:p w14:paraId="29520602">
      <w:pPr>
        <w:spacing w:line="400" w:lineRule="exact"/>
        <w:ind w:left="-10" w:leftChars="-5" w:right="2" w:rightChars="1" w:firstLine="420" w:firstLineChars="200"/>
        <w:rPr>
          <w:rFonts w:ascii="宋体" w:hAnsi="宋体"/>
          <w:b/>
          <w:bCs/>
        </w:rPr>
      </w:pPr>
      <w:r>
        <w:rPr>
          <w:rFonts w:hint="eastAsia" w:ascii="宋体" w:hAnsi="宋体"/>
          <w:b/>
          <w:bCs/>
        </w:rPr>
        <w:t>3、</w:t>
      </w:r>
      <w:r>
        <w:rPr>
          <w:rFonts w:hint="eastAsia" w:ascii="宋体" w:hAnsi="宋体"/>
          <w:b/>
          <w:bCs/>
          <w:sz w:val="24"/>
        </w:rPr>
        <w:t>本项目所有采购需求均不允许负偏离，对采购需求（含技术需求、商务需求）的任何不满足将导致响应无效。</w:t>
      </w:r>
    </w:p>
    <w:p w14:paraId="235F598C">
      <w:pPr>
        <w:spacing w:line="400" w:lineRule="exact"/>
        <w:ind w:left="-10" w:leftChars="-5" w:right="2" w:rightChars="1" w:firstLine="420" w:firstLineChars="200"/>
        <w:rPr>
          <w:rFonts w:hint="eastAsia" w:ascii="宋体" w:hAnsi="宋体"/>
          <w:b/>
          <w:bCs/>
        </w:rPr>
      </w:pPr>
      <w:r>
        <w:rPr>
          <w:rFonts w:hint="eastAsia" w:ascii="宋体" w:hAnsi="宋体"/>
          <w:b/>
          <w:bCs/>
        </w:rPr>
        <w:t>4、项目采购需求具有国家或其他强制性标准、规范等要求的，响应文件中必须提供相关强制性认证资料，否则投标无效。</w:t>
      </w:r>
    </w:p>
    <w:tbl>
      <w:tblPr>
        <w:tblStyle w:val="2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55"/>
        <w:gridCol w:w="1105"/>
        <w:gridCol w:w="1122"/>
        <w:gridCol w:w="2134"/>
        <w:gridCol w:w="963"/>
        <w:gridCol w:w="959"/>
        <w:gridCol w:w="2000"/>
        <w:tblGridChange w:id="0">
          <w:tblGrid>
            <w:gridCol w:w="1318"/>
            <w:gridCol w:w="37"/>
            <w:gridCol w:w="1105"/>
            <w:gridCol w:w="1122"/>
            <w:gridCol w:w="2134"/>
            <w:gridCol w:w="963"/>
            <w:gridCol w:w="959"/>
            <w:gridCol w:w="2000"/>
          </w:tblGrid>
        </w:tblGridChange>
      </w:tblGrid>
      <w:tr w14:paraId="471B8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restart"/>
            <w:tcBorders>
              <w:top w:val="single" w:color="auto" w:sz="4" w:space="0"/>
              <w:left w:val="single" w:color="auto" w:sz="4" w:space="0"/>
              <w:bottom w:val="single" w:color="auto" w:sz="4" w:space="0"/>
              <w:right w:val="single" w:color="auto" w:sz="4" w:space="0"/>
            </w:tcBorders>
            <w:noWrap w:val="0"/>
            <w:vAlign w:val="center"/>
          </w:tcPr>
          <w:p w14:paraId="70162148">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一、设备年度维保巡检目录</w:t>
            </w:r>
          </w:p>
        </w:tc>
        <w:tc>
          <w:tcPr>
            <w:tcW w:w="8536" w:type="dxa"/>
            <w:gridSpan w:val="6"/>
            <w:tcBorders>
              <w:top w:val="single" w:color="auto" w:sz="4" w:space="0"/>
              <w:left w:val="single" w:color="auto" w:sz="4" w:space="0"/>
              <w:bottom w:val="single" w:color="auto" w:sz="4" w:space="0"/>
              <w:right w:val="single" w:color="auto" w:sz="4" w:space="0"/>
            </w:tcBorders>
            <w:noWrap w:val="0"/>
            <w:vAlign w:val="center"/>
          </w:tcPr>
          <w:p w14:paraId="17C2432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相思湖校区</w:t>
            </w:r>
          </w:p>
        </w:tc>
      </w:tr>
      <w:tr w14:paraId="0D324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578D0ED3">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10CC401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6BBFCDEF">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设备名称</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354D6F8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规格</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4E80019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77352B4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CC79B7A">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控制价小计（元）</w:t>
            </w:r>
          </w:p>
        </w:tc>
      </w:tr>
      <w:tr w14:paraId="45415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00DC164E">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14:paraId="0AB39A39">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2D25980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变压器</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7DA9DE8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500KVA</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5AAB8262">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78B4101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F36656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650</w:t>
            </w:r>
          </w:p>
        </w:tc>
      </w:tr>
      <w:tr w14:paraId="0B184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31E2307A">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6B3A9074">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0BAE4EDD">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217DD26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630KVA</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6558397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40F5996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D8BA4F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3250</w:t>
            </w:r>
          </w:p>
        </w:tc>
      </w:tr>
      <w:tr w14:paraId="62B0B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75267591">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657F8C41">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44448546">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221A1BC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800KVA</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373C422A">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0E9E05A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76F113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2400</w:t>
            </w:r>
          </w:p>
        </w:tc>
      </w:tr>
      <w:tr w14:paraId="24877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61EBE1CA">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1E6CE32B">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6C8A29A2">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6BEFF73E">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1000KVA</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29F3C44F">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6BF46F2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EEF78B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2400</w:t>
            </w:r>
          </w:p>
        </w:tc>
      </w:tr>
      <w:tr w14:paraId="24E33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23C8D063">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5CF89922">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6FEB4094">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7AFC612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1250KVA</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7579B14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3A900CD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B483FC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1600</w:t>
            </w:r>
          </w:p>
        </w:tc>
      </w:tr>
      <w:tr w14:paraId="2E40E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38CE7D83">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14:paraId="6530186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58FEA3AE">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配电柜</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6121B2A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高压柜</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05C25EF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12EE6139">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49</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0801D1A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3185</w:t>
            </w:r>
          </w:p>
        </w:tc>
      </w:tr>
      <w:tr w14:paraId="5C488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494505BC">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4FEAA4ED">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6668BF89">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799A904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低压柜</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1CED292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6AADFA9E">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84</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390D170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2940</w:t>
            </w:r>
          </w:p>
        </w:tc>
      </w:tr>
      <w:tr w14:paraId="2EA72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13FEEF36">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14:paraId="007C5602">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5DE8B252">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高压柜继电保护</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5F36AE1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温超保护</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256790D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2F4A974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6094DCF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4900</w:t>
            </w:r>
          </w:p>
        </w:tc>
      </w:tr>
      <w:tr w14:paraId="5121F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5EB3E5FF">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737153DC">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7B5F4340">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61BC96C9">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速断保护</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4766E87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50C5A92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FCC679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12250</w:t>
            </w:r>
          </w:p>
        </w:tc>
      </w:tr>
      <w:tr w14:paraId="39515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416E315B">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753099FA">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7A236FC4">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547E4822">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零序保护</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71019F7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7AFF098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3C1CF2F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12250</w:t>
            </w:r>
          </w:p>
        </w:tc>
      </w:tr>
      <w:tr w14:paraId="3CDFF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21A232DC">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65C5409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C42666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出柜电缆</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47F9A6E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电力电缆</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70D0BBD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条</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3640746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495CD1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4000</w:t>
            </w:r>
          </w:p>
        </w:tc>
      </w:tr>
      <w:tr w14:paraId="53EE0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613E7994">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0A42420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4953D2D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自备电源</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70C3949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蓄电池系统</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2D2A802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32B815B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099A00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1000</w:t>
            </w:r>
          </w:p>
        </w:tc>
      </w:tr>
      <w:tr w14:paraId="65E2A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43ED17DA">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14:paraId="6AA2893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6DB1208F">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接地装置</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57E8EFBA">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接地极</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7535203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根</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39A3E349">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28FBB7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4900</w:t>
            </w:r>
          </w:p>
        </w:tc>
      </w:tr>
      <w:tr w14:paraId="32FB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17A1007F">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703EF5E2">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4D984B03">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6C80F05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接地网</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59316EC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网</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67F7DDE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0A0E280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2800</w:t>
            </w:r>
          </w:p>
        </w:tc>
      </w:tr>
      <w:tr w14:paraId="2643F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6146BD0A">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8536" w:type="dxa"/>
            <w:gridSpan w:val="6"/>
            <w:tcBorders>
              <w:top w:val="single" w:color="auto" w:sz="4" w:space="0"/>
              <w:left w:val="single" w:color="auto" w:sz="4" w:space="0"/>
              <w:bottom w:val="single" w:color="auto" w:sz="4" w:space="0"/>
              <w:right w:val="single" w:color="auto" w:sz="4" w:space="0"/>
            </w:tcBorders>
            <w:noWrap w:val="0"/>
            <w:vAlign w:val="center"/>
          </w:tcPr>
          <w:p w14:paraId="11174B9A">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黎塘校区</w:t>
            </w:r>
          </w:p>
        </w:tc>
      </w:tr>
      <w:tr w14:paraId="56576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3904CBCD">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0C9B5219">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04B2E0C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设备名称</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374AA58E">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规格</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792CDAF2">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6F11813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74F45A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控制价小计（元）</w:t>
            </w:r>
          </w:p>
        </w:tc>
      </w:tr>
      <w:tr w14:paraId="578F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1371D134">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14:paraId="04BBB199">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689AB85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变压器</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61A5BE22">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800KVA</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0A733F0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06E0E34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ABA0CE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800</w:t>
            </w:r>
          </w:p>
        </w:tc>
      </w:tr>
      <w:tr w14:paraId="34612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6099FEBF">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6343F97E">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41BDDCC9">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68AA42CF">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160KVA</w:t>
            </w:r>
          </w:p>
        </w:tc>
        <w:tc>
          <w:tcPr>
            <w:tcW w:w="968" w:type="dxa"/>
            <w:tcBorders>
              <w:top w:val="single" w:color="000000" w:sz="4" w:space="0"/>
              <w:left w:val="single" w:color="auto" w:sz="4" w:space="0"/>
              <w:bottom w:val="single" w:color="000000" w:sz="4" w:space="0"/>
              <w:right w:val="single" w:color="000000" w:sz="4" w:space="0"/>
            </w:tcBorders>
            <w:noWrap w:val="0"/>
            <w:vAlign w:val="center"/>
          </w:tcPr>
          <w:p w14:paraId="1CD6956E">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2C2F473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326B5F0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800</w:t>
            </w:r>
          </w:p>
        </w:tc>
      </w:tr>
      <w:tr w14:paraId="537FA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nil"/>
              <w:right w:val="single" w:color="000000" w:sz="4" w:space="0"/>
            </w:tcBorders>
            <w:noWrap w:val="0"/>
            <w:vAlign w:val="center"/>
          </w:tcPr>
          <w:p w14:paraId="07FB1CB3">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000000" w:sz="4" w:space="0"/>
              <w:bottom w:val="single" w:color="000000" w:sz="4" w:space="0"/>
              <w:right w:val="single" w:color="000000" w:sz="4" w:space="0"/>
            </w:tcBorders>
            <w:noWrap w:val="0"/>
            <w:vAlign w:val="center"/>
          </w:tcPr>
          <w:p w14:paraId="4ED8AD0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216" w:type="dxa"/>
            <w:vMerge w:val="restart"/>
            <w:tcBorders>
              <w:top w:val="single" w:color="auto" w:sz="4" w:space="0"/>
              <w:left w:val="single" w:color="000000" w:sz="4" w:space="0"/>
              <w:bottom w:val="single" w:color="000000" w:sz="4" w:space="0"/>
              <w:right w:val="single" w:color="000000" w:sz="4" w:space="0"/>
            </w:tcBorders>
            <w:noWrap w:val="0"/>
            <w:vAlign w:val="center"/>
          </w:tcPr>
          <w:p w14:paraId="2532AA8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配电柜</w:t>
            </w:r>
          </w:p>
        </w:tc>
        <w:tc>
          <w:tcPr>
            <w:tcW w:w="2140" w:type="dxa"/>
            <w:tcBorders>
              <w:top w:val="single" w:color="auto" w:sz="4" w:space="0"/>
              <w:left w:val="single" w:color="000000" w:sz="4" w:space="0"/>
              <w:bottom w:val="single" w:color="000000" w:sz="4" w:space="0"/>
              <w:right w:val="single" w:color="000000" w:sz="4" w:space="0"/>
            </w:tcBorders>
            <w:noWrap w:val="0"/>
            <w:vAlign w:val="center"/>
          </w:tcPr>
          <w:p w14:paraId="51142D3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高压柜</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108AC9E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48643B6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06D30E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260</w:t>
            </w:r>
          </w:p>
        </w:tc>
      </w:tr>
      <w:tr w14:paraId="4D3DE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7749FE9D">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3B1D2E">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D41C85">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1A9A842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低压柜</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27B8E87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68296B6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09F90D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210</w:t>
            </w:r>
          </w:p>
        </w:tc>
      </w:tr>
      <w:tr w14:paraId="59510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78ED3558">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2AFA4DF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5D130B3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出柜电缆</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6801FB4A">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电力电缆</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478D309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条</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0B15758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61B191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1000</w:t>
            </w:r>
          </w:p>
        </w:tc>
      </w:tr>
      <w:tr w14:paraId="02125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5C27ED6D">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000000" w:sz="4" w:space="0"/>
              <w:left w:val="single" w:color="000000" w:sz="4" w:space="0"/>
              <w:bottom w:val="single" w:color="000000" w:sz="4" w:space="0"/>
              <w:right w:val="single" w:color="000000" w:sz="4" w:space="0"/>
            </w:tcBorders>
            <w:noWrap w:val="0"/>
            <w:vAlign w:val="center"/>
          </w:tcPr>
          <w:p w14:paraId="0A06E80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216" w:type="dxa"/>
            <w:vMerge w:val="restart"/>
            <w:tcBorders>
              <w:top w:val="single" w:color="000000" w:sz="4" w:space="0"/>
              <w:left w:val="single" w:color="000000" w:sz="4" w:space="0"/>
              <w:bottom w:val="single" w:color="000000" w:sz="4" w:space="0"/>
              <w:right w:val="single" w:color="000000" w:sz="4" w:space="0"/>
            </w:tcBorders>
            <w:noWrap w:val="0"/>
            <w:vAlign w:val="center"/>
          </w:tcPr>
          <w:p w14:paraId="6965714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接地装置</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4FA27D0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接地极</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54DE5FE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根</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38286F5A">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DE7CB5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700</w:t>
            </w:r>
          </w:p>
        </w:tc>
      </w:tr>
      <w:tr w14:paraId="4C8E9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044E61AC">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4C80A0">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C58558">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7C41005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接地网</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0329F9A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网</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3BB08C0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C6514D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700</w:t>
            </w:r>
          </w:p>
        </w:tc>
      </w:tr>
      <w:tr w14:paraId="75A0B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627F4F1F">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8536" w:type="dxa"/>
            <w:gridSpan w:val="6"/>
            <w:tcBorders>
              <w:top w:val="single" w:color="000000" w:sz="4" w:space="0"/>
              <w:left w:val="single" w:color="000000" w:sz="4" w:space="0"/>
              <w:bottom w:val="single" w:color="000000" w:sz="4" w:space="0"/>
              <w:right w:val="single" w:color="000000" w:sz="4" w:space="0"/>
            </w:tcBorders>
            <w:noWrap w:val="0"/>
            <w:vAlign w:val="center"/>
          </w:tcPr>
          <w:p w14:paraId="3F02F20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安全工器具年度定期检测</w:t>
            </w:r>
          </w:p>
        </w:tc>
      </w:tr>
      <w:tr w14:paraId="55FE6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10A07822">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295036CF">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137CCB1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设备名称</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63C0C33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规格</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5CF0FAAE">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06EBA8E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B705B5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控制价小计（元）</w:t>
            </w:r>
          </w:p>
        </w:tc>
      </w:tr>
      <w:tr w14:paraId="1BAB4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7A3FFA38">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51A26CF1">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173E2BF2">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高压绝缘手套</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67CC9D66">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耐压12KV</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403C43C7">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54FCDDB4">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0083190B">
            <w:pPr>
              <w:keepNext w:val="0"/>
              <w:keepLines w:val="0"/>
              <w:widowControl/>
              <w:suppressLineNumbers w:val="0"/>
              <w:spacing w:line="300" w:lineRule="exact"/>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1500</w:t>
            </w:r>
          </w:p>
        </w:tc>
      </w:tr>
      <w:tr w14:paraId="5EE2F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0155B3F8">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6C841163">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10219676">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高压绝缘鞋</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16A63E31">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耐压20KV</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71388E9C">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3A7372D1">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216FE92">
            <w:pPr>
              <w:keepNext w:val="0"/>
              <w:keepLines w:val="0"/>
              <w:widowControl/>
              <w:suppressLineNumbers w:val="0"/>
              <w:spacing w:line="300" w:lineRule="exact"/>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1500</w:t>
            </w:r>
          </w:p>
        </w:tc>
      </w:tr>
      <w:tr w14:paraId="4249B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73080101">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17A73A1B">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3FC3AF6F">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高压验电器</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219A7090">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10KV</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55FC8E91">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615B07FC">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9C06BB9">
            <w:pPr>
              <w:keepNext w:val="0"/>
              <w:keepLines w:val="0"/>
              <w:widowControl/>
              <w:suppressLineNumbers w:val="0"/>
              <w:spacing w:line="300" w:lineRule="exact"/>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600</w:t>
            </w:r>
          </w:p>
        </w:tc>
      </w:tr>
      <w:tr w14:paraId="475A1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13CBE3A3">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252C9167">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496125CE">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低压验电器</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736C55B2">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0.4KV</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1830A597">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7BFCEAD9">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1496A0C">
            <w:pPr>
              <w:keepNext w:val="0"/>
              <w:keepLines w:val="0"/>
              <w:widowControl/>
              <w:suppressLineNumbers w:val="0"/>
              <w:spacing w:line="300" w:lineRule="exact"/>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600</w:t>
            </w:r>
          </w:p>
        </w:tc>
      </w:tr>
      <w:tr w14:paraId="0B80F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168987A5">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3A482A9D">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112D4C44">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绝缘操作棒</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02FB0FC1">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10KV</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41EA710F">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160FF2B4">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3E433E40">
            <w:pPr>
              <w:keepNext w:val="0"/>
              <w:keepLines w:val="0"/>
              <w:widowControl/>
              <w:suppressLineNumbers w:val="0"/>
              <w:spacing w:line="300" w:lineRule="exact"/>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r>
      <w:tr w14:paraId="52938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 w:hRule="atLeast"/>
          <w:jc w:val="center"/>
        </w:trPr>
        <w:tc>
          <w:tcPr>
            <w:tcW w:w="1318" w:type="dxa"/>
            <w:vMerge w:val="restart"/>
            <w:tcBorders>
              <w:top w:val="single" w:color="000000" w:sz="4" w:space="0"/>
              <w:left w:val="single" w:color="000000" w:sz="4" w:space="0"/>
              <w:bottom w:val="single" w:color="000000" w:sz="4" w:space="0"/>
              <w:right w:val="single" w:color="000000" w:sz="4" w:space="0"/>
            </w:tcBorders>
            <w:noWrap w:val="0"/>
            <w:vAlign w:val="center"/>
          </w:tcPr>
          <w:p w14:paraId="21C2550B">
            <w:pPr>
              <w:keepNext w:val="0"/>
              <w:keepLines w:val="0"/>
              <w:pageBreakBefore w:val="0"/>
              <w:widowControl/>
              <w:suppressLineNumbers w:val="0"/>
              <w:kinsoku/>
              <w:wordWrap/>
              <w:overflowPunct/>
              <w:topLinePunct w:val="0"/>
              <w:autoSpaceDE/>
              <w:autoSpaceDN/>
              <w:bidi w:val="0"/>
              <w:spacing w:line="520" w:lineRule="exact"/>
              <w:jc w:val="lef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二、设备年度试验目录（预防性试验每年一次）</w:t>
            </w:r>
          </w:p>
        </w:tc>
        <w:tc>
          <w:tcPr>
            <w:tcW w:w="1190" w:type="dxa"/>
            <w:tcBorders>
              <w:top w:val="single" w:color="000000" w:sz="4" w:space="0"/>
              <w:left w:val="single" w:color="000000" w:sz="4" w:space="0"/>
              <w:bottom w:val="single" w:color="auto" w:sz="4" w:space="0"/>
              <w:right w:val="single" w:color="000000" w:sz="4" w:space="0"/>
            </w:tcBorders>
            <w:noWrap w:val="0"/>
            <w:vAlign w:val="center"/>
          </w:tcPr>
          <w:p w14:paraId="4AF3237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4324" w:type="dxa"/>
            <w:gridSpan w:val="3"/>
            <w:tcBorders>
              <w:top w:val="single" w:color="000000" w:sz="4" w:space="0"/>
              <w:left w:val="single" w:color="000000" w:sz="4" w:space="0"/>
              <w:bottom w:val="single" w:color="auto" w:sz="4" w:space="0"/>
              <w:right w:val="single" w:color="000000" w:sz="4" w:space="0"/>
            </w:tcBorders>
            <w:noWrap w:val="0"/>
            <w:vAlign w:val="center"/>
          </w:tcPr>
          <w:p w14:paraId="043180C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服务需求</w:t>
            </w:r>
          </w:p>
        </w:tc>
        <w:tc>
          <w:tcPr>
            <w:tcW w:w="963" w:type="dxa"/>
            <w:tcBorders>
              <w:top w:val="single" w:color="000000" w:sz="4" w:space="0"/>
              <w:left w:val="single" w:color="000000" w:sz="4" w:space="0"/>
              <w:bottom w:val="single" w:color="auto" w:sz="4" w:space="0"/>
              <w:right w:val="single" w:color="000000" w:sz="4" w:space="0"/>
            </w:tcBorders>
            <w:noWrap w:val="0"/>
            <w:vAlign w:val="center"/>
          </w:tcPr>
          <w:p w14:paraId="0673B45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c>
          <w:tcPr>
            <w:tcW w:w="2059" w:type="dxa"/>
            <w:tcBorders>
              <w:top w:val="single" w:color="000000" w:sz="4" w:space="0"/>
              <w:left w:val="single" w:color="000000" w:sz="4" w:space="0"/>
              <w:bottom w:val="single" w:color="auto" w:sz="4" w:space="0"/>
              <w:right w:val="single" w:color="000000" w:sz="4" w:space="0"/>
            </w:tcBorders>
            <w:noWrap w:val="0"/>
            <w:vAlign w:val="center"/>
          </w:tcPr>
          <w:p w14:paraId="77CDE33F">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控制价小计（元）</w:t>
            </w:r>
          </w:p>
        </w:tc>
      </w:tr>
      <w:tr w14:paraId="583BD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 w:hRule="atLeast"/>
          <w:jc w:val="center"/>
        </w:trPr>
        <w:tc>
          <w:tcPr>
            <w:tcW w:w="1318" w:type="dxa"/>
            <w:vMerge w:val="continue"/>
            <w:tcBorders>
              <w:top w:val="single" w:color="000000" w:sz="4" w:space="0"/>
              <w:left w:val="single" w:color="000000" w:sz="4" w:space="0"/>
              <w:bottom w:val="single" w:color="000000" w:sz="4" w:space="0"/>
              <w:right w:val="single" w:color="auto" w:sz="4" w:space="0"/>
            </w:tcBorders>
            <w:noWrap w:val="0"/>
            <w:vAlign w:val="center"/>
          </w:tcPr>
          <w:p w14:paraId="47894993">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796FD96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4324" w:type="dxa"/>
            <w:gridSpan w:val="3"/>
            <w:tcBorders>
              <w:top w:val="single" w:color="auto" w:sz="4" w:space="0"/>
              <w:left w:val="single" w:color="auto" w:sz="4" w:space="0"/>
              <w:bottom w:val="single" w:color="auto" w:sz="4" w:space="0"/>
              <w:right w:val="single" w:color="auto" w:sz="4" w:space="0"/>
            </w:tcBorders>
            <w:noWrap w:val="0"/>
            <w:vAlign w:val="top"/>
          </w:tcPr>
          <w:p w14:paraId="72D2EF06">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uto"/>
              <w:jc w:val="both"/>
              <w:textAlignment w:val="auto"/>
              <w:rPr>
                <w:rFonts w:hint="eastAsia"/>
                <w:lang w:val="en-US" w:eastAsia="zh-CN"/>
              </w:rPr>
            </w:pPr>
            <w:r>
              <w:rPr>
                <w:rFonts w:hint="eastAsia"/>
                <w:lang w:val="en-US" w:eastAsia="zh-CN"/>
              </w:rPr>
              <w:t>1.每月一次对服务范围内的配电设备进行日常巡视（运维人员两人一组，严格按规程共同作业），及时排查电气设备缺陷，将配电系统的不安全因素消除或控制在萌芽状态。</w:t>
            </w:r>
            <w:r>
              <w:rPr>
                <w:rFonts w:hint="eastAsia"/>
                <w:lang w:val="en-US" w:eastAsia="zh-CN"/>
              </w:rPr>
              <w:br w:type="textWrapping"/>
            </w:r>
            <w:r>
              <w:rPr>
                <w:rFonts w:hint="eastAsia"/>
                <w:lang w:val="en-US" w:eastAsia="zh-CN"/>
              </w:rPr>
              <w:t>2.全天候24小时受理配电系统报故障处理，接报相思湖校区配电系统故障2小时内（黎塘校区3个小时内）、人员、车辆、机具协同到场，快速处置故障，高效复电。</w:t>
            </w:r>
            <w:r>
              <w:rPr>
                <w:rFonts w:hint="eastAsia"/>
                <w:lang w:val="en-US" w:eastAsia="zh-CN"/>
              </w:rPr>
              <w:br w:type="textWrapping"/>
            </w:r>
            <w:r>
              <w:rPr>
                <w:rFonts w:hint="eastAsia"/>
                <w:lang w:val="en-US" w:eastAsia="zh-CN"/>
              </w:rPr>
              <w:t>3.免人工费和故障检测费（大额材料费、土建费和涉及的大型施工机具费等由客户负责）为服务范围内的配电设备进行抢修、检修工作，减少因设备故障造成的损失。对设备零部件如果不超过500元（含）的进行免费更换。</w:t>
            </w:r>
            <w:r>
              <w:rPr>
                <w:rFonts w:hint="eastAsia"/>
                <w:lang w:val="en-US" w:eastAsia="zh-CN"/>
              </w:rPr>
              <w:br w:type="textWrapping"/>
            </w:r>
            <w:r>
              <w:rPr>
                <w:rFonts w:hint="eastAsia"/>
                <w:lang w:val="en-US" w:eastAsia="zh-CN"/>
              </w:rPr>
              <w:t>3.根据学校需求，提供校内大型活动（校运会、考试等）提供免费值班保供电服务。</w:t>
            </w:r>
          </w:p>
          <w:p w14:paraId="1368DA87">
            <w:pPr>
              <w:rPr>
                <w:rFonts w:hint="eastAsia"/>
                <w:lang w:val="en-US" w:eastAsia="zh-CN"/>
              </w:rPr>
            </w:pPr>
            <w:r>
              <w:rPr>
                <w:rFonts w:hint="eastAsia"/>
                <w:lang w:val="en-US" w:eastAsia="zh-CN"/>
              </w:rPr>
              <w:t>4.合同期内</w:t>
            </w:r>
            <w:r>
              <w:rPr>
                <w:rFonts w:hint="eastAsia"/>
                <w:lang w:eastAsia="zh-CN"/>
              </w:rPr>
              <w:t>服务商</w:t>
            </w:r>
            <w:r>
              <w:rPr>
                <w:rFonts w:hint="eastAsia"/>
                <w:lang w:val="en-US" w:eastAsia="zh-CN"/>
              </w:rPr>
              <w:t>配合或指导采购单位年内不少于2次配电房室内、外现场应急演练。</w:t>
            </w:r>
          </w:p>
          <w:p w14:paraId="2E912175">
            <w:pPr>
              <w:rPr>
                <w:rFonts w:hint="eastAsia" w:asciiTheme="minorEastAsia" w:hAnsiTheme="minorEastAsia" w:eastAsiaTheme="minorEastAsia" w:cstheme="minorEastAsia"/>
                <w:szCs w:val="21"/>
                <w:lang w:val="en-US" w:eastAsia="zh-CN"/>
              </w:rPr>
            </w:pPr>
            <w:r>
              <w:rPr>
                <w:rFonts w:hint="eastAsia"/>
                <w:lang w:val="en-US" w:eastAsia="zh-CN"/>
              </w:rPr>
              <w:t>5.合同期内做一次周期性测试试验，年度内提交报告。</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1A985ED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74A71404">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32400</w:t>
            </w:r>
          </w:p>
        </w:tc>
      </w:tr>
      <w:tr w14:paraId="0C87F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0" w:type="auto"/>
            <w:gridSpan w:val="7"/>
            <w:tcBorders>
              <w:top w:val="single" w:color="000000" w:sz="4" w:space="0"/>
              <w:left w:val="single" w:color="000000" w:sz="4" w:space="0"/>
              <w:bottom w:val="single" w:color="000000" w:sz="4" w:space="0"/>
              <w:right w:val="single" w:color="000000" w:sz="4" w:space="0"/>
            </w:tcBorders>
            <w:noWrap w:val="0"/>
            <w:vAlign w:val="center"/>
          </w:tcPr>
          <w:p w14:paraId="2BD5C96A">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控制价合计金额大写：玖万玖仟柒佰玖拾伍元整  （小写：¥</w:t>
            </w:r>
            <w:r>
              <w:rPr>
                <w:rFonts w:hint="eastAsia" w:asciiTheme="minorEastAsia" w:hAnsiTheme="minorEastAsia" w:eastAsiaTheme="minorEastAsia" w:cstheme="minorEastAsia"/>
                <w:i w:val="0"/>
                <w:iCs w:val="0"/>
                <w:color w:val="000000"/>
                <w:kern w:val="0"/>
                <w:sz w:val="21"/>
                <w:szCs w:val="21"/>
                <w:u w:val="single"/>
                <w:lang w:val="en-US" w:eastAsia="zh-CN" w:bidi="ar"/>
              </w:rPr>
              <w:t xml:space="preserve">99795.00 </w:t>
            </w:r>
            <w:r>
              <w:rPr>
                <w:rFonts w:hint="eastAsia" w:asciiTheme="minorEastAsia" w:hAnsiTheme="minorEastAsia" w:eastAsiaTheme="minorEastAsia" w:cstheme="minorEastAsia"/>
                <w:i w:val="0"/>
                <w:iCs w:val="0"/>
                <w:color w:val="000000"/>
                <w:kern w:val="0"/>
                <w:sz w:val="21"/>
                <w:szCs w:val="21"/>
                <w:u w:val="none"/>
                <w:lang w:val="en-US" w:eastAsia="zh-CN" w:bidi="ar"/>
              </w:rPr>
              <w:t>元）</w:t>
            </w:r>
          </w:p>
        </w:tc>
      </w:tr>
      <w:tr w14:paraId="0AD2C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0" w:type="auto"/>
            <w:gridSpan w:val="7"/>
            <w:tcBorders>
              <w:top w:val="single" w:color="000000" w:sz="4" w:space="0"/>
              <w:left w:val="single" w:color="000000" w:sz="4" w:space="0"/>
              <w:bottom w:val="single" w:color="000000" w:sz="4" w:space="0"/>
              <w:right w:val="single" w:color="000000" w:sz="4" w:space="0"/>
            </w:tcBorders>
            <w:noWrap w:val="0"/>
            <w:vAlign w:val="center"/>
          </w:tcPr>
          <w:p w14:paraId="1006A66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商务条款</w:t>
            </w:r>
          </w:p>
        </w:tc>
      </w:tr>
      <w:tr w14:paraId="1B84D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gridSpan w:val="7"/>
            <w:tcBorders>
              <w:top w:val="single" w:color="000000" w:sz="4" w:space="0"/>
              <w:left w:val="single" w:color="000000" w:sz="4" w:space="0"/>
              <w:bottom w:val="single" w:color="000000" w:sz="4" w:space="0"/>
              <w:right w:val="single" w:color="000000" w:sz="4" w:space="0"/>
            </w:tcBorders>
            <w:noWrap w:val="0"/>
            <w:vAlign w:val="center"/>
          </w:tcPr>
          <w:p w14:paraId="6DF1590C">
            <w:pPr>
              <w:pageBreakBefore w:val="0"/>
              <w:widowControl w:val="0"/>
              <w:kinsoku/>
              <w:wordWrap/>
              <w:overflowPunct/>
              <w:topLinePunct w:val="0"/>
              <w:autoSpaceDE/>
              <w:autoSpaceDN/>
              <w:bidi w:val="0"/>
              <w:spacing w:before="0" w:after="0"/>
              <w:ind w:firstLineChars="0"/>
              <w:textAlignment w:val="auto"/>
              <w:rPr>
                <w:rFonts w:hint="eastAsia"/>
              </w:rPr>
            </w:pPr>
            <w:r>
              <w:rPr>
                <w:rFonts w:hint="eastAsia"/>
              </w:rPr>
              <w:t>一、维保范围</w:t>
            </w:r>
          </w:p>
          <w:p w14:paraId="172C3A88">
            <w:pPr>
              <w:pageBreakBefore w:val="0"/>
              <w:widowControl/>
              <w:kinsoku/>
              <w:wordWrap/>
              <w:overflowPunct/>
              <w:topLinePunct w:val="0"/>
              <w:autoSpaceDE/>
              <w:autoSpaceDN/>
              <w:bidi w:val="0"/>
              <w:spacing w:line="240" w:lineRule="auto"/>
              <w:ind w:firstLine="0" w:firstLineChars="0"/>
              <w:textAlignment w:val="auto"/>
              <w:rPr>
                <w:rFonts w:hint="eastAsia"/>
              </w:rPr>
            </w:pPr>
            <w:r>
              <w:rPr>
                <w:rFonts w:hint="eastAsia"/>
              </w:rPr>
              <w:t>相思湖、黎塘校区及各教学点配电设备</w:t>
            </w:r>
          </w:p>
          <w:p w14:paraId="3880ECEF">
            <w:pPr>
              <w:pageBreakBefore w:val="0"/>
              <w:widowControl w:val="0"/>
              <w:kinsoku/>
              <w:wordWrap/>
              <w:overflowPunct/>
              <w:topLinePunct w:val="0"/>
              <w:autoSpaceDE/>
              <w:autoSpaceDN/>
              <w:bidi w:val="0"/>
              <w:spacing w:before="0" w:after="0"/>
              <w:ind w:firstLineChars="200"/>
              <w:textAlignment w:val="auto"/>
              <w:rPr>
                <w:rFonts w:hint="eastAsia"/>
              </w:rPr>
            </w:pPr>
            <w:r>
              <w:rPr>
                <w:rFonts w:hint="eastAsia"/>
              </w:rPr>
              <w:t>二、</w:t>
            </w:r>
            <w:r>
              <w:rPr>
                <w:rFonts w:hint="eastAsia"/>
                <w:lang w:eastAsia="zh-CN"/>
              </w:rPr>
              <w:t>服务</w:t>
            </w:r>
            <w:r>
              <w:rPr>
                <w:rFonts w:hint="eastAsia"/>
              </w:rPr>
              <w:t>要求</w:t>
            </w:r>
          </w:p>
          <w:p w14:paraId="587D0447">
            <w:pPr>
              <w:pageBreakBefore w:val="0"/>
              <w:widowControl/>
              <w:kinsoku/>
              <w:wordWrap/>
              <w:overflowPunct/>
              <w:topLinePunct w:val="0"/>
              <w:autoSpaceDE/>
              <w:autoSpaceDN/>
              <w:bidi w:val="0"/>
              <w:spacing w:line="240" w:lineRule="auto"/>
              <w:ind w:firstLine="0" w:firstLineChars="0"/>
              <w:textAlignment w:val="auto"/>
              <w:rPr>
                <w:rFonts w:hint="eastAsia"/>
              </w:rPr>
            </w:pPr>
            <w:r>
              <w:rPr>
                <w:rFonts w:hint="eastAsia"/>
                <w:lang w:val="en-US" w:eastAsia="zh-CN"/>
              </w:rPr>
              <w:t>1.</w:t>
            </w:r>
            <w:r>
              <w:rPr>
                <w:rFonts w:hint="eastAsia"/>
                <w:lang w:val="hr-HR"/>
              </w:rPr>
              <w:t>项目简述</w:t>
            </w:r>
          </w:p>
          <w:p w14:paraId="112C54D4">
            <w:pPr>
              <w:pageBreakBefore w:val="0"/>
              <w:widowControl/>
              <w:kinsoku/>
              <w:wordWrap/>
              <w:overflowPunct/>
              <w:topLinePunct w:val="0"/>
              <w:autoSpaceDE/>
              <w:autoSpaceDN/>
              <w:bidi w:val="0"/>
              <w:spacing w:line="240" w:lineRule="auto"/>
              <w:ind w:firstLine="0" w:firstLineChars="0"/>
              <w:textAlignment w:val="auto"/>
              <w:rPr>
                <w:rFonts w:hint="eastAsia"/>
              </w:rPr>
            </w:pPr>
            <w:r>
              <w:rPr>
                <w:rFonts w:hint="eastAsia"/>
                <w:lang w:val="hr-HR" w:eastAsia="zh-CN"/>
              </w:rPr>
              <w:t>（</w:t>
            </w:r>
            <w:r>
              <w:rPr>
                <w:rFonts w:hint="eastAsia"/>
                <w:lang w:val="en-US" w:eastAsia="zh-CN"/>
              </w:rPr>
              <w:t>1</w:t>
            </w:r>
            <w:r>
              <w:rPr>
                <w:rFonts w:hint="eastAsia"/>
                <w:lang w:val="hr-HR" w:eastAsia="zh-CN"/>
              </w:rPr>
              <w:t>）</w:t>
            </w:r>
            <w:r>
              <w:rPr>
                <w:rFonts w:hint="eastAsia"/>
              </w:rPr>
              <w:t>南宁市卫生学校（相思湖校区、黎塘校区）高/低压配电房（高压配电房内高压盘柜，低压配电房内低压盘柜、变压器等）维护、试验与保养：</w:t>
            </w:r>
          </w:p>
          <w:p w14:paraId="4B48E033">
            <w:pPr>
              <w:pageBreakBefore w:val="0"/>
              <w:widowControl/>
              <w:kinsoku/>
              <w:wordWrap/>
              <w:overflowPunct/>
              <w:topLinePunct w:val="0"/>
              <w:autoSpaceDE/>
              <w:autoSpaceDN/>
              <w:bidi w:val="0"/>
              <w:spacing w:line="240" w:lineRule="auto"/>
              <w:ind w:firstLine="0" w:firstLineChars="0"/>
              <w:textAlignment w:val="auto"/>
              <w:rPr>
                <w:rFonts w:hint="eastAsia"/>
              </w:rPr>
            </w:pPr>
            <w:r>
              <w:rPr>
                <w:rFonts w:hint="eastAsia"/>
              </w:rPr>
              <w:t>（</w:t>
            </w:r>
            <w:r>
              <w:rPr>
                <w:rFonts w:hint="eastAsia"/>
                <w:lang w:val="en-US" w:eastAsia="zh-CN"/>
              </w:rPr>
              <w:t>2</w:t>
            </w:r>
            <w:r>
              <w:rPr>
                <w:rFonts w:hint="eastAsia"/>
              </w:rPr>
              <w:t>）配电设备试验周期每年一次。</w:t>
            </w:r>
          </w:p>
          <w:p w14:paraId="44C5D713">
            <w:pPr>
              <w:pageBreakBefore w:val="0"/>
              <w:widowControl/>
              <w:kinsoku/>
              <w:wordWrap/>
              <w:overflowPunct/>
              <w:topLinePunct w:val="0"/>
              <w:autoSpaceDE/>
              <w:autoSpaceDN/>
              <w:bidi w:val="0"/>
              <w:spacing w:line="240" w:lineRule="auto"/>
              <w:ind w:firstLine="0" w:firstLineChars="0"/>
              <w:textAlignment w:val="auto"/>
              <w:rPr>
                <w:rFonts w:hint="eastAsia"/>
              </w:rPr>
            </w:pPr>
            <w:r>
              <w:rPr>
                <w:rFonts w:hint="eastAsia"/>
              </w:rPr>
              <w:t>（</w:t>
            </w:r>
            <w:r>
              <w:rPr>
                <w:rFonts w:hint="eastAsia"/>
                <w:lang w:val="en-US" w:eastAsia="zh-CN"/>
              </w:rPr>
              <w:t>3</w:t>
            </w:r>
            <w:r>
              <w:rPr>
                <w:rFonts w:hint="eastAsia"/>
              </w:rPr>
              <w:t>）每</w:t>
            </w:r>
            <w:r>
              <w:rPr>
                <w:rFonts w:hint="eastAsia"/>
                <w:lang w:eastAsia="zh-CN"/>
              </w:rPr>
              <w:t>月</w:t>
            </w:r>
            <w:r>
              <w:rPr>
                <w:rFonts w:hint="eastAsia"/>
              </w:rPr>
              <w:t>对所有维护配电系统设备维护检（巡）查。</w:t>
            </w:r>
          </w:p>
          <w:p w14:paraId="6040F2BA">
            <w:pPr>
              <w:pageBreakBefore w:val="0"/>
              <w:widowControl/>
              <w:kinsoku/>
              <w:wordWrap/>
              <w:overflowPunct/>
              <w:topLinePunct w:val="0"/>
              <w:autoSpaceDE/>
              <w:autoSpaceDN/>
              <w:bidi w:val="0"/>
              <w:spacing w:line="240" w:lineRule="auto"/>
              <w:ind w:firstLine="0" w:firstLineChars="0"/>
              <w:textAlignment w:val="auto"/>
              <w:rPr>
                <w:rFonts w:hint="eastAsia"/>
                <w:lang w:val="hr-HR"/>
              </w:rPr>
            </w:pPr>
            <w:r>
              <w:rPr>
                <w:rFonts w:hint="eastAsia"/>
                <w:lang w:val="en-US" w:eastAsia="zh-CN"/>
              </w:rPr>
              <w:t>2.</w:t>
            </w:r>
            <w:r>
              <w:rPr>
                <w:rFonts w:hint="eastAsia"/>
                <w:lang w:val="hr-HR"/>
              </w:rPr>
              <w:t>具体</w:t>
            </w:r>
            <w:r>
              <w:rPr>
                <w:rFonts w:hint="eastAsia"/>
                <w:lang w:val="hr-HR" w:eastAsia="zh-CN"/>
              </w:rPr>
              <w:t>服务</w:t>
            </w:r>
            <w:r>
              <w:rPr>
                <w:rFonts w:hint="eastAsia"/>
                <w:lang w:val="hr-HR"/>
              </w:rPr>
              <w:t>要求</w:t>
            </w:r>
          </w:p>
          <w:p w14:paraId="54855BC6">
            <w:pPr>
              <w:pageBreakBefore w:val="0"/>
              <w:widowControl/>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（1）</w:t>
            </w:r>
            <w:r>
              <w:rPr>
                <w:rFonts w:hint="eastAsia"/>
                <w:lang w:eastAsia="zh-CN"/>
              </w:rPr>
              <w:t>服务团队不少于</w:t>
            </w:r>
            <w:r>
              <w:rPr>
                <w:rFonts w:hint="eastAsia"/>
                <w:lang w:val="en-US" w:eastAsia="zh-CN"/>
              </w:rPr>
              <w:t>5人，其中</w:t>
            </w:r>
            <w:r>
              <w:rPr>
                <w:rFonts w:hint="eastAsia"/>
              </w:rPr>
              <w:t>需配备一名中级职称电气工程师作为项目技术负责人，专业技术与现场作业人员（不少于4人），</w:t>
            </w:r>
            <w:commentRangeStart w:id="1"/>
            <w:commentRangeStart w:id="2"/>
            <w:r>
              <w:rPr>
                <w:rFonts w:hint="default" w:ascii="Times New Roman" w:hAnsi="Times New Roman" w:eastAsia="宋体" w:cs="Times New Roman"/>
                <w:sz w:val="21"/>
                <w:szCs w:val="24"/>
              </w:rPr>
              <w:t>必须持有特种作业操作证（高压电工</w:t>
            </w:r>
            <w:r>
              <w:rPr>
                <w:rFonts w:hint="default" w:ascii="Times New Roman" w:hAnsi="Times New Roman" w:eastAsia="宋体" w:cs="Times New Roman"/>
                <w:sz w:val="21"/>
                <w:szCs w:val="24"/>
                <w:lang w:eastAsia="zh-CN"/>
              </w:rPr>
              <w:t>作业类</w:t>
            </w:r>
            <w:r>
              <w:rPr>
                <w:rFonts w:hint="default" w:ascii="Times New Roman" w:hAnsi="Times New Roman" w:eastAsia="宋体" w:cs="Times New Roman"/>
                <w:sz w:val="21"/>
                <w:szCs w:val="24"/>
              </w:rPr>
              <w:t>）</w:t>
            </w:r>
            <w:r>
              <w:rPr>
                <w:rFonts w:hint="default" w:ascii="Times New Roman" w:hAnsi="Times New Roman" w:eastAsia="宋体" w:cs="Times New Roman"/>
                <w:sz w:val="21"/>
                <w:szCs w:val="24"/>
                <w:lang w:eastAsia="zh-CN"/>
              </w:rPr>
              <w:t>或</w:t>
            </w:r>
            <w:r>
              <w:rPr>
                <w:rFonts w:hint="default" w:ascii="Times New Roman" w:hAnsi="Times New Roman" w:eastAsia="宋体" w:cs="Times New Roman"/>
                <w:sz w:val="21"/>
                <w:szCs w:val="24"/>
              </w:rPr>
              <w:t>电工进网作业许可证</w:t>
            </w:r>
            <w:commentRangeEnd w:id="1"/>
            <w:r>
              <w:commentReference w:id="1"/>
            </w:r>
            <w:commentRangeEnd w:id="2"/>
            <w:r>
              <w:commentReference w:id="2"/>
            </w:r>
            <w:r>
              <w:rPr>
                <w:rFonts w:hint="eastAsia"/>
              </w:rPr>
              <w:t>。</w:t>
            </w:r>
            <w:commentRangeStart w:id="3"/>
            <w:commentRangeStart w:id="4"/>
            <w:r>
              <w:rPr>
                <w:rFonts w:hint="eastAsia"/>
              </w:rPr>
              <w:t>（竞标时需提供以上证件复印件并加盖公章</w:t>
            </w:r>
            <w:r>
              <w:rPr>
                <w:rFonts w:hint="eastAsia"/>
                <w:lang w:eastAsia="zh-CN"/>
              </w:rPr>
              <w:t>，以及提供员工</w:t>
            </w:r>
            <w:r>
              <w:rPr>
                <w:rFonts w:hint="default"/>
              </w:rPr>
              <w:t>社保缴纳证明</w:t>
            </w:r>
            <w:r>
              <w:rPr>
                <w:rFonts w:hint="eastAsia"/>
                <w:lang w:eastAsia="zh-CN"/>
              </w:rPr>
              <w:t>或</w:t>
            </w:r>
            <w:r>
              <w:rPr>
                <w:rFonts w:hint="default"/>
              </w:rPr>
              <w:t>劳动合同</w:t>
            </w:r>
            <w:r>
              <w:rPr>
                <w:rFonts w:hint="eastAsia"/>
              </w:rPr>
              <w:t>。</w:t>
            </w:r>
            <w:commentRangeEnd w:id="3"/>
            <w:r>
              <w:commentReference w:id="3"/>
            </w:r>
            <w:commentRangeEnd w:id="4"/>
            <w:r>
              <w:commentReference w:id="4"/>
            </w:r>
          </w:p>
          <w:p w14:paraId="307A3A20">
            <w:pPr>
              <w:pageBreakBefore w:val="0"/>
              <w:widowControl/>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（2）</w:t>
            </w:r>
            <w:r>
              <w:rPr>
                <w:rFonts w:hint="eastAsia"/>
                <w:lang w:eastAsia="zh-CN"/>
              </w:rPr>
              <w:t>服务商</w:t>
            </w:r>
            <w:r>
              <w:rPr>
                <w:rFonts w:hint="eastAsia"/>
              </w:rPr>
              <w:t>应配备相应的试验设备，以满足年检试验工作需要，主要包含以下设备；</w:t>
            </w:r>
          </w:p>
          <w:p w14:paraId="0F460008">
            <w:pPr>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变压器直阻测试仪；</w:t>
            </w:r>
          </w:p>
          <w:p w14:paraId="466EA66E">
            <w:pPr>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变压器变比测试仪；</w:t>
            </w:r>
          </w:p>
          <w:p w14:paraId="649C5DAB">
            <w:pPr>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高压开关机械特性测试仪；</w:t>
            </w:r>
          </w:p>
          <w:p w14:paraId="47303682">
            <w:pPr>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高压开关回路电阻测试仪；</w:t>
            </w:r>
          </w:p>
          <w:p w14:paraId="0BD2C672">
            <w:pPr>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互感器测试仪；</w:t>
            </w:r>
          </w:p>
          <w:p w14:paraId="67170A1A">
            <w:pPr>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避雷器直流泄漏试验装置；</w:t>
            </w:r>
          </w:p>
          <w:p w14:paraId="04360215">
            <w:pPr>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工频耐压设备（≧50kV)；</w:t>
            </w:r>
          </w:p>
          <w:p w14:paraId="36C0083B">
            <w:pPr>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电动摇表（≧2500V）；</w:t>
            </w:r>
          </w:p>
          <w:p w14:paraId="3B62A3AA">
            <w:pPr>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微机保护校验仪器；</w:t>
            </w:r>
          </w:p>
          <w:p w14:paraId="3A4D9899">
            <w:pPr>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红外线测温仪。</w:t>
            </w:r>
          </w:p>
          <w:p w14:paraId="25470061">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w:t>
            </w:r>
            <w:r>
              <w:rPr>
                <w:rFonts w:hint="eastAsia"/>
                <w:lang w:val="en-US" w:eastAsia="zh-CN"/>
              </w:rPr>
              <w:t>3</w:t>
            </w:r>
            <w:r>
              <w:rPr>
                <w:rFonts w:hint="eastAsia"/>
              </w:rPr>
              <w:t>）配备的巡查人员，必须每</w:t>
            </w:r>
            <w:r>
              <w:rPr>
                <w:rFonts w:hint="eastAsia"/>
                <w:lang w:eastAsia="zh-CN"/>
              </w:rPr>
              <w:t>月</w:t>
            </w:r>
            <w:r>
              <w:rPr>
                <w:rFonts w:hint="eastAsia"/>
              </w:rPr>
              <w:t>对设备深度巡检，每次巡查应提交巡检总结报告或详细的巡检记录，记录运行数据并分析负荷平衡、无功补偿效率等发现安全隐患及时处理，并交采购人签名确认，同时提交给采购人年度维保工作计划。</w:t>
            </w:r>
          </w:p>
          <w:p w14:paraId="2CAF48A0">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lang w:eastAsia="zh-CN"/>
              </w:rPr>
            </w:pPr>
            <w:r>
              <w:rPr>
                <w:rFonts w:hint="eastAsia"/>
              </w:rPr>
              <w:t>（</w:t>
            </w:r>
            <w:r>
              <w:rPr>
                <w:rFonts w:hint="eastAsia"/>
                <w:lang w:val="en-US" w:eastAsia="zh-CN"/>
              </w:rPr>
              <w:t>4</w:t>
            </w:r>
            <w:r>
              <w:rPr>
                <w:rFonts w:hint="eastAsia"/>
              </w:rPr>
              <w:t>）</w:t>
            </w:r>
            <w:r>
              <w:rPr>
                <w:rFonts w:hint="eastAsia"/>
                <w:lang w:eastAsia="zh-CN"/>
              </w:rPr>
              <w:t>服务商</w:t>
            </w:r>
            <w:r>
              <w:rPr>
                <w:rFonts w:hint="eastAsia"/>
              </w:rPr>
              <w:t>应对地下室的配电房内卫生进行清洁，无杂物,线槽、盖板规范放置；室外的</w:t>
            </w:r>
            <w:r>
              <w:rPr>
                <w:rFonts w:hint="eastAsia"/>
                <w:lang w:eastAsia="zh-CN"/>
              </w:rPr>
              <w:t>箱式</w:t>
            </w:r>
            <w:r>
              <w:rPr>
                <w:rFonts w:hint="eastAsia"/>
              </w:rPr>
              <w:t>变压器</w:t>
            </w:r>
            <w:r>
              <w:rPr>
                <w:rFonts w:hint="eastAsia"/>
                <w:lang w:eastAsia="zh-CN"/>
              </w:rPr>
              <w:t>底座下</w:t>
            </w:r>
            <w:r>
              <w:rPr>
                <w:rFonts w:hint="eastAsia"/>
              </w:rPr>
              <w:t>杂草进行清理</w:t>
            </w:r>
            <w:r>
              <w:rPr>
                <w:rFonts w:hint="eastAsia"/>
                <w:lang w:eastAsia="zh-CN"/>
              </w:rPr>
              <w:t>。</w:t>
            </w:r>
          </w:p>
          <w:p w14:paraId="0D6F2DED">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w:t>
            </w:r>
            <w:r>
              <w:rPr>
                <w:rFonts w:hint="eastAsia"/>
                <w:lang w:val="en-US" w:eastAsia="zh-CN"/>
              </w:rPr>
              <w:t>5</w:t>
            </w:r>
            <w:r>
              <w:rPr>
                <w:rFonts w:hint="eastAsia"/>
              </w:rPr>
              <w:t>）设备年检试验项目的指标应符合南方电网预防性试验规程（2011版）的要求，不得存在漏项或降低标准的现象。</w:t>
            </w:r>
          </w:p>
          <w:p w14:paraId="1F1A54F4">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w:t>
            </w:r>
            <w:r>
              <w:rPr>
                <w:rFonts w:hint="eastAsia"/>
                <w:lang w:val="en-US" w:eastAsia="zh-CN"/>
              </w:rPr>
              <w:t>6</w:t>
            </w:r>
            <w:r>
              <w:rPr>
                <w:rFonts w:hint="eastAsia"/>
              </w:rPr>
              <w:t>）</w:t>
            </w:r>
            <w:r>
              <w:rPr>
                <w:rFonts w:hint="eastAsia"/>
                <w:lang w:eastAsia="zh-CN"/>
              </w:rPr>
              <w:t>如配电房发生突发故障等应急事件，服务商应</w:t>
            </w:r>
            <w:r>
              <w:rPr>
                <w:rFonts w:hint="eastAsia"/>
              </w:rPr>
              <w:t>在30分钟内给予响应电话答复，并在2小时内</w:t>
            </w:r>
            <w:r>
              <w:rPr>
                <w:rFonts w:hint="eastAsia"/>
                <w:lang w:eastAsia="zh-CN"/>
              </w:rPr>
              <w:t>（黎塘校区</w:t>
            </w:r>
            <w:r>
              <w:rPr>
                <w:rFonts w:hint="eastAsia"/>
                <w:lang w:val="en-US" w:eastAsia="zh-CN"/>
              </w:rPr>
              <w:t>3小时内</w:t>
            </w:r>
            <w:r>
              <w:rPr>
                <w:rFonts w:hint="eastAsia"/>
                <w:lang w:eastAsia="zh-CN"/>
              </w:rPr>
              <w:t>）</w:t>
            </w:r>
            <w:r>
              <w:rPr>
                <w:rFonts w:hint="eastAsia"/>
              </w:rPr>
              <w:t>赶赴现场处理安排。发生维保项内电力系统设施设备应急事件时，维护方应在无条件情况下尽快赶到现场</w:t>
            </w:r>
            <w:r>
              <w:rPr>
                <w:rFonts w:hint="eastAsia"/>
                <w:lang w:eastAsia="zh-CN"/>
              </w:rPr>
              <w:t>处置</w:t>
            </w:r>
            <w:r>
              <w:rPr>
                <w:rFonts w:hint="eastAsia"/>
              </w:rPr>
              <w:t>，12小时内恢复供电（高压系统）；低压系统则要求60分钟内到场处理；重大故障需要48小时内修复，否则需书面备案。根据现场实际情况进行处理恢复正常用电，并保障</w:t>
            </w:r>
            <w:r>
              <w:rPr>
                <w:rFonts w:hint="eastAsia"/>
                <w:lang w:eastAsia="zh-CN"/>
              </w:rPr>
              <w:t>采购人</w:t>
            </w:r>
            <w:r>
              <w:rPr>
                <w:rFonts w:hint="eastAsia"/>
              </w:rPr>
              <w:t>的用电安全。如</w:t>
            </w:r>
            <w:r>
              <w:rPr>
                <w:rFonts w:hint="eastAsia"/>
                <w:lang w:eastAsia="zh-CN"/>
              </w:rPr>
              <w:t>服务商</w:t>
            </w:r>
            <w:r>
              <w:rPr>
                <w:rFonts w:hint="eastAsia"/>
              </w:rPr>
              <w:t>未按以上条款，维保不到位等造成设备故障，造成</w:t>
            </w:r>
            <w:r>
              <w:rPr>
                <w:rFonts w:hint="eastAsia"/>
                <w:lang w:eastAsia="zh-CN"/>
              </w:rPr>
              <w:t>采购人（</w:t>
            </w:r>
            <w:r>
              <w:rPr>
                <w:rFonts w:hint="eastAsia"/>
              </w:rPr>
              <w:t>校方</w:t>
            </w:r>
            <w:r>
              <w:rPr>
                <w:rFonts w:hint="eastAsia"/>
                <w:lang w:eastAsia="zh-CN"/>
              </w:rPr>
              <w:t>）</w:t>
            </w:r>
            <w:r>
              <w:rPr>
                <w:rFonts w:hint="eastAsia"/>
              </w:rPr>
              <w:t>用电存在一定影响，校方可一次性扣款1000元整，在当季度维保费中扣除。</w:t>
            </w:r>
          </w:p>
          <w:p w14:paraId="241A91C2">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lang w:val="hr-HR"/>
              </w:rPr>
            </w:pPr>
            <w:r>
              <w:rPr>
                <w:rFonts w:hint="eastAsia"/>
                <w:lang w:val="hr-HR"/>
              </w:rPr>
              <w:t>（</w:t>
            </w:r>
            <w:r>
              <w:rPr>
                <w:rFonts w:hint="eastAsia"/>
                <w:lang w:val="en-US" w:eastAsia="zh-CN"/>
              </w:rPr>
              <w:t>7</w:t>
            </w:r>
            <w:r>
              <w:rPr>
                <w:rFonts w:hint="eastAsia"/>
                <w:lang w:val="hr-HR"/>
              </w:rPr>
              <w:t>）</w:t>
            </w:r>
            <w:r>
              <w:rPr>
                <w:rFonts w:hint="eastAsia"/>
                <w:lang w:eastAsia="zh-CN"/>
              </w:rPr>
              <w:t>服务商</w:t>
            </w:r>
            <w:r>
              <w:rPr>
                <w:rFonts w:hint="eastAsia"/>
                <w:lang w:val="hr-HR"/>
              </w:rPr>
              <w:t>出现重大管理失误或严重违约，</w:t>
            </w:r>
            <w:r>
              <w:rPr>
                <w:rFonts w:hint="eastAsia"/>
              </w:rPr>
              <w:t>学校</w:t>
            </w:r>
            <w:r>
              <w:rPr>
                <w:rFonts w:hint="eastAsia"/>
                <w:lang w:val="hr-HR"/>
              </w:rPr>
              <w:t>相关部门和管理小组有权取消合同并按违约责任条款执行，</w:t>
            </w:r>
            <w:r>
              <w:rPr>
                <w:rFonts w:hint="eastAsia"/>
              </w:rPr>
              <w:t>维护方</w:t>
            </w:r>
            <w:r>
              <w:rPr>
                <w:rFonts w:hint="eastAsia"/>
                <w:lang w:val="hr-HR"/>
              </w:rPr>
              <w:t>应及时赔偿由此造成的</w:t>
            </w:r>
            <w:r>
              <w:rPr>
                <w:rFonts w:hint="eastAsia"/>
              </w:rPr>
              <w:t>学校</w:t>
            </w:r>
            <w:r>
              <w:rPr>
                <w:rFonts w:hint="eastAsia"/>
                <w:lang w:val="hr-HR"/>
              </w:rPr>
              <w:t>的经济损失。</w:t>
            </w:r>
          </w:p>
          <w:p w14:paraId="42E4A6EE">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lang w:val="hr-HR"/>
              </w:rPr>
            </w:pPr>
            <w:r>
              <w:rPr>
                <w:rFonts w:hint="eastAsia"/>
                <w:lang w:val="hr-HR"/>
              </w:rPr>
              <w:t>（</w:t>
            </w:r>
            <w:r>
              <w:rPr>
                <w:rFonts w:hint="eastAsia"/>
                <w:lang w:val="en-US" w:eastAsia="zh-CN"/>
              </w:rPr>
              <w:t>8</w:t>
            </w:r>
            <w:r>
              <w:rPr>
                <w:rFonts w:hint="eastAsia"/>
                <w:lang w:val="hr-HR"/>
              </w:rPr>
              <w:t>）采购人发生突发、紧急、特殊的应急事件时，或有特殊任务需要紧急临时增加人员投入时，</w:t>
            </w:r>
            <w:r>
              <w:rPr>
                <w:rFonts w:hint="eastAsia"/>
                <w:lang w:eastAsia="zh-CN"/>
              </w:rPr>
              <w:t>服务商</w:t>
            </w:r>
            <w:r>
              <w:rPr>
                <w:rFonts w:hint="eastAsia"/>
                <w:lang w:val="hr-HR"/>
              </w:rPr>
              <w:t>及其员工应服从采购人相关管理者的调遣和指挥并参与应急或加班工作。</w:t>
            </w:r>
          </w:p>
          <w:p w14:paraId="10AB284B">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rPr>
            </w:pPr>
            <w:r>
              <w:rPr>
                <w:rFonts w:hint="eastAsia"/>
                <w:lang w:val="hr-HR"/>
              </w:rPr>
              <w:t>（</w:t>
            </w:r>
            <w:r>
              <w:rPr>
                <w:rFonts w:hint="eastAsia"/>
                <w:lang w:val="en-US" w:eastAsia="zh-CN"/>
              </w:rPr>
              <w:t>9</w:t>
            </w:r>
            <w:r>
              <w:rPr>
                <w:rFonts w:hint="eastAsia"/>
                <w:lang w:val="hr-HR"/>
              </w:rPr>
              <w:t>）</w:t>
            </w:r>
            <w:r>
              <w:rPr>
                <w:rFonts w:hint="eastAsia"/>
                <w:lang w:eastAsia="zh-CN"/>
              </w:rPr>
              <w:t>服务商</w:t>
            </w:r>
            <w:r>
              <w:rPr>
                <w:rFonts w:hint="eastAsia"/>
                <w:lang w:val="hr-HR"/>
              </w:rPr>
              <w:t>员工的着装应配备专门的工作服。</w:t>
            </w:r>
            <w:r>
              <w:rPr>
                <w:rFonts w:hint="eastAsia"/>
                <w:lang w:eastAsia="zh-CN"/>
              </w:rPr>
              <w:t>服务商</w:t>
            </w:r>
            <w:r>
              <w:rPr>
                <w:rFonts w:hint="eastAsia"/>
                <w:lang w:val="hr-HR"/>
              </w:rPr>
              <w:t>员工上岗工作期间应配戴标有员工姓名和编号的胸卡，上岗期间应讲究文明礼貌，注意仪表仪容。</w:t>
            </w:r>
          </w:p>
          <w:p w14:paraId="041EE169">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lang w:val="hr-HR"/>
              </w:rPr>
            </w:pPr>
            <w:r>
              <w:rPr>
                <w:rFonts w:hint="eastAsia"/>
              </w:rPr>
              <w:t>（</w:t>
            </w:r>
            <w:r>
              <w:rPr>
                <w:rFonts w:hint="eastAsia"/>
                <w:lang w:val="en-US" w:eastAsia="zh-CN"/>
              </w:rPr>
              <w:t>10</w:t>
            </w:r>
            <w:r>
              <w:rPr>
                <w:rFonts w:hint="eastAsia"/>
              </w:rPr>
              <w:t>）</w:t>
            </w:r>
            <w:r>
              <w:rPr>
                <w:rFonts w:hint="eastAsia"/>
                <w:lang w:eastAsia="zh-CN"/>
              </w:rPr>
              <w:t>服务商</w:t>
            </w:r>
            <w:r>
              <w:rPr>
                <w:rFonts w:hint="eastAsia"/>
                <w:lang w:val="hr-HR"/>
              </w:rPr>
              <w:t>及其员工在工作中发现各种问题和安全隐患，有责任报告所在科室</w:t>
            </w:r>
            <w:r>
              <w:rPr>
                <w:rFonts w:hint="eastAsia"/>
                <w:lang w:val="hr-HR" w:eastAsia="zh-CN"/>
              </w:rPr>
              <w:t>或</w:t>
            </w:r>
            <w:r>
              <w:rPr>
                <w:rFonts w:hint="eastAsia"/>
                <w:lang w:val="hr-HR"/>
              </w:rPr>
              <w:t>采购人相关部门处理</w:t>
            </w:r>
            <w:r>
              <w:rPr>
                <w:rFonts w:hint="eastAsia"/>
                <w:lang w:val="hr-HR" w:eastAsia="zh-CN"/>
              </w:rPr>
              <w:t>或供电部门</w:t>
            </w:r>
            <w:r>
              <w:rPr>
                <w:rFonts w:hint="eastAsia"/>
                <w:lang w:val="hr-HR"/>
              </w:rPr>
              <w:t>，以提高管理质量和效率。</w:t>
            </w:r>
          </w:p>
          <w:p w14:paraId="198BA770">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lang w:eastAsia="zh-CN"/>
              </w:rPr>
            </w:pPr>
            <w:r>
              <w:rPr>
                <w:rFonts w:hint="eastAsia"/>
                <w:lang w:val="hr-HR"/>
              </w:rPr>
              <w:t>（</w:t>
            </w:r>
            <w:r>
              <w:rPr>
                <w:rFonts w:hint="eastAsia"/>
              </w:rPr>
              <w:t>1</w:t>
            </w:r>
            <w:r>
              <w:rPr>
                <w:rFonts w:hint="eastAsia"/>
                <w:lang w:val="en-US" w:eastAsia="zh-CN"/>
              </w:rPr>
              <w:t>1</w:t>
            </w:r>
            <w:r>
              <w:rPr>
                <w:rFonts w:hint="eastAsia"/>
                <w:lang w:val="hr-HR"/>
              </w:rPr>
              <w:t>）</w:t>
            </w:r>
            <w:r>
              <w:rPr>
                <w:rFonts w:hint="eastAsia"/>
                <w:lang w:eastAsia="zh-CN"/>
              </w:rPr>
              <w:t>服务商在校内维保期间的</w:t>
            </w:r>
            <w:r>
              <w:rPr>
                <w:rFonts w:hint="eastAsia"/>
              </w:rPr>
              <w:t>员工工资、福利、工伤、疾病乃至</w:t>
            </w:r>
            <w:r>
              <w:rPr>
                <w:rFonts w:hint="eastAsia"/>
                <w:lang w:eastAsia="zh-CN"/>
              </w:rPr>
              <w:t>意外伤</w:t>
            </w:r>
            <w:r>
              <w:rPr>
                <w:rFonts w:hint="eastAsia"/>
              </w:rPr>
              <w:t>亡等责任及费用由维护方全部负责；维护方应严格遵守国家有关的法律、法规及行业标准，并承担相应的费用</w:t>
            </w:r>
            <w:r>
              <w:rPr>
                <w:rFonts w:hint="eastAsia"/>
                <w:lang w:eastAsia="zh-CN"/>
              </w:rPr>
              <w:t>。</w:t>
            </w:r>
          </w:p>
          <w:p w14:paraId="63F41495">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lang w:eastAsia="zh-CN"/>
              </w:rPr>
            </w:pPr>
            <w:r>
              <w:rPr>
                <w:rFonts w:hint="eastAsia"/>
              </w:rPr>
              <w:t>（1</w:t>
            </w:r>
            <w:r>
              <w:rPr>
                <w:rFonts w:hint="eastAsia"/>
                <w:lang w:val="en-US" w:eastAsia="zh-CN"/>
              </w:rPr>
              <w:t>2</w:t>
            </w:r>
            <w:r>
              <w:rPr>
                <w:rFonts w:hint="eastAsia"/>
              </w:rPr>
              <w:t>）所有配电设备维护检查过程中</w:t>
            </w:r>
            <w:r>
              <w:rPr>
                <w:rFonts w:hint="eastAsia"/>
                <w:lang w:eastAsia="zh-CN"/>
              </w:rPr>
              <w:t>，</w:t>
            </w:r>
            <w:commentRangeStart w:id="5"/>
            <w:commentRangeStart w:id="6"/>
            <w:r>
              <w:rPr>
                <w:rFonts w:hint="eastAsia"/>
              </w:rPr>
              <w:t>发现配件故障及更换配件</w:t>
            </w:r>
            <w:r>
              <w:rPr>
                <w:rFonts w:hint="eastAsia"/>
                <w:lang w:eastAsia="zh-CN"/>
              </w:rPr>
              <w:t>价值</w:t>
            </w:r>
            <w:r>
              <w:rPr>
                <w:rFonts w:hint="eastAsia"/>
              </w:rPr>
              <w:t>500元（含）以下的，由</w:t>
            </w:r>
            <w:r>
              <w:rPr>
                <w:rFonts w:hint="eastAsia"/>
                <w:lang w:eastAsia="zh-CN"/>
              </w:rPr>
              <w:t>服务商</w:t>
            </w:r>
            <w:r>
              <w:rPr>
                <w:rFonts w:hint="eastAsia"/>
              </w:rPr>
              <w:t>负责采购配件免费更换</w:t>
            </w:r>
            <w:commentRangeEnd w:id="5"/>
            <w:r>
              <w:commentReference w:id="5"/>
            </w:r>
            <w:commentRangeEnd w:id="6"/>
            <w:r>
              <w:commentReference w:id="6"/>
            </w:r>
            <w:r>
              <w:rPr>
                <w:rFonts w:hint="eastAsia"/>
              </w:rPr>
              <w:t>；</w:t>
            </w:r>
            <w:r>
              <w:rPr>
                <w:rFonts w:hint="eastAsia"/>
                <w:lang w:eastAsia="zh-CN"/>
              </w:rPr>
              <w:t>超过价值</w:t>
            </w:r>
            <w:r>
              <w:rPr>
                <w:rFonts w:hint="eastAsia"/>
              </w:rPr>
              <w:t>500元</w:t>
            </w:r>
            <w:r>
              <w:rPr>
                <w:rFonts w:hint="eastAsia"/>
                <w:lang w:eastAsia="zh-CN"/>
              </w:rPr>
              <w:t>至</w:t>
            </w:r>
            <w:r>
              <w:rPr>
                <w:rFonts w:hint="eastAsia"/>
                <w:lang w:val="en-US" w:eastAsia="zh-CN"/>
              </w:rPr>
              <w:t>2万元以内的</w:t>
            </w:r>
            <w:r>
              <w:rPr>
                <w:rFonts w:hint="eastAsia"/>
              </w:rPr>
              <w:t>配件更换，</w:t>
            </w:r>
            <w:r>
              <w:rPr>
                <w:rFonts w:hint="eastAsia"/>
                <w:lang w:eastAsia="zh-CN"/>
              </w:rPr>
              <w:t>服务商</w:t>
            </w:r>
            <w:r>
              <w:rPr>
                <w:rFonts w:hint="eastAsia"/>
              </w:rPr>
              <w:t>通知校方采购免费更换或</w:t>
            </w:r>
            <w:r>
              <w:rPr>
                <w:rFonts w:hint="eastAsia"/>
                <w:lang w:eastAsia="zh-CN"/>
              </w:rPr>
              <w:t>服务商</w:t>
            </w:r>
            <w:r>
              <w:rPr>
                <w:rFonts w:hint="eastAsia"/>
              </w:rPr>
              <w:t>报价给校方采购免费更换。</w:t>
            </w:r>
            <w:r>
              <w:rPr>
                <w:rFonts w:hint="eastAsia"/>
                <w:lang w:eastAsia="zh-CN"/>
              </w:rPr>
              <w:t>配件</w:t>
            </w:r>
            <w:r>
              <w:rPr>
                <w:rFonts w:hint="eastAsia"/>
              </w:rPr>
              <w:t>更换</w:t>
            </w:r>
            <w:r>
              <w:rPr>
                <w:rFonts w:hint="eastAsia"/>
                <w:lang w:eastAsia="zh-CN"/>
              </w:rPr>
              <w:t>价值</w:t>
            </w:r>
            <w:r>
              <w:rPr>
                <w:rFonts w:hint="eastAsia"/>
                <w:lang w:val="en-US" w:eastAsia="zh-CN"/>
              </w:rPr>
              <w:t>2万（含）</w:t>
            </w:r>
            <w:r>
              <w:rPr>
                <w:rFonts w:hint="eastAsia"/>
              </w:rPr>
              <w:t>元以</w:t>
            </w:r>
            <w:r>
              <w:rPr>
                <w:rFonts w:hint="eastAsia"/>
                <w:lang w:eastAsia="zh-CN"/>
              </w:rPr>
              <w:t>上</w:t>
            </w:r>
            <w:r>
              <w:rPr>
                <w:rFonts w:hint="eastAsia"/>
              </w:rPr>
              <w:t>配件费，</w:t>
            </w:r>
            <w:commentRangeStart w:id="7"/>
            <w:commentRangeStart w:id="8"/>
            <w:r>
              <w:rPr>
                <w:rFonts w:hint="eastAsia"/>
                <w:lang w:eastAsia="zh-CN"/>
              </w:rPr>
              <w:t>由校方自行询价</w:t>
            </w:r>
            <w:r>
              <w:rPr>
                <w:rFonts w:hint="eastAsia"/>
              </w:rPr>
              <w:t>第三方</w:t>
            </w:r>
            <w:r>
              <w:rPr>
                <w:rFonts w:hint="eastAsia"/>
                <w:lang w:eastAsia="zh-CN"/>
              </w:rPr>
              <w:t>服务公司自行</w:t>
            </w:r>
            <w:r>
              <w:rPr>
                <w:rFonts w:hint="eastAsia"/>
              </w:rPr>
              <w:t>采购更换</w:t>
            </w:r>
            <w:commentRangeEnd w:id="7"/>
            <w:r>
              <w:commentReference w:id="7"/>
            </w:r>
            <w:commentRangeEnd w:id="8"/>
            <w:r>
              <w:commentReference w:id="8"/>
            </w:r>
            <w:r>
              <w:rPr>
                <w:rFonts w:hint="eastAsia"/>
                <w:lang w:eastAsia="zh-CN"/>
              </w:rPr>
              <w:t>。</w:t>
            </w:r>
          </w:p>
          <w:p w14:paraId="68C9348F">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（1</w:t>
            </w:r>
            <w:r>
              <w:rPr>
                <w:rFonts w:hint="eastAsia"/>
                <w:lang w:val="en-US" w:eastAsia="zh-CN"/>
              </w:rPr>
              <w:t>3</w:t>
            </w:r>
            <w:r>
              <w:rPr>
                <w:rFonts w:hint="eastAsia"/>
              </w:rPr>
              <w:t>）校内大型活动（校运会、考试等）提供免费</w:t>
            </w:r>
            <w:r>
              <w:rPr>
                <w:rFonts w:hint="eastAsia"/>
                <w:lang w:eastAsia="zh-CN"/>
              </w:rPr>
              <w:t>到场</w:t>
            </w:r>
            <w:r>
              <w:rPr>
                <w:rFonts w:hint="eastAsia"/>
              </w:rPr>
              <w:t>值班保供电服务。</w:t>
            </w:r>
          </w:p>
          <w:p w14:paraId="06907F23">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lang w:val="en-US" w:eastAsia="zh-CN"/>
              </w:rPr>
            </w:pPr>
            <w:r>
              <w:rPr>
                <w:rFonts w:hint="eastAsia"/>
              </w:rPr>
              <w:t>（1</w:t>
            </w:r>
            <w:r>
              <w:rPr>
                <w:rFonts w:hint="eastAsia"/>
                <w:lang w:val="en-US" w:eastAsia="zh-CN"/>
              </w:rPr>
              <w:t>4</w:t>
            </w:r>
            <w:r>
              <w:rPr>
                <w:rFonts w:hint="eastAsia"/>
              </w:rPr>
              <w:t>）</w:t>
            </w:r>
            <w:r>
              <w:rPr>
                <w:rFonts w:hint="eastAsia"/>
                <w:lang w:val="en-US" w:eastAsia="zh-CN"/>
              </w:rPr>
              <w:t>合同期内</w:t>
            </w:r>
            <w:r>
              <w:rPr>
                <w:rFonts w:hint="eastAsia"/>
                <w:lang w:eastAsia="zh-CN"/>
              </w:rPr>
              <w:t>服务商</w:t>
            </w:r>
            <w:r>
              <w:rPr>
                <w:rFonts w:hint="eastAsia"/>
                <w:lang w:val="en-US" w:eastAsia="zh-CN"/>
              </w:rPr>
              <w:t>配合或指导采购人不少于2次室内、外现场突发事件应急演练。</w:t>
            </w:r>
          </w:p>
          <w:p w14:paraId="53EA9E3A">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lang w:val="en-US" w:eastAsia="zh-CN"/>
              </w:rPr>
            </w:pPr>
            <w:r>
              <w:rPr>
                <w:rFonts w:hint="eastAsia"/>
              </w:rPr>
              <w:t>（1</w:t>
            </w:r>
            <w:r>
              <w:rPr>
                <w:rFonts w:hint="eastAsia"/>
                <w:lang w:val="en-US" w:eastAsia="zh-CN"/>
              </w:rPr>
              <w:t>5</w:t>
            </w:r>
            <w:r>
              <w:rPr>
                <w:rFonts w:hint="eastAsia"/>
              </w:rPr>
              <w:t>）</w:t>
            </w:r>
            <w:r>
              <w:rPr>
                <w:rFonts w:hint="eastAsia"/>
                <w:lang w:eastAsia="zh-CN"/>
              </w:rPr>
              <w:t>服务商</w:t>
            </w:r>
            <w:r>
              <w:rPr>
                <w:rFonts w:hint="eastAsia"/>
                <w:lang w:val="en-US" w:eastAsia="zh-CN"/>
              </w:rPr>
              <w:t>在巡检及周期性试验等操作过程中，因未按操作规程操作，违章操作等行为，造成系统配电设施设备损坏及故障或造成一定经济损失由</w:t>
            </w:r>
            <w:r>
              <w:rPr>
                <w:rFonts w:hint="eastAsia"/>
                <w:lang w:eastAsia="zh-CN"/>
              </w:rPr>
              <w:t>服务商</w:t>
            </w:r>
            <w:r>
              <w:rPr>
                <w:rFonts w:hint="eastAsia"/>
                <w:lang w:val="en-US" w:eastAsia="zh-CN"/>
              </w:rPr>
              <w:t>负全责。</w:t>
            </w:r>
          </w:p>
          <w:p w14:paraId="4C8C50E6">
            <w:pPr>
              <w:keepNext w:val="0"/>
              <w:keepLines w:val="0"/>
              <w:pageBreakBefore w:val="0"/>
              <w:widowControl w:val="0"/>
              <w:kinsoku/>
              <w:wordWrap/>
              <w:overflowPunct/>
              <w:topLinePunct w:val="0"/>
              <w:autoSpaceDE/>
              <w:autoSpaceDN/>
              <w:bidi w:val="0"/>
              <w:adjustRightInd/>
              <w:snapToGrid/>
              <w:ind w:left="0" w:leftChars="0" w:firstLineChars="200"/>
              <w:textAlignment w:val="auto"/>
              <w:rPr>
                <w:rFonts w:hint="eastAsia"/>
              </w:rPr>
            </w:pPr>
            <w:r>
              <w:rPr>
                <w:rFonts w:hint="eastAsia"/>
                <w:lang w:val="en-US" w:eastAsia="zh-CN"/>
              </w:rPr>
              <w:t xml:space="preserve"> </w:t>
            </w:r>
            <w:r>
              <w:rPr>
                <w:rFonts w:hint="eastAsia"/>
              </w:rPr>
              <w:t>3、验收要求及标准：</w:t>
            </w:r>
          </w:p>
          <w:p w14:paraId="5F6899DF">
            <w:pPr>
              <w:keepNext w:val="0"/>
              <w:keepLines w:val="0"/>
              <w:pageBreakBefore w:val="0"/>
              <w:widowControl w:val="0"/>
              <w:kinsoku/>
              <w:wordWrap/>
              <w:overflowPunct/>
              <w:topLinePunct w:val="0"/>
              <w:autoSpaceDE/>
              <w:autoSpaceDN/>
              <w:bidi w:val="0"/>
              <w:adjustRightInd/>
              <w:snapToGrid/>
              <w:ind w:left="0" w:leftChars="0" w:firstLineChars="200"/>
              <w:textAlignment w:val="auto"/>
              <w:rPr>
                <w:rFonts w:hint="eastAsia"/>
              </w:rPr>
            </w:pPr>
            <w:r>
              <w:rPr>
                <w:rFonts w:hint="eastAsia"/>
              </w:rPr>
              <w:t>（1）严格按照《电力安全工作规程》等国家标准，开展分层级专项检测，出具具备法律效力的检测报告</w:t>
            </w:r>
            <w:r>
              <w:rPr>
                <w:rFonts w:hint="eastAsia"/>
                <w:lang w:eastAsia="zh-CN"/>
              </w:rPr>
              <w:t>（</w:t>
            </w:r>
            <w:r>
              <w:rPr>
                <w:rFonts w:hint="eastAsia"/>
                <w:lang w:val="en-US" w:eastAsia="en-US"/>
              </w:rPr>
              <w:t>预防性测试报告年度提交</w:t>
            </w:r>
            <w:r>
              <w:rPr>
                <w:rFonts w:hint="eastAsia"/>
                <w:lang w:eastAsia="zh-CN"/>
              </w:rPr>
              <w:t>）</w:t>
            </w:r>
            <w:r>
              <w:rPr>
                <w:rFonts w:hint="eastAsia"/>
                <w:lang w:val="en-US" w:eastAsia="en-US"/>
              </w:rPr>
              <w:t>。</w:t>
            </w:r>
          </w:p>
          <w:p w14:paraId="612D3837">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（2）</w:t>
            </w:r>
            <w:r>
              <w:rPr>
                <w:rFonts w:hint="eastAsia"/>
                <w:lang w:eastAsia="zh-CN"/>
              </w:rPr>
              <w:t>服务商</w:t>
            </w:r>
            <w:r>
              <w:rPr>
                <w:rFonts w:hint="eastAsia"/>
              </w:rPr>
              <w:t>需提供当（月）季提交巡检总结报告及详细的巡检记录表、故障处理单等</w:t>
            </w:r>
            <w:r>
              <w:rPr>
                <w:rFonts w:hint="eastAsia"/>
                <w:lang w:eastAsia="zh-CN"/>
              </w:rPr>
              <w:t>相关凭证材料，经过采购人现场验收合格后支付当季度维保费</w:t>
            </w:r>
            <w:r>
              <w:rPr>
                <w:rFonts w:hint="eastAsia"/>
              </w:rPr>
              <w:t>。</w:t>
            </w:r>
          </w:p>
          <w:p w14:paraId="24677A84">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（3）预防性测试报告（年度</w:t>
            </w:r>
            <w:r>
              <w:rPr>
                <w:rFonts w:hint="eastAsia"/>
                <w:lang w:eastAsia="zh-CN"/>
              </w:rPr>
              <w:t>内</w:t>
            </w:r>
            <w:r>
              <w:rPr>
                <w:rFonts w:hint="eastAsia"/>
              </w:rPr>
              <w:t>提交）。</w:t>
            </w:r>
          </w:p>
          <w:p w14:paraId="01041888">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rPr>
            </w:pPr>
            <w:r>
              <w:rPr>
                <w:rFonts w:hint="eastAsia"/>
              </w:rPr>
              <w:t>（4）配电房内无杂物、地板干净无积尘、杂物；</w:t>
            </w:r>
            <w:r>
              <w:rPr>
                <w:rFonts w:hint="eastAsia"/>
                <w:lang w:eastAsia="zh-CN"/>
              </w:rPr>
              <w:t>室内、外</w:t>
            </w:r>
            <w:r>
              <w:rPr>
                <w:rFonts w:hint="eastAsia"/>
              </w:rPr>
              <w:t>电气设施设备运行无明显异响，报警声等。</w:t>
            </w:r>
          </w:p>
          <w:p w14:paraId="45B78D1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Theme="minorEastAsia" w:hAnsiTheme="minorEastAsia" w:eastAsiaTheme="minorEastAsia" w:cstheme="minorEastAsia"/>
                <w:i w:val="0"/>
                <w:iCs w:val="0"/>
                <w:color w:val="000000"/>
                <w:szCs w:val="21"/>
                <w:u w:val="none"/>
              </w:rPr>
            </w:pPr>
            <w:r>
              <w:rPr>
                <w:rFonts w:hint="eastAsia"/>
              </w:rPr>
              <w:t>（5）现场验收不通过需限期整改，否则视为违约。</w:t>
            </w:r>
          </w:p>
        </w:tc>
      </w:tr>
      <w:tr w14:paraId="7D151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 w:hRule="atLeast"/>
          <w:jc w:val="center"/>
        </w:trPr>
        <w:tc>
          <w:tcPr>
            <w:tcW w:w="1318" w:type="dxa"/>
            <w:tcBorders>
              <w:top w:val="single" w:color="000000" w:sz="4" w:space="0"/>
              <w:left w:val="single" w:color="000000" w:sz="4" w:space="0"/>
              <w:bottom w:val="single" w:color="000000" w:sz="4" w:space="0"/>
              <w:right w:val="single" w:color="000000" w:sz="4" w:space="0"/>
            </w:tcBorders>
            <w:noWrap w:val="0"/>
            <w:vAlign w:val="center"/>
          </w:tcPr>
          <w:p w14:paraId="00274BEB">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Theme="minorEastAsia" w:hAnsiTheme="minorEastAsia" w:eastAsiaTheme="minorEastAsia" w:cstheme="minorEastAsia"/>
                <w:b/>
                <w:kern w:val="2"/>
                <w:sz w:val="21"/>
                <w:szCs w:val="21"/>
                <w:lang w:val="en-US" w:eastAsia="zh-CN" w:bidi="ar-SA"/>
              </w:rPr>
            </w:pPr>
            <w:r>
              <w:rPr>
                <w:rFonts w:hint="eastAsia" w:asciiTheme="minorEastAsia" w:hAnsiTheme="minorEastAsia" w:eastAsiaTheme="minorEastAsia" w:cstheme="minorEastAsia"/>
                <w:kern w:val="0"/>
                <w:sz w:val="21"/>
                <w:szCs w:val="21"/>
              </w:rPr>
              <w:t>合同签订期</w:t>
            </w:r>
          </w:p>
        </w:tc>
        <w:tc>
          <w:tcPr>
            <w:tcW w:w="8536" w:type="dxa"/>
            <w:gridSpan w:val="6"/>
            <w:tcBorders>
              <w:top w:val="single" w:color="000000" w:sz="4" w:space="0"/>
              <w:left w:val="single" w:color="000000" w:sz="4" w:space="0"/>
              <w:bottom w:val="single" w:color="000000" w:sz="4" w:space="0"/>
              <w:right w:val="single" w:color="000000" w:sz="4" w:space="0"/>
            </w:tcBorders>
            <w:noWrap w:val="0"/>
            <w:vAlign w:val="center"/>
          </w:tcPr>
          <w:p w14:paraId="4D0130D7">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Theme="minorEastAsia" w:hAnsiTheme="minorEastAsia" w:eastAsiaTheme="minorEastAsia" w:cstheme="minorEastAsia"/>
                <w:b/>
                <w:kern w:val="2"/>
                <w:sz w:val="21"/>
                <w:szCs w:val="21"/>
                <w:lang w:val="en-US" w:eastAsia="zh-CN" w:bidi="ar-SA"/>
              </w:rPr>
            </w:pPr>
            <w:r>
              <w:rPr>
                <w:rFonts w:hint="eastAsia" w:asciiTheme="minorEastAsia" w:hAnsiTheme="minorEastAsia" w:eastAsiaTheme="minorEastAsia" w:cstheme="minorEastAsia"/>
                <w:bCs/>
                <w:sz w:val="21"/>
                <w:szCs w:val="21"/>
              </w:rPr>
              <w:t>自成交通知书发出之日起25个日内。</w:t>
            </w:r>
          </w:p>
        </w:tc>
      </w:tr>
      <w:tr w14:paraId="76D5A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 w:hRule="atLeast"/>
          <w:jc w:val="center"/>
        </w:trPr>
        <w:tc>
          <w:tcPr>
            <w:tcW w:w="1318" w:type="dxa"/>
            <w:tcBorders>
              <w:top w:val="single" w:color="000000" w:sz="4" w:space="0"/>
              <w:left w:val="single" w:color="000000" w:sz="4" w:space="0"/>
              <w:bottom w:val="single" w:color="000000" w:sz="4" w:space="0"/>
              <w:right w:val="single" w:color="000000" w:sz="4" w:space="0"/>
            </w:tcBorders>
            <w:noWrap w:val="0"/>
            <w:vAlign w:val="center"/>
          </w:tcPr>
          <w:p w14:paraId="7CD8CC03">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eastAsia="zh-CN"/>
              </w:rPr>
              <w:t>结算方式及期限</w:t>
            </w:r>
          </w:p>
        </w:tc>
        <w:tc>
          <w:tcPr>
            <w:tcW w:w="8536" w:type="dxa"/>
            <w:gridSpan w:val="6"/>
            <w:tcBorders>
              <w:top w:val="single" w:color="000000" w:sz="4" w:space="0"/>
              <w:left w:val="single" w:color="000000" w:sz="4" w:space="0"/>
              <w:bottom w:val="single" w:color="000000" w:sz="4" w:space="0"/>
              <w:right w:val="single" w:color="000000" w:sz="4" w:space="0"/>
            </w:tcBorders>
            <w:noWrap w:val="0"/>
            <w:vAlign w:val="center"/>
          </w:tcPr>
          <w:p w14:paraId="61E66773">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kern w:val="2"/>
                <w:sz w:val="21"/>
                <w:szCs w:val="21"/>
                <w:lang w:val="zh-CN"/>
              </w:rPr>
              <w:t>本项目无预付款，每3个月支付一次，共支付4次，采购人每次向成交人支付合同款的25%（成交人开具请款函及合法有效的发票给采购人，采购人在收到</w:t>
            </w:r>
            <w:r>
              <w:rPr>
                <w:rFonts w:hint="eastAsia" w:asciiTheme="minorEastAsia" w:hAnsiTheme="minorEastAsia" w:eastAsiaTheme="minorEastAsia" w:cstheme="minorEastAsia"/>
                <w:sz w:val="21"/>
                <w:szCs w:val="21"/>
                <w:lang w:eastAsia="zh-CN"/>
              </w:rPr>
              <w:t>服务商</w:t>
            </w:r>
            <w:r>
              <w:rPr>
                <w:rFonts w:hint="eastAsia" w:asciiTheme="minorEastAsia" w:hAnsiTheme="minorEastAsia" w:eastAsiaTheme="minorEastAsia" w:cstheme="minorEastAsia"/>
                <w:bCs/>
                <w:kern w:val="2"/>
                <w:sz w:val="21"/>
                <w:szCs w:val="21"/>
                <w:lang w:val="zh-CN"/>
              </w:rPr>
              <w:t>请款函及合法有效的发票之日起</w:t>
            </w:r>
            <w:r>
              <w:rPr>
                <w:rFonts w:hint="eastAsia" w:asciiTheme="minorEastAsia" w:hAnsiTheme="minorEastAsia" w:eastAsiaTheme="minorEastAsia" w:cstheme="minorEastAsia"/>
                <w:bCs/>
                <w:sz w:val="21"/>
                <w:szCs w:val="21"/>
                <w:u w:val="none"/>
                <w:lang w:eastAsia="zh-CN"/>
              </w:rPr>
              <w:t>且待财政批复该项目用款计划后</w:t>
            </w:r>
            <w:r>
              <w:rPr>
                <w:rFonts w:hint="eastAsia" w:asciiTheme="minorEastAsia" w:hAnsiTheme="minorEastAsia" w:eastAsiaTheme="minorEastAsia" w:cstheme="minorEastAsia"/>
                <w:bCs/>
                <w:kern w:val="2"/>
                <w:sz w:val="21"/>
                <w:szCs w:val="21"/>
                <w:lang w:val="zh-CN"/>
              </w:rPr>
              <w:t>20个工作日内支付）。</w:t>
            </w:r>
          </w:p>
        </w:tc>
      </w:tr>
      <w:tr w14:paraId="01BEC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 w:hRule="atLeast"/>
          <w:jc w:val="center"/>
        </w:trPr>
        <w:tc>
          <w:tcPr>
            <w:tcW w:w="1318" w:type="dxa"/>
            <w:tcBorders>
              <w:top w:val="single" w:color="000000" w:sz="4" w:space="0"/>
              <w:left w:val="single" w:color="000000" w:sz="4" w:space="0"/>
              <w:bottom w:val="single" w:color="000000" w:sz="4" w:space="0"/>
              <w:right w:val="single" w:color="000000" w:sz="4" w:space="0"/>
            </w:tcBorders>
            <w:noWrap w:val="0"/>
            <w:vAlign w:val="center"/>
          </w:tcPr>
          <w:p w14:paraId="52A8DD7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0"/>
                <w:sz w:val="21"/>
                <w:szCs w:val="21"/>
              </w:rPr>
              <w:t>服务期限</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kern w:val="0"/>
                <w:sz w:val="21"/>
                <w:szCs w:val="21"/>
              </w:rPr>
              <w:t>服务</w:t>
            </w:r>
            <w:r>
              <w:rPr>
                <w:rFonts w:hint="eastAsia" w:asciiTheme="minorEastAsia" w:hAnsiTheme="minorEastAsia" w:eastAsiaTheme="minorEastAsia" w:cstheme="minorEastAsia"/>
                <w:sz w:val="21"/>
                <w:szCs w:val="21"/>
              </w:rPr>
              <w:t>地点</w:t>
            </w:r>
          </w:p>
        </w:tc>
        <w:tc>
          <w:tcPr>
            <w:tcW w:w="8536" w:type="dxa"/>
            <w:gridSpan w:val="6"/>
            <w:tcBorders>
              <w:top w:val="single" w:color="000000" w:sz="4" w:space="0"/>
              <w:left w:val="single" w:color="000000" w:sz="4" w:space="0"/>
              <w:bottom w:val="single" w:color="000000" w:sz="4" w:space="0"/>
              <w:right w:val="single" w:color="000000" w:sz="4" w:space="0"/>
            </w:tcBorders>
            <w:noWrap w:val="0"/>
            <w:vAlign w:val="center"/>
          </w:tcPr>
          <w:p w14:paraId="0E23DBDB">
            <w:pPr>
              <w:keepNext w:val="0"/>
              <w:keepLines w:val="0"/>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kern w:val="0"/>
                <w:sz w:val="21"/>
                <w:szCs w:val="21"/>
              </w:rPr>
              <w:t>服务期限</w:t>
            </w:r>
            <w:r>
              <w:rPr>
                <w:rFonts w:hint="eastAsia" w:asciiTheme="minorEastAsia" w:hAnsiTheme="minorEastAsia" w:eastAsiaTheme="minorEastAsia" w:cstheme="minorEastAsia"/>
                <w:sz w:val="21"/>
                <w:szCs w:val="21"/>
              </w:rPr>
              <w:t>：自合同签订之日起一年，自签订合同之日起计算。服务期满后将视履约情况采取重新招标或续签合同，如需续签合同，总服务期限不能超过3年。</w:t>
            </w:r>
          </w:p>
          <w:p w14:paraId="13489EB8">
            <w:pPr>
              <w:keepNext w:val="0"/>
              <w:keepLines w:val="0"/>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kern w:val="0"/>
                <w:sz w:val="21"/>
                <w:szCs w:val="21"/>
              </w:rPr>
              <w:t>服务</w:t>
            </w:r>
            <w:r>
              <w:rPr>
                <w:rFonts w:hint="eastAsia" w:asciiTheme="minorEastAsia" w:hAnsiTheme="minorEastAsia" w:eastAsiaTheme="minorEastAsia" w:cstheme="minorEastAsia"/>
                <w:sz w:val="21"/>
                <w:szCs w:val="21"/>
              </w:rPr>
              <w:t>地点：采购人指定地点。</w:t>
            </w:r>
          </w:p>
        </w:tc>
      </w:tr>
      <w:tr w14:paraId="24ED6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3" w:hRule="atLeast"/>
          <w:jc w:val="center"/>
        </w:trPr>
        <w:tc>
          <w:tcPr>
            <w:tcW w:w="1318" w:type="dxa"/>
            <w:tcBorders>
              <w:top w:val="single" w:color="000000" w:sz="4" w:space="0"/>
              <w:left w:val="single" w:color="000000" w:sz="4" w:space="0"/>
              <w:bottom w:val="single" w:color="000000" w:sz="4" w:space="0"/>
              <w:right w:val="single" w:color="000000" w:sz="4" w:space="0"/>
            </w:tcBorders>
            <w:noWrap w:val="0"/>
            <w:vAlign w:val="center"/>
          </w:tcPr>
          <w:p w14:paraId="0A16876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报价要求</w:t>
            </w:r>
          </w:p>
        </w:tc>
        <w:tc>
          <w:tcPr>
            <w:tcW w:w="8536" w:type="dxa"/>
            <w:gridSpan w:val="6"/>
            <w:tcBorders>
              <w:top w:val="single" w:color="000000" w:sz="4" w:space="0"/>
              <w:left w:val="single" w:color="000000" w:sz="4" w:space="0"/>
              <w:bottom w:val="single" w:color="000000" w:sz="4" w:space="0"/>
              <w:right w:val="single" w:color="000000" w:sz="4" w:space="0"/>
            </w:tcBorders>
            <w:noWrap w:val="0"/>
            <w:vAlign w:val="center"/>
          </w:tcPr>
          <w:p w14:paraId="1B3D458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磋商报价包括：</w:t>
            </w:r>
          </w:p>
          <w:p w14:paraId="3670C29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（1）服务的价格；</w:t>
            </w:r>
          </w:p>
          <w:p w14:paraId="2D8A200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（2）服务的标准附件、备品、工具的价格；</w:t>
            </w:r>
          </w:p>
          <w:p w14:paraId="292F5E3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（3）运输、装卸、调试、培训、技术支持、售后服务等费用；</w:t>
            </w:r>
          </w:p>
          <w:p w14:paraId="116BFBE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（4）必要的保险费用和各项税费；</w:t>
            </w:r>
          </w:p>
          <w:p w14:paraId="359C2C5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rPr>
              <w:t>（5）包括安装费用。</w:t>
            </w:r>
          </w:p>
        </w:tc>
      </w:tr>
    </w:tbl>
    <w:p w14:paraId="18864051">
      <w:pPr>
        <w:snapToGrid w:val="0"/>
        <w:spacing w:line="300"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说明</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所有价格均用人民币表示，单位为元，精确到个位数。</w:t>
      </w:r>
    </w:p>
    <w:p w14:paraId="580A27C1">
      <w:pPr>
        <w:jc w:val="both"/>
        <w:rPr>
          <w:rFonts w:hint="eastAsia" w:asciiTheme="minorEastAsia" w:hAnsiTheme="minorEastAsia" w:eastAsiaTheme="minorEastAsia" w:cstheme="minorEastAsia"/>
          <w:b w:val="0"/>
          <w:bCs w:val="0"/>
          <w:sz w:val="21"/>
          <w:szCs w:val="21"/>
        </w:rPr>
      </w:pPr>
    </w:p>
    <w:p w14:paraId="2CABA0FF">
      <w:pPr>
        <w:jc w:val="both"/>
        <w:rPr>
          <w:rFonts w:hint="eastAsia" w:asciiTheme="minorEastAsia" w:hAnsiTheme="minorEastAsia" w:eastAsiaTheme="minorEastAsia" w:cstheme="minorEastAsia"/>
          <w:b w:val="0"/>
          <w:bCs w:val="0"/>
          <w:sz w:val="21"/>
          <w:szCs w:val="21"/>
        </w:rPr>
      </w:pPr>
    </w:p>
    <w:p w14:paraId="41521CC2">
      <w:pPr>
        <w:jc w:val="both"/>
        <w:rPr>
          <w:rFonts w:hint="eastAsia" w:asciiTheme="minorEastAsia" w:hAnsiTheme="minorEastAsia" w:eastAsiaTheme="minorEastAsia" w:cstheme="minorEastAsia"/>
          <w:b w:val="0"/>
          <w:bCs w:val="0"/>
          <w:sz w:val="21"/>
          <w:szCs w:val="21"/>
        </w:rPr>
      </w:pPr>
    </w:p>
    <w:p w14:paraId="12738EE7">
      <w:pPr>
        <w:jc w:val="both"/>
        <w:rPr>
          <w:rFonts w:hint="eastAsia" w:asciiTheme="minorEastAsia" w:hAnsiTheme="minorEastAsia" w:eastAsiaTheme="minorEastAsia" w:cstheme="minorEastAsia"/>
          <w:b w:val="0"/>
          <w:bCs w:val="0"/>
          <w:sz w:val="21"/>
          <w:szCs w:val="21"/>
        </w:rPr>
      </w:pPr>
    </w:p>
    <w:p w14:paraId="3F1450CC">
      <w:pPr>
        <w:jc w:val="both"/>
        <w:rPr>
          <w:rFonts w:hint="eastAsia" w:asciiTheme="minorEastAsia" w:hAnsiTheme="minorEastAsia" w:eastAsiaTheme="minorEastAsia" w:cstheme="minorEastAsia"/>
          <w:b w:val="0"/>
          <w:bCs w:val="0"/>
          <w:sz w:val="21"/>
          <w:szCs w:val="21"/>
        </w:rPr>
      </w:pPr>
    </w:p>
    <w:p w14:paraId="34B88169">
      <w:pPr>
        <w:jc w:val="both"/>
        <w:rPr>
          <w:rFonts w:hint="eastAsia" w:asciiTheme="minorEastAsia" w:hAnsiTheme="minorEastAsia" w:eastAsiaTheme="minorEastAsia" w:cstheme="minorEastAsia"/>
          <w:b w:val="0"/>
          <w:bCs w:val="0"/>
          <w:sz w:val="21"/>
          <w:szCs w:val="21"/>
        </w:rPr>
      </w:pPr>
    </w:p>
    <w:p w14:paraId="3D2B0C37">
      <w:pPr>
        <w:jc w:val="both"/>
        <w:rPr>
          <w:rFonts w:hint="eastAsia" w:asciiTheme="minorEastAsia" w:hAnsiTheme="minorEastAsia" w:eastAsiaTheme="minorEastAsia" w:cstheme="minorEastAsia"/>
          <w:b w:val="0"/>
          <w:bCs w:val="0"/>
          <w:sz w:val="21"/>
          <w:szCs w:val="21"/>
        </w:rPr>
      </w:pPr>
    </w:p>
    <w:p w14:paraId="384C2671">
      <w:pPr>
        <w:jc w:val="both"/>
        <w:rPr>
          <w:rFonts w:hint="eastAsia" w:asciiTheme="minorEastAsia" w:hAnsiTheme="minorEastAsia" w:eastAsiaTheme="minorEastAsia" w:cstheme="minorEastAsia"/>
          <w:b w:val="0"/>
          <w:bCs w:val="0"/>
          <w:sz w:val="21"/>
          <w:szCs w:val="21"/>
        </w:rPr>
      </w:pPr>
    </w:p>
    <w:p w14:paraId="5C5A850A">
      <w:pPr>
        <w:jc w:val="both"/>
        <w:rPr>
          <w:rFonts w:hint="eastAsia" w:asciiTheme="minorEastAsia" w:hAnsiTheme="minorEastAsia" w:eastAsiaTheme="minorEastAsia" w:cstheme="minorEastAsia"/>
          <w:b w:val="0"/>
          <w:bCs w:val="0"/>
          <w:sz w:val="21"/>
          <w:szCs w:val="21"/>
        </w:rPr>
      </w:pPr>
    </w:p>
    <w:p w14:paraId="26A384BF">
      <w:pPr>
        <w:jc w:val="both"/>
        <w:rPr>
          <w:rFonts w:hint="eastAsia" w:asciiTheme="minorEastAsia" w:hAnsiTheme="minorEastAsia" w:eastAsiaTheme="minorEastAsia" w:cstheme="minorEastAsia"/>
          <w:b w:val="0"/>
          <w:bCs w:val="0"/>
          <w:sz w:val="21"/>
          <w:szCs w:val="21"/>
        </w:rPr>
      </w:pPr>
    </w:p>
    <w:p w14:paraId="3774B5DE">
      <w:pPr>
        <w:jc w:val="both"/>
        <w:rPr>
          <w:rFonts w:hint="eastAsia" w:asciiTheme="minorEastAsia" w:hAnsiTheme="minorEastAsia" w:eastAsiaTheme="minorEastAsia" w:cstheme="minorEastAsia"/>
          <w:b w:val="0"/>
          <w:bCs w:val="0"/>
          <w:sz w:val="21"/>
          <w:szCs w:val="21"/>
        </w:rPr>
      </w:pPr>
    </w:p>
    <w:p w14:paraId="131C11B4">
      <w:pPr>
        <w:jc w:val="both"/>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附</w:t>
      </w:r>
      <w:r>
        <w:rPr>
          <w:rFonts w:hint="eastAsia" w:asciiTheme="minorEastAsia" w:hAnsiTheme="minorEastAsia" w:eastAsiaTheme="minorEastAsia" w:cstheme="minorEastAsia"/>
          <w:b w:val="0"/>
          <w:bCs w:val="0"/>
          <w:sz w:val="21"/>
          <w:szCs w:val="21"/>
          <w:lang w:eastAsia="zh-CN"/>
        </w:rPr>
        <w:t>件</w:t>
      </w:r>
      <w:r>
        <w:rPr>
          <w:rFonts w:hint="eastAsia" w:asciiTheme="minorEastAsia" w:hAnsiTheme="minorEastAsia" w:eastAsiaTheme="minorEastAsia" w:cstheme="minorEastAsia"/>
          <w:b w:val="0"/>
          <w:bCs w:val="0"/>
          <w:sz w:val="21"/>
          <w:szCs w:val="21"/>
          <w:lang w:val="en-US" w:eastAsia="zh-CN"/>
        </w:rPr>
        <w:t>一</w:t>
      </w:r>
      <w:r>
        <w:rPr>
          <w:rFonts w:hint="eastAsia" w:asciiTheme="minorEastAsia" w:hAnsiTheme="minorEastAsia" w:eastAsiaTheme="minorEastAsia" w:cstheme="minorEastAsia"/>
          <w:b w:val="0"/>
          <w:bCs w:val="0"/>
          <w:sz w:val="21"/>
          <w:szCs w:val="21"/>
        </w:rPr>
        <w:t>：《配电运维服务内容》</w:t>
      </w:r>
    </w:p>
    <w:tbl>
      <w:tblPr>
        <w:tblStyle w:val="23"/>
        <w:tblW w:w="9516" w:type="dxa"/>
        <w:jc w:val="center"/>
        <w:tblLayout w:type="fixed"/>
        <w:tblCellMar>
          <w:top w:w="15" w:type="dxa"/>
          <w:left w:w="15" w:type="dxa"/>
          <w:bottom w:w="15" w:type="dxa"/>
          <w:right w:w="15" w:type="dxa"/>
        </w:tblCellMar>
      </w:tblPr>
      <w:tblGrid>
        <w:gridCol w:w="1009"/>
        <w:gridCol w:w="2160"/>
        <w:gridCol w:w="4957"/>
        <w:gridCol w:w="1390"/>
      </w:tblGrid>
      <w:tr w14:paraId="3C08627A">
        <w:tblPrEx>
          <w:tblCellMar>
            <w:top w:w="15" w:type="dxa"/>
            <w:left w:w="15" w:type="dxa"/>
            <w:bottom w:w="15" w:type="dxa"/>
            <w:right w:w="15" w:type="dxa"/>
          </w:tblCellMar>
        </w:tblPrEx>
        <w:trPr>
          <w:trHeight w:val="90"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12BB1955">
            <w:pPr>
              <w:widowControl/>
              <w:jc w:val="center"/>
              <w:textAlignment w:val="center"/>
              <w:rPr>
                <w:rFonts w:hint="eastAsia" w:asciiTheme="minorEastAsia" w:hAnsiTheme="minorEastAsia" w:eastAsiaTheme="minorEastAsia" w:cstheme="minorEastAsia"/>
                <w:b/>
                <w:bCs/>
                <w:color w:val="000000"/>
                <w:kern w:val="0"/>
                <w:sz w:val="21"/>
                <w:szCs w:val="21"/>
                <w:lang w:bidi="ar"/>
              </w:rPr>
            </w:pPr>
            <w:r>
              <w:rPr>
                <w:rFonts w:hint="eastAsia" w:asciiTheme="minorEastAsia" w:hAnsiTheme="minorEastAsia" w:eastAsiaTheme="minorEastAsia" w:cstheme="minorEastAsia"/>
                <w:b/>
                <w:bCs/>
                <w:color w:val="000000"/>
                <w:kern w:val="0"/>
                <w:sz w:val="21"/>
                <w:szCs w:val="21"/>
                <w:lang w:bidi="ar"/>
              </w:rPr>
              <w:t>不停电</w:t>
            </w:r>
          </w:p>
          <w:p w14:paraId="7A83FCFC">
            <w:pPr>
              <w:widowControl/>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巡视部分</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117F4755">
            <w:pPr>
              <w:widowControl/>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主要巡视设备（部位）</w:t>
            </w:r>
          </w:p>
        </w:tc>
        <w:tc>
          <w:tcPr>
            <w:tcW w:w="4957" w:type="dxa"/>
            <w:tcBorders>
              <w:top w:val="single" w:color="000000" w:sz="4" w:space="0"/>
              <w:left w:val="single" w:color="000000" w:sz="4" w:space="0"/>
              <w:bottom w:val="single" w:color="000000" w:sz="4" w:space="0"/>
              <w:right w:val="single" w:color="000000" w:sz="4" w:space="0"/>
            </w:tcBorders>
            <w:noWrap w:val="0"/>
            <w:vAlign w:val="center"/>
          </w:tcPr>
          <w:p w14:paraId="5D1281FF">
            <w:pPr>
              <w:widowControl/>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主要检查内容</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5CE6CB9F">
            <w:pPr>
              <w:widowControl/>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备注</w:t>
            </w:r>
          </w:p>
        </w:tc>
      </w:tr>
      <w:tr w14:paraId="2140FA2F">
        <w:tblPrEx>
          <w:tblCellMar>
            <w:top w:w="15" w:type="dxa"/>
            <w:left w:w="15" w:type="dxa"/>
            <w:bottom w:w="15" w:type="dxa"/>
            <w:right w:w="15" w:type="dxa"/>
          </w:tblCellMar>
        </w:tblPrEx>
        <w:trPr>
          <w:trHeight w:val="703"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1288CF3E">
            <w:pPr>
              <w:widowControl/>
              <w:jc w:val="center"/>
              <w:textAlignment w:val="center"/>
              <w:rPr>
                <w:rFonts w:hint="eastAsia" w:asciiTheme="minorEastAsia" w:hAnsiTheme="minorEastAsia" w:eastAsiaTheme="minorEastAsia" w:cstheme="minorEastAsia"/>
                <w:b/>
                <w:bCs/>
                <w:color w:val="000000"/>
                <w:kern w:val="0"/>
                <w:sz w:val="21"/>
                <w:szCs w:val="21"/>
                <w:lang w:bidi="ar"/>
              </w:rPr>
            </w:pPr>
            <w:r>
              <w:rPr>
                <w:rFonts w:hint="eastAsia" w:asciiTheme="minorEastAsia" w:hAnsiTheme="minorEastAsia" w:eastAsiaTheme="minorEastAsia" w:cstheme="minorEastAsia"/>
                <w:b/>
                <w:bCs/>
                <w:color w:val="000000"/>
                <w:kern w:val="0"/>
                <w:sz w:val="21"/>
                <w:szCs w:val="21"/>
                <w:lang w:bidi="ar"/>
              </w:rPr>
              <w:t>油浸式</w:t>
            </w:r>
          </w:p>
          <w:p w14:paraId="3DA6B58D">
            <w:pPr>
              <w:widowControl/>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变压器</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527E043C">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外观检查</w:t>
            </w:r>
          </w:p>
        </w:tc>
        <w:tc>
          <w:tcPr>
            <w:tcW w:w="4957" w:type="dxa"/>
            <w:tcBorders>
              <w:top w:val="single" w:color="000000" w:sz="4" w:space="0"/>
              <w:left w:val="single" w:color="000000" w:sz="4" w:space="0"/>
              <w:bottom w:val="single" w:color="000000" w:sz="4" w:space="0"/>
              <w:right w:val="single" w:color="000000" w:sz="4" w:space="0"/>
            </w:tcBorders>
            <w:noWrap w:val="0"/>
            <w:vAlign w:val="center"/>
          </w:tcPr>
          <w:p w14:paraId="4D50D66E">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有无积尘、有无树叶、藤蔓、杂草等异物靠近、高低压套管有无破裂、渗油、外壳接地是否良好</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4214515D">
            <w:pPr>
              <w:rPr>
                <w:rFonts w:hint="eastAsia" w:asciiTheme="minorEastAsia" w:hAnsiTheme="minorEastAsia" w:eastAsiaTheme="minorEastAsia" w:cstheme="minorEastAsia"/>
                <w:color w:val="000000"/>
                <w:sz w:val="21"/>
                <w:szCs w:val="21"/>
              </w:rPr>
            </w:pPr>
          </w:p>
        </w:tc>
      </w:tr>
      <w:tr w14:paraId="2F7BB10D">
        <w:tblPrEx>
          <w:tblCellMar>
            <w:top w:w="15" w:type="dxa"/>
            <w:left w:w="15" w:type="dxa"/>
            <w:bottom w:w="15" w:type="dxa"/>
            <w:right w:w="15" w:type="dxa"/>
          </w:tblCellMar>
        </w:tblPrEx>
        <w:trPr>
          <w:trHeight w:val="488"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0971470A">
            <w:pPr>
              <w:jc w:val="cente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0AEADCD5">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变压器负荷监测</w:t>
            </w:r>
          </w:p>
        </w:tc>
        <w:tc>
          <w:tcPr>
            <w:tcW w:w="4957" w:type="dxa"/>
            <w:tcBorders>
              <w:top w:val="single" w:color="000000" w:sz="4" w:space="0"/>
              <w:left w:val="single" w:color="000000" w:sz="4" w:space="0"/>
              <w:bottom w:val="single" w:color="000000" w:sz="4" w:space="0"/>
              <w:right w:val="single" w:color="000000" w:sz="4" w:space="0"/>
            </w:tcBorders>
            <w:noWrap w:val="0"/>
            <w:vAlign w:val="center"/>
          </w:tcPr>
          <w:p w14:paraId="70C8D5DB">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变压器三相电流、电压是否平衡、是否超额定负荷</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093A3B0F">
            <w:pPr>
              <w:rPr>
                <w:rFonts w:hint="eastAsia" w:asciiTheme="minorEastAsia" w:hAnsiTheme="minorEastAsia" w:eastAsiaTheme="minorEastAsia" w:cstheme="minorEastAsia"/>
                <w:color w:val="000000"/>
                <w:sz w:val="21"/>
                <w:szCs w:val="21"/>
              </w:rPr>
            </w:pPr>
          </w:p>
        </w:tc>
      </w:tr>
      <w:tr w14:paraId="356E9FE2">
        <w:tblPrEx>
          <w:tblCellMar>
            <w:top w:w="15" w:type="dxa"/>
            <w:left w:w="15" w:type="dxa"/>
            <w:bottom w:w="15" w:type="dxa"/>
            <w:right w:w="15" w:type="dxa"/>
          </w:tblCellMar>
        </w:tblPrEx>
        <w:trPr>
          <w:trHeight w:val="285"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1A992B44">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483D600D">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高、低压接线柱</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4E6A62C5">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有无安装绝缘护套、测温仪检测接点有无发热现象</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751CFBCA">
            <w:pPr>
              <w:rPr>
                <w:rFonts w:hint="eastAsia" w:asciiTheme="minorEastAsia" w:hAnsiTheme="minorEastAsia" w:eastAsiaTheme="minorEastAsia" w:cstheme="minorEastAsia"/>
                <w:color w:val="000000"/>
                <w:sz w:val="21"/>
                <w:szCs w:val="21"/>
              </w:rPr>
            </w:pPr>
          </w:p>
        </w:tc>
      </w:tr>
      <w:tr w14:paraId="48D6DD31">
        <w:tblPrEx>
          <w:tblCellMar>
            <w:top w:w="15" w:type="dxa"/>
            <w:left w:w="15" w:type="dxa"/>
            <w:bottom w:w="15" w:type="dxa"/>
            <w:right w:w="15" w:type="dxa"/>
          </w:tblCellMar>
        </w:tblPrEx>
        <w:trPr>
          <w:trHeight w:val="285"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70C51F67">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27706AB6">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呼吸器</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5DB8A1A8">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观察有无变色</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6A55C153">
            <w:pPr>
              <w:rPr>
                <w:rFonts w:hint="eastAsia" w:asciiTheme="minorEastAsia" w:hAnsiTheme="minorEastAsia" w:eastAsiaTheme="minorEastAsia" w:cstheme="minorEastAsia"/>
                <w:color w:val="000000"/>
                <w:sz w:val="21"/>
                <w:szCs w:val="21"/>
              </w:rPr>
            </w:pPr>
          </w:p>
        </w:tc>
      </w:tr>
      <w:tr w14:paraId="2727AE52">
        <w:tblPrEx>
          <w:tblCellMar>
            <w:top w:w="15" w:type="dxa"/>
            <w:left w:w="15" w:type="dxa"/>
            <w:bottom w:w="15" w:type="dxa"/>
            <w:right w:w="15" w:type="dxa"/>
          </w:tblCellMar>
        </w:tblPrEx>
        <w:trPr>
          <w:trHeight w:val="285"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64666CB1">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609F8930">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胶珠、密封胶垫</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6A9A90E2">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观察有无破损、老化、渗油</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26C8936D">
            <w:pPr>
              <w:rPr>
                <w:rFonts w:hint="eastAsia" w:asciiTheme="minorEastAsia" w:hAnsiTheme="minorEastAsia" w:eastAsiaTheme="minorEastAsia" w:cstheme="minorEastAsia"/>
                <w:color w:val="000000"/>
                <w:sz w:val="21"/>
                <w:szCs w:val="21"/>
              </w:rPr>
            </w:pPr>
          </w:p>
        </w:tc>
      </w:tr>
      <w:tr w14:paraId="7F492425">
        <w:tblPrEx>
          <w:tblCellMar>
            <w:top w:w="15" w:type="dxa"/>
            <w:left w:w="15" w:type="dxa"/>
            <w:bottom w:w="15" w:type="dxa"/>
            <w:right w:w="15" w:type="dxa"/>
          </w:tblCellMar>
        </w:tblPrEx>
        <w:trPr>
          <w:trHeight w:val="285"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1DB14A25">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49C65727">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顶层油温</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06D7D419">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测温枪检测油面温度（顶层油温＜85℃）</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119FC813">
            <w:pPr>
              <w:rPr>
                <w:rFonts w:hint="eastAsia" w:asciiTheme="minorEastAsia" w:hAnsiTheme="minorEastAsia" w:eastAsiaTheme="minorEastAsia" w:cstheme="minorEastAsia"/>
                <w:color w:val="000000"/>
                <w:sz w:val="21"/>
                <w:szCs w:val="21"/>
              </w:rPr>
            </w:pPr>
          </w:p>
        </w:tc>
      </w:tr>
      <w:tr w14:paraId="1313941E">
        <w:tblPrEx>
          <w:tblCellMar>
            <w:top w:w="15" w:type="dxa"/>
            <w:left w:w="15" w:type="dxa"/>
            <w:bottom w:w="15" w:type="dxa"/>
            <w:right w:w="15" w:type="dxa"/>
          </w:tblCellMar>
        </w:tblPrEx>
        <w:trPr>
          <w:trHeight w:val="330"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7D3C45C3">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38E67037">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油位</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16CB3352">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观察有无缺油现象</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3F89B6F0">
            <w:pPr>
              <w:rPr>
                <w:rFonts w:hint="eastAsia" w:asciiTheme="minorEastAsia" w:hAnsiTheme="minorEastAsia" w:eastAsiaTheme="minorEastAsia" w:cstheme="minorEastAsia"/>
                <w:color w:val="000000"/>
                <w:sz w:val="21"/>
                <w:szCs w:val="21"/>
              </w:rPr>
            </w:pPr>
          </w:p>
        </w:tc>
      </w:tr>
      <w:tr w14:paraId="58E2C6F7">
        <w:tblPrEx>
          <w:tblCellMar>
            <w:top w:w="15" w:type="dxa"/>
            <w:left w:w="15" w:type="dxa"/>
            <w:bottom w:w="15" w:type="dxa"/>
            <w:right w:w="15" w:type="dxa"/>
          </w:tblCellMar>
        </w:tblPrEx>
        <w:trPr>
          <w:trHeight w:val="90" w:hRule="atLeast"/>
          <w:jc w:val="center"/>
        </w:trPr>
        <w:tc>
          <w:tcPr>
            <w:tcW w:w="1009" w:type="dxa"/>
            <w:tcBorders>
              <w:top w:val="single" w:color="000000" w:sz="4" w:space="0"/>
              <w:left w:val="single" w:color="000000" w:sz="4" w:space="0"/>
              <w:bottom w:val="single" w:color="auto" w:sz="4" w:space="0"/>
              <w:right w:val="single" w:color="000000" w:sz="4" w:space="0"/>
            </w:tcBorders>
            <w:noWrap w:val="0"/>
            <w:vAlign w:val="center"/>
          </w:tcPr>
          <w:p w14:paraId="0C23DBF3">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auto" w:sz="4" w:space="0"/>
              <w:right w:val="single" w:color="000000" w:sz="4" w:space="0"/>
            </w:tcBorders>
            <w:noWrap w:val="0"/>
            <w:vAlign w:val="top"/>
          </w:tcPr>
          <w:p w14:paraId="37F4BCE2">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变压器运行声音</w:t>
            </w:r>
          </w:p>
        </w:tc>
        <w:tc>
          <w:tcPr>
            <w:tcW w:w="4957" w:type="dxa"/>
            <w:tcBorders>
              <w:top w:val="single" w:color="000000" w:sz="4" w:space="0"/>
              <w:left w:val="single" w:color="000000" w:sz="4" w:space="0"/>
              <w:bottom w:val="single" w:color="auto" w:sz="4" w:space="0"/>
              <w:right w:val="single" w:color="000000" w:sz="4" w:space="0"/>
            </w:tcBorders>
            <w:noWrap w:val="0"/>
            <w:vAlign w:val="top"/>
          </w:tcPr>
          <w:p w14:paraId="2B10DC49">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有无异响（应为连续的嗡嗡声）</w:t>
            </w:r>
          </w:p>
        </w:tc>
        <w:tc>
          <w:tcPr>
            <w:tcW w:w="1390" w:type="dxa"/>
            <w:tcBorders>
              <w:top w:val="single" w:color="000000" w:sz="4" w:space="0"/>
              <w:left w:val="single" w:color="000000" w:sz="4" w:space="0"/>
              <w:bottom w:val="single" w:color="auto" w:sz="4" w:space="0"/>
              <w:right w:val="single" w:color="000000" w:sz="4" w:space="0"/>
            </w:tcBorders>
            <w:noWrap w:val="0"/>
            <w:vAlign w:val="center"/>
          </w:tcPr>
          <w:p w14:paraId="11CB749F">
            <w:pPr>
              <w:rPr>
                <w:rFonts w:hint="eastAsia" w:asciiTheme="minorEastAsia" w:hAnsiTheme="minorEastAsia" w:eastAsiaTheme="minorEastAsia" w:cstheme="minorEastAsia"/>
                <w:color w:val="000000"/>
                <w:sz w:val="21"/>
                <w:szCs w:val="21"/>
              </w:rPr>
            </w:pPr>
          </w:p>
        </w:tc>
      </w:tr>
      <w:tr w14:paraId="0448A955">
        <w:tblPrEx>
          <w:tblCellMar>
            <w:top w:w="15" w:type="dxa"/>
            <w:left w:w="15" w:type="dxa"/>
            <w:bottom w:w="15" w:type="dxa"/>
            <w:right w:w="15" w:type="dxa"/>
          </w:tblCellMar>
        </w:tblPrEx>
        <w:trPr>
          <w:trHeight w:val="149" w:hRule="atLeast"/>
          <w:jc w:val="center"/>
        </w:trPr>
        <w:tc>
          <w:tcPr>
            <w:tcW w:w="1009" w:type="dxa"/>
            <w:tcBorders>
              <w:top w:val="single" w:color="auto" w:sz="4" w:space="0"/>
              <w:left w:val="single" w:color="000000" w:sz="4" w:space="0"/>
              <w:bottom w:val="single" w:color="auto" w:sz="4" w:space="0"/>
              <w:right w:val="single" w:color="000000" w:sz="4" w:space="0"/>
            </w:tcBorders>
            <w:noWrap w:val="0"/>
            <w:vAlign w:val="center"/>
          </w:tcPr>
          <w:p w14:paraId="5286DA6B">
            <w:pP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sz w:val="21"/>
                <w:szCs w:val="21"/>
              </w:rPr>
              <w:t>干式</w:t>
            </w:r>
          </w:p>
          <w:p w14:paraId="62435BA2">
            <w:pP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sz w:val="21"/>
                <w:szCs w:val="21"/>
              </w:rPr>
              <w:t>变压器</w:t>
            </w:r>
          </w:p>
        </w:tc>
        <w:tc>
          <w:tcPr>
            <w:tcW w:w="2160" w:type="dxa"/>
            <w:tcBorders>
              <w:top w:val="single" w:color="auto" w:sz="4" w:space="0"/>
              <w:left w:val="single" w:color="000000" w:sz="4" w:space="0"/>
              <w:bottom w:val="single" w:color="auto" w:sz="4" w:space="0"/>
              <w:right w:val="single" w:color="000000" w:sz="4" w:space="0"/>
            </w:tcBorders>
            <w:noWrap w:val="0"/>
            <w:vAlign w:val="top"/>
          </w:tcPr>
          <w:p w14:paraId="1C0C68A2">
            <w:pPr>
              <w:widowControl/>
              <w:jc w:val="both"/>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外观检查</w:t>
            </w:r>
          </w:p>
        </w:tc>
        <w:tc>
          <w:tcPr>
            <w:tcW w:w="4957" w:type="dxa"/>
            <w:tcBorders>
              <w:top w:val="single" w:color="auto" w:sz="4" w:space="0"/>
              <w:left w:val="single" w:color="000000" w:sz="4" w:space="0"/>
              <w:bottom w:val="single" w:color="auto" w:sz="4" w:space="0"/>
              <w:right w:val="single" w:color="000000" w:sz="4" w:space="0"/>
            </w:tcBorders>
            <w:noWrap w:val="0"/>
            <w:vAlign w:val="top"/>
          </w:tcPr>
          <w:p w14:paraId="4294ECF7">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变压器有无积尘、绕组绝缘有无破裂、支柱绝缘子有无破裂、外壳接地情况</w:t>
            </w:r>
          </w:p>
        </w:tc>
        <w:tc>
          <w:tcPr>
            <w:tcW w:w="1390" w:type="dxa"/>
            <w:tcBorders>
              <w:top w:val="single" w:color="auto" w:sz="4" w:space="0"/>
              <w:left w:val="single" w:color="000000" w:sz="4" w:space="0"/>
              <w:bottom w:val="single" w:color="auto" w:sz="4" w:space="0"/>
              <w:right w:val="single" w:color="000000" w:sz="4" w:space="0"/>
            </w:tcBorders>
            <w:noWrap w:val="0"/>
            <w:vAlign w:val="center"/>
          </w:tcPr>
          <w:p w14:paraId="648A0F55">
            <w:pPr>
              <w:rPr>
                <w:rFonts w:hint="eastAsia" w:asciiTheme="minorEastAsia" w:hAnsiTheme="minorEastAsia" w:eastAsiaTheme="minorEastAsia" w:cstheme="minorEastAsia"/>
                <w:color w:val="000000"/>
                <w:sz w:val="21"/>
                <w:szCs w:val="21"/>
              </w:rPr>
            </w:pPr>
          </w:p>
        </w:tc>
      </w:tr>
      <w:tr w14:paraId="0F6D5A8A">
        <w:tblPrEx>
          <w:tblCellMar>
            <w:top w:w="15" w:type="dxa"/>
            <w:left w:w="15" w:type="dxa"/>
            <w:bottom w:w="15" w:type="dxa"/>
            <w:right w:w="15" w:type="dxa"/>
          </w:tblCellMar>
        </w:tblPrEx>
        <w:trPr>
          <w:trHeight w:val="162" w:hRule="atLeast"/>
          <w:jc w:val="center"/>
        </w:trPr>
        <w:tc>
          <w:tcPr>
            <w:tcW w:w="1009" w:type="dxa"/>
            <w:tcBorders>
              <w:top w:val="single" w:color="auto" w:sz="4" w:space="0"/>
              <w:left w:val="single" w:color="000000" w:sz="4" w:space="0"/>
              <w:bottom w:val="single" w:color="auto" w:sz="4" w:space="0"/>
              <w:right w:val="single" w:color="000000" w:sz="4" w:space="0"/>
            </w:tcBorders>
            <w:noWrap w:val="0"/>
            <w:vAlign w:val="center"/>
          </w:tcPr>
          <w:p w14:paraId="34B38101">
            <w:pPr>
              <w:rPr>
                <w:rFonts w:hint="eastAsia" w:asciiTheme="minorEastAsia" w:hAnsiTheme="minorEastAsia" w:eastAsiaTheme="minorEastAsia" w:cstheme="minorEastAsia"/>
                <w:color w:val="000000"/>
                <w:sz w:val="21"/>
                <w:szCs w:val="21"/>
              </w:rPr>
            </w:pPr>
          </w:p>
        </w:tc>
        <w:tc>
          <w:tcPr>
            <w:tcW w:w="2160" w:type="dxa"/>
            <w:tcBorders>
              <w:top w:val="single" w:color="auto" w:sz="4" w:space="0"/>
              <w:left w:val="single" w:color="000000" w:sz="4" w:space="0"/>
              <w:bottom w:val="single" w:color="auto" w:sz="4" w:space="0"/>
              <w:right w:val="single" w:color="000000" w:sz="4" w:space="0"/>
            </w:tcBorders>
            <w:noWrap w:val="0"/>
            <w:vAlign w:val="top"/>
          </w:tcPr>
          <w:p w14:paraId="61519453">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变压器负荷监测</w:t>
            </w:r>
          </w:p>
        </w:tc>
        <w:tc>
          <w:tcPr>
            <w:tcW w:w="4957" w:type="dxa"/>
            <w:tcBorders>
              <w:top w:val="single" w:color="auto" w:sz="4" w:space="0"/>
              <w:left w:val="single" w:color="000000" w:sz="4" w:space="0"/>
              <w:bottom w:val="single" w:color="auto" w:sz="4" w:space="0"/>
              <w:right w:val="single" w:color="000000" w:sz="4" w:space="0"/>
            </w:tcBorders>
            <w:noWrap w:val="0"/>
            <w:vAlign w:val="top"/>
          </w:tcPr>
          <w:p w14:paraId="177CC516">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变压器三相电流、电压是否平衡、是否超额定负荷</w:t>
            </w:r>
          </w:p>
        </w:tc>
        <w:tc>
          <w:tcPr>
            <w:tcW w:w="1390" w:type="dxa"/>
            <w:tcBorders>
              <w:top w:val="single" w:color="auto" w:sz="4" w:space="0"/>
              <w:left w:val="single" w:color="000000" w:sz="4" w:space="0"/>
              <w:bottom w:val="single" w:color="auto" w:sz="4" w:space="0"/>
              <w:right w:val="single" w:color="000000" w:sz="4" w:space="0"/>
            </w:tcBorders>
            <w:noWrap w:val="0"/>
            <w:vAlign w:val="center"/>
          </w:tcPr>
          <w:p w14:paraId="5F16DB18">
            <w:pPr>
              <w:rPr>
                <w:rFonts w:hint="eastAsia" w:asciiTheme="minorEastAsia" w:hAnsiTheme="minorEastAsia" w:eastAsiaTheme="minorEastAsia" w:cstheme="minorEastAsia"/>
                <w:color w:val="000000"/>
                <w:sz w:val="21"/>
                <w:szCs w:val="21"/>
              </w:rPr>
            </w:pPr>
          </w:p>
        </w:tc>
      </w:tr>
      <w:tr w14:paraId="58B857DE">
        <w:tblPrEx>
          <w:tblCellMar>
            <w:top w:w="15" w:type="dxa"/>
            <w:left w:w="15" w:type="dxa"/>
            <w:bottom w:w="15" w:type="dxa"/>
            <w:right w:w="15" w:type="dxa"/>
          </w:tblCellMar>
        </w:tblPrEx>
        <w:trPr>
          <w:trHeight w:val="136" w:hRule="atLeast"/>
          <w:jc w:val="center"/>
        </w:trPr>
        <w:tc>
          <w:tcPr>
            <w:tcW w:w="1009" w:type="dxa"/>
            <w:tcBorders>
              <w:top w:val="single" w:color="auto" w:sz="4" w:space="0"/>
              <w:left w:val="single" w:color="000000" w:sz="4" w:space="0"/>
              <w:bottom w:val="single" w:color="auto" w:sz="4" w:space="0"/>
              <w:right w:val="single" w:color="000000" w:sz="4" w:space="0"/>
            </w:tcBorders>
            <w:noWrap w:val="0"/>
            <w:vAlign w:val="center"/>
          </w:tcPr>
          <w:p w14:paraId="2977BC03">
            <w:pPr>
              <w:rPr>
                <w:rFonts w:hint="eastAsia" w:asciiTheme="minorEastAsia" w:hAnsiTheme="minorEastAsia" w:eastAsiaTheme="minorEastAsia" w:cstheme="minorEastAsia"/>
                <w:color w:val="000000"/>
                <w:sz w:val="21"/>
                <w:szCs w:val="21"/>
              </w:rPr>
            </w:pPr>
          </w:p>
        </w:tc>
        <w:tc>
          <w:tcPr>
            <w:tcW w:w="2160" w:type="dxa"/>
            <w:tcBorders>
              <w:top w:val="single" w:color="auto" w:sz="4" w:space="0"/>
              <w:left w:val="single" w:color="000000" w:sz="4" w:space="0"/>
              <w:bottom w:val="single" w:color="auto" w:sz="4" w:space="0"/>
              <w:right w:val="single" w:color="000000" w:sz="4" w:space="0"/>
            </w:tcBorders>
            <w:noWrap w:val="0"/>
            <w:vAlign w:val="top"/>
          </w:tcPr>
          <w:p w14:paraId="1D456371">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变压器运行声音</w:t>
            </w:r>
          </w:p>
        </w:tc>
        <w:tc>
          <w:tcPr>
            <w:tcW w:w="4957" w:type="dxa"/>
            <w:tcBorders>
              <w:top w:val="single" w:color="auto" w:sz="4" w:space="0"/>
              <w:left w:val="single" w:color="000000" w:sz="4" w:space="0"/>
              <w:bottom w:val="single" w:color="auto" w:sz="4" w:space="0"/>
              <w:right w:val="single" w:color="000000" w:sz="4" w:space="0"/>
            </w:tcBorders>
            <w:noWrap w:val="0"/>
            <w:vAlign w:val="top"/>
          </w:tcPr>
          <w:p w14:paraId="10A6C065">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有无异响（应为连续的嗡嗡声）</w:t>
            </w:r>
          </w:p>
        </w:tc>
        <w:tc>
          <w:tcPr>
            <w:tcW w:w="1390" w:type="dxa"/>
            <w:tcBorders>
              <w:top w:val="single" w:color="auto" w:sz="4" w:space="0"/>
              <w:left w:val="single" w:color="000000" w:sz="4" w:space="0"/>
              <w:bottom w:val="single" w:color="auto" w:sz="4" w:space="0"/>
              <w:right w:val="single" w:color="000000" w:sz="4" w:space="0"/>
            </w:tcBorders>
            <w:noWrap w:val="0"/>
            <w:vAlign w:val="center"/>
          </w:tcPr>
          <w:p w14:paraId="3CBC4B5E">
            <w:pPr>
              <w:rPr>
                <w:rFonts w:hint="eastAsia" w:asciiTheme="minorEastAsia" w:hAnsiTheme="minorEastAsia" w:eastAsiaTheme="minorEastAsia" w:cstheme="minorEastAsia"/>
                <w:color w:val="000000"/>
                <w:sz w:val="21"/>
                <w:szCs w:val="21"/>
              </w:rPr>
            </w:pPr>
          </w:p>
        </w:tc>
      </w:tr>
      <w:tr w14:paraId="247EDDA1">
        <w:tblPrEx>
          <w:tblCellMar>
            <w:top w:w="15" w:type="dxa"/>
            <w:left w:w="15" w:type="dxa"/>
            <w:bottom w:w="15" w:type="dxa"/>
            <w:right w:w="15" w:type="dxa"/>
          </w:tblCellMar>
        </w:tblPrEx>
        <w:trPr>
          <w:trHeight w:val="229" w:hRule="atLeast"/>
          <w:jc w:val="center"/>
        </w:trPr>
        <w:tc>
          <w:tcPr>
            <w:tcW w:w="1009" w:type="dxa"/>
            <w:tcBorders>
              <w:top w:val="single" w:color="auto" w:sz="4" w:space="0"/>
              <w:left w:val="single" w:color="000000" w:sz="4" w:space="0"/>
              <w:bottom w:val="single" w:color="auto" w:sz="4" w:space="0"/>
              <w:right w:val="single" w:color="000000" w:sz="4" w:space="0"/>
            </w:tcBorders>
            <w:noWrap w:val="0"/>
            <w:vAlign w:val="center"/>
          </w:tcPr>
          <w:p w14:paraId="7A475D5C">
            <w:pPr>
              <w:rPr>
                <w:rFonts w:hint="eastAsia" w:asciiTheme="minorEastAsia" w:hAnsiTheme="minorEastAsia" w:eastAsiaTheme="minorEastAsia" w:cstheme="minorEastAsia"/>
                <w:color w:val="000000"/>
                <w:sz w:val="21"/>
                <w:szCs w:val="21"/>
              </w:rPr>
            </w:pPr>
          </w:p>
        </w:tc>
        <w:tc>
          <w:tcPr>
            <w:tcW w:w="2160" w:type="dxa"/>
            <w:tcBorders>
              <w:top w:val="single" w:color="auto" w:sz="4" w:space="0"/>
              <w:left w:val="single" w:color="000000" w:sz="4" w:space="0"/>
              <w:bottom w:val="single" w:color="auto" w:sz="4" w:space="0"/>
              <w:right w:val="single" w:color="000000" w:sz="4" w:space="0"/>
            </w:tcBorders>
            <w:noWrap w:val="0"/>
            <w:vAlign w:val="top"/>
          </w:tcPr>
          <w:p w14:paraId="45F1E1AE">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高压组别联杆</w:t>
            </w:r>
          </w:p>
        </w:tc>
        <w:tc>
          <w:tcPr>
            <w:tcW w:w="4957" w:type="dxa"/>
            <w:tcBorders>
              <w:top w:val="single" w:color="auto" w:sz="4" w:space="0"/>
              <w:left w:val="single" w:color="000000" w:sz="4" w:space="0"/>
              <w:bottom w:val="single" w:color="auto" w:sz="4" w:space="0"/>
              <w:right w:val="single" w:color="000000" w:sz="4" w:space="0"/>
            </w:tcBorders>
            <w:noWrap w:val="0"/>
            <w:vAlign w:val="top"/>
          </w:tcPr>
          <w:p w14:paraId="06392B9D">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有无断裂痕迹、绝缘距离是否符合要求（&gt;12.5cm）</w:t>
            </w:r>
          </w:p>
        </w:tc>
        <w:tc>
          <w:tcPr>
            <w:tcW w:w="1390" w:type="dxa"/>
            <w:tcBorders>
              <w:top w:val="single" w:color="auto" w:sz="4" w:space="0"/>
              <w:left w:val="single" w:color="000000" w:sz="4" w:space="0"/>
              <w:bottom w:val="single" w:color="auto" w:sz="4" w:space="0"/>
              <w:right w:val="single" w:color="000000" w:sz="4" w:space="0"/>
            </w:tcBorders>
            <w:noWrap w:val="0"/>
            <w:vAlign w:val="center"/>
          </w:tcPr>
          <w:p w14:paraId="76894518">
            <w:pPr>
              <w:rPr>
                <w:rFonts w:hint="eastAsia" w:asciiTheme="minorEastAsia" w:hAnsiTheme="minorEastAsia" w:eastAsiaTheme="minorEastAsia" w:cstheme="minorEastAsia"/>
                <w:color w:val="000000"/>
                <w:sz w:val="21"/>
                <w:szCs w:val="21"/>
              </w:rPr>
            </w:pPr>
          </w:p>
        </w:tc>
      </w:tr>
      <w:tr w14:paraId="4143C265">
        <w:tblPrEx>
          <w:tblCellMar>
            <w:top w:w="15" w:type="dxa"/>
            <w:left w:w="15" w:type="dxa"/>
            <w:bottom w:w="15" w:type="dxa"/>
            <w:right w:w="15" w:type="dxa"/>
          </w:tblCellMar>
        </w:tblPrEx>
        <w:trPr>
          <w:trHeight w:val="162" w:hRule="atLeast"/>
          <w:jc w:val="center"/>
        </w:trPr>
        <w:tc>
          <w:tcPr>
            <w:tcW w:w="1009" w:type="dxa"/>
            <w:tcBorders>
              <w:top w:val="single" w:color="auto" w:sz="4" w:space="0"/>
              <w:left w:val="single" w:color="000000" w:sz="4" w:space="0"/>
              <w:bottom w:val="single" w:color="auto" w:sz="4" w:space="0"/>
              <w:right w:val="single" w:color="000000" w:sz="4" w:space="0"/>
            </w:tcBorders>
            <w:noWrap w:val="0"/>
            <w:vAlign w:val="center"/>
          </w:tcPr>
          <w:p w14:paraId="36E22658">
            <w:pPr>
              <w:rPr>
                <w:rFonts w:hint="eastAsia" w:asciiTheme="minorEastAsia" w:hAnsiTheme="minorEastAsia" w:eastAsiaTheme="minorEastAsia" w:cstheme="minorEastAsia"/>
                <w:color w:val="000000"/>
                <w:sz w:val="21"/>
                <w:szCs w:val="21"/>
              </w:rPr>
            </w:pPr>
          </w:p>
        </w:tc>
        <w:tc>
          <w:tcPr>
            <w:tcW w:w="2160" w:type="dxa"/>
            <w:tcBorders>
              <w:top w:val="single" w:color="auto" w:sz="4" w:space="0"/>
              <w:left w:val="single" w:color="000000" w:sz="4" w:space="0"/>
              <w:bottom w:val="single" w:color="auto" w:sz="4" w:space="0"/>
              <w:right w:val="single" w:color="000000" w:sz="4" w:space="0"/>
            </w:tcBorders>
            <w:noWrap w:val="0"/>
            <w:vAlign w:val="top"/>
          </w:tcPr>
          <w:p w14:paraId="09E34507">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变压器铁芯温度</w:t>
            </w:r>
          </w:p>
        </w:tc>
        <w:tc>
          <w:tcPr>
            <w:tcW w:w="4957" w:type="dxa"/>
            <w:tcBorders>
              <w:top w:val="single" w:color="auto" w:sz="4" w:space="0"/>
              <w:left w:val="single" w:color="000000" w:sz="4" w:space="0"/>
              <w:bottom w:val="single" w:color="auto" w:sz="4" w:space="0"/>
              <w:right w:val="single" w:color="000000" w:sz="4" w:space="0"/>
            </w:tcBorders>
            <w:noWrap w:val="0"/>
            <w:vAlign w:val="top"/>
          </w:tcPr>
          <w:p w14:paraId="658D7824">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测温枪检测铁芯温度（铁芯温度&lt;120摄氏度）</w:t>
            </w:r>
          </w:p>
        </w:tc>
        <w:tc>
          <w:tcPr>
            <w:tcW w:w="1390" w:type="dxa"/>
            <w:tcBorders>
              <w:top w:val="single" w:color="auto" w:sz="4" w:space="0"/>
              <w:left w:val="single" w:color="000000" w:sz="4" w:space="0"/>
              <w:bottom w:val="single" w:color="auto" w:sz="4" w:space="0"/>
              <w:right w:val="single" w:color="000000" w:sz="4" w:space="0"/>
            </w:tcBorders>
            <w:noWrap w:val="0"/>
            <w:vAlign w:val="center"/>
          </w:tcPr>
          <w:p w14:paraId="53F8D129">
            <w:pPr>
              <w:rPr>
                <w:rFonts w:hint="eastAsia" w:asciiTheme="minorEastAsia" w:hAnsiTheme="minorEastAsia" w:eastAsiaTheme="minorEastAsia" w:cstheme="minorEastAsia"/>
                <w:color w:val="000000"/>
                <w:sz w:val="21"/>
                <w:szCs w:val="21"/>
              </w:rPr>
            </w:pPr>
          </w:p>
        </w:tc>
      </w:tr>
      <w:tr w14:paraId="48AB2964">
        <w:tblPrEx>
          <w:tblCellMar>
            <w:top w:w="15" w:type="dxa"/>
            <w:left w:w="15" w:type="dxa"/>
            <w:bottom w:w="15" w:type="dxa"/>
            <w:right w:w="15" w:type="dxa"/>
          </w:tblCellMar>
        </w:tblPrEx>
        <w:trPr>
          <w:trHeight w:val="176" w:hRule="atLeast"/>
          <w:jc w:val="center"/>
        </w:trPr>
        <w:tc>
          <w:tcPr>
            <w:tcW w:w="1009" w:type="dxa"/>
            <w:tcBorders>
              <w:top w:val="single" w:color="auto" w:sz="4" w:space="0"/>
              <w:left w:val="single" w:color="000000" w:sz="4" w:space="0"/>
              <w:bottom w:val="single" w:color="auto" w:sz="4" w:space="0"/>
              <w:right w:val="single" w:color="000000" w:sz="4" w:space="0"/>
            </w:tcBorders>
            <w:noWrap w:val="0"/>
            <w:vAlign w:val="center"/>
          </w:tcPr>
          <w:p w14:paraId="72632101">
            <w:pPr>
              <w:rPr>
                <w:rFonts w:hint="eastAsia" w:asciiTheme="minorEastAsia" w:hAnsiTheme="minorEastAsia" w:eastAsiaTheme="minorEastAsia" w:cstheme="minorEastAsia"/>
                <w:color w:val="000000"/>
                <w:sz w:val="21"/>
                <w:szCs w:val="21"/>
              </w:rPr>
            </w:pPr>
          </w:p>
        </w:tc>
        <w:tc>
          <w:tcPr>
            <w:tcW w:w="2160" w:type="dxa"/>
            <w:tcBorders>
              <w:top w:val="single" w:color="auto" w:sz="4" w:space="0"/>
              <w:left w:val="single" w:color="000000" w:sz="4" w:space="0"/>
              <w:bottom w:val="single" w:color="auto" w:sz="4" w:space="0"/>
              <w:right w:val="single" w:color="000000" w:sz="4" w:space="0"/>
            </w:tcBorders>
            <w:noWrap w:val="0"/>
            <w:vAlign w:val="top"/>
          </w:tcPr>
          <w:p w14:paraId="2AA965B1">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变压器温控仪</w:t>
            </w:r>
          </w:p>
        </w:tc>
        <w:tc>
          <w:tcPr>
            <w:tcW w:w="4957" w:type="dxa"/>
            <w:tcBorders>
              <w:top w:val="single" w:color="auto" w:sz="4" w:space="0"/>
              <w:left w:val="single" w:color="000000" w:sz="4" w:space="0"/>
              <w:bottom w:val="single" w:color="auto" w:sz="4" w:space="0"/>
              <w:right w:val="single" w:color="000000" w:sz="4" w:space="0"/>
            </w:tcBorders>
            <w:noWrap w:val="0"/>
            <w:vAlign w:val="top"/>
          </w:tcPr>
          <w:p w14:paraId="0E3E086C">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运行是否正常、温度显示是否正确</w:t>
            </w:r>
          </w:p>
        </w:tc>
        <w:tc>
          <w:tcPr>
            <w:tcW w:w="1390" w:type="dxa"/>
            <w:tcBorders>
              <w:top w:val="single" w:color="auto" w:sz="4" w:space="0"/>
              <w:left w:val="single" w:color="000000" w:sz="4" w:space="0"/>
              <w:bottom w:val="single" w:color="auto" w:sz="4" w:space="0"/>
              <w:right w:val="single" w:color="000000" w:sz="4" w:space="0"/>
            </w:tcBorders>
            <w:noWrap w:val="0"/>
            <w:vAlign w:val="center"/>
          </w:tcPr>
          <w:p w14:paraId="79CCC095">
            <w:pPr>
              <w:rPr>
                <w:rFonts w:hint="eastAsia" w:asciiTheme="minorEastAsia" w:hAnsiTheme="minorEastAsia" w:eastAsiaTheme="minorEastAsia" w:cstheme="minorEastAsia"/>
                <w:color w:val="000000"/>
                <w:sz w:val="21"/>
                <w:szCs w:val="21"/>
              </w:rPr>
            </w:pPr>
          </w:p>
        </w:tc>
      </w:tr>
      <w:tr w14:paraId="2DDA466F">
        <w:tblPrEx>
          <w:tblCellMar>
            <w:top w:w="15" w:type="dxa"/>
            <w:left w:w="15" w:type="dxa"/>
            <w:bottom w:w="15" w:type="dxa"/>
            <w:right w:w="15" w:type="dxa"/>
          </w:tblCellMar>
        </w:tblPrEx>
        <w:trPr>
          <w:trHeight w:val="162" w:hRule="atLeast"/>
          <w:jc w:val="center"/>
        </w:trPr>
        <w:tc>
          <w:tcPr>
            <w:tcW w:w="1009" w:type="dxa"/>
            <w:tcBorders>
              <w:top w:val="single" w:color="auto" w:sz="4" w:space="0"/>
              <w:left w:val="single" w:color="000000" w:sz="4" w:space="0"/>
              <w:bottom w:val="single" w:color="000000" w:sz="4" w:space="0"/>
              <w:right w:val="single" w:color="000000" w:sz="4" w:space="0"/>
            </w:tcBorders>
            <w:noWrap w:val="0"/>
            <w:vAlign w:val="center"/>
          </w:tcPr>
          <w:p w14:paraId="582CEB0C">
            <w:pPr>
              <w:rPr>
                <w:rFonts w:hint="eastAsia" w:asciiTheme="minorEastAsia" w:hAnsiTheme="minorEastAsia" w:eastAsiaTheme="minorEastAsia" w:cstheme="minorEastAsia"/>
                <w:color w:val="000000"/>
                <w:sz w:val="21"/>
                <w:szCs w:val="21"/>
              </w:rPr>
            </w:pPr>
          </w:p>
        </w:tc>
        <w:tc>
          <w:tcPr>
            <w:tcW w:w="2160" w:type="dxa"/>
            <w:tcBorders>
              <w:top w:val="single" w:color="auto" w:sz="4" w:space="0"/>
              <w:left w:val="single" w:color="000000" w:sz="4" w:space="0"/>
              <w:bottom w:val="single" w:color="000000" w:sz="4" w:space="0"/>
              <w:right w:val="single" w:color="000000" w:sz="4" w:space="0"/>
            </w:tcBorders>
            <w:noWrap w:val="0"/>
            <w:vAlign w:val="top"/>
          </w:tcPr>
          <w:p w14:paraId="6BE434F4">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变压器器散热风机</w:t>
            </w:r>
          </w:p>
        </w:tc>
        <w:tc>
          <w:tcPr>
            <w:tcW w:w="4957" w:type="dxa"/>
            <w:tcBorders>
              <w:top w:val="single" w:color="auto" w:sz="4" w:space="0"/>
              <w:left w:val="single" w:color="000000" w:sz="4" w:space="0"/>
              <w:bottom w:val="single" w:color="000000" w:sz="4" w:space="0"/>
              <w:right w:val="single" w:color="000000" w:sz="4" w:space="0"/>
            </w:tcBorders>
            <w:noWrap w:val="0"/>
            <w:vAlign w:val="top"/>
          </w:tcPr>
          <w:p w14:paraId="10D1634C">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启动及运行是否正常、有无碰壳现象</w:t>
            </w:r>
          </w:p>
        </w:tc>
        <w:tc>
          <w:tcPr>
            <w:tcW w:w="1390" w:type="dxa"/>
            <w:tcBorders>
              <w:top w:val="single" w:color="auto" w:sz="4" w:space="0"/>
              <w:left w:val="single" w:color="000000" w:sz="4" w:space="0"/>
              <w:bottom w:val="single" w:color="000000" w:sz="4" w:space="0"/>
              <w:right w:val="single" w:color="000000" w:sz="4" w:space="0"/>
            </w:tcBorders>
            <w:noWrap w:val="0"/>
            <w:vAlign w:val="center"/>
          </w:tcPr>
          <w:p w14:paraId="54938749">
            <w:pPr>
              <w:rPr>
                <w:rFonts w:hint="eastAsia" w:asciiTheme="minorEastAsia" w:hAnsiTheme="minorEastAsia" w:eastAsiaTheme="minorEastAsia" w:cstheme="minorEastAsia"/>
                <w:color w:val="000000"/>
                <w:sz w:val="21"/>
                <w:szCs w:val="21"/>
              </w:rPr>
            </w:pPr>
          </w:p>
        </w:tc>
      </w:tr>
      <w:tr w14:paraId="134DA9F5">
        <w:tblPrEx>
          <w:tblCellMar>
            <w:top w:w="15" w:type="dxa"/>
            <w:left w:w="15" w:type="dxa"/>
            <w:bottom w:w="15" w:type="dxa"/>
            <w:right w:w="15" w:type="dxa"/>
          </w:tblCellMar>
        </w:tblPrEx>
        <w:trPr>
          <w:trHeight w:val="2051"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35253082">
            <w:pPr>
              <w:widowControl/>
              <w:jc w:val="left"/>
              <w:textAlignment w:val="center"/>
              <w:rPr>
                <w:rFonts w:hint="eastAsia" w:asciiTheme="minorEastAsia" w:hAnsiTheme="minorEastAsia" w:eastAsiaTheme="minorEastAsia" w:cstheme="minorEastAsia"/>
                <w:b/>
                <w:bCs/>
                <w:color w:val="000000"/>
                <w:kern w:val="0"/>
                <w:sz w:val="21"/>
                <w:szCs w:val="21"/>
                <w:lang w:bidi="ar"/>
              </w:rPr>
            </w:pPr>
            <w:r>
              <w:rPr>
                <w:rFonts w:hint="eastAsia" w:asciiTheme="minorEastAsia" w:hAnsiTheme="minorEastAsia" w:eastAsiaTheme="minorEastAsia" w:cstheme="minorEastAsia"/>
                <w:b/>
                <w:bCs/>
                <w:color w:val="000000"/>
                <w:kern w:val="0"/>
                <w:sz w:val="21"/>
                <w:szCs w:val="21"/>
                <w:lang w:bidi="ar"/>
              </w:rPr>
              <w:t>户内</w:t>
            </w:r>
          </w:p>
          <w:p w14:paraId="2E474FC0">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高压设备</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15D91604">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高压进线柜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04D18E41">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如盘柜设有观察窗、从观察窗观察进线开关合闸是否到位，高压进线电缆头、高压避雷器、绝缘子、套管、CT等柜内设备有无放电，柜内有无孔洞未堵，静听柜内有无异响。带电、分、合闸等指示灯是否正常。测温枪从观察窗检测柜内各接点温度是否过高。柜内有无积尘、蜘蛛网等。</w:t>
            </w:r>
          </w:p>
        </w:tc>
        <w:tc>
          <w:tcPr>
            <w:tcW w:w="1390" w:type="dxa"/>
            <w:tcBorders>
              <w:top w:val="single" w:color="000000" w:sz="4" w:space="0"/>
              <w:left w:val="single" w:color="000000" w:sz="4" w:space="0"/>
              <w:bottom w:val="single" w:color="000000" w:sz="4" w:space="0"/>
              <w:right w:val="single" w:color="000000" w:sz="4" w:space="0"/>
            </w:tcBorders>
            <w:noWrap w:val="0"/>
            <w:vAlign w:val="top"/>
          </w:tcPr>
          <w:p w14:paraId="4EFEF139">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因外线路停电不受</w:t>
            </w:r>
            <w:r>
              <w:rPr>
                <w:rFonts w:hint="eastAsia" w:asciiTheme="minorEastAsia" w:hAnsiTheme="minorEastAsia" w:eastAsiaTheme="minorEastAsia" w:cstheme="minorEastAsia"/>
                <w:color w:val="000000"/>
                <w:kern w:val="0"/>
                <w:sz w:val="21"/>
                <w:szCs w:val="21"/>
                <w:lang w:eastAsia="zh-CN" w:bidi="ar"/>
              </w:rPr>
              <w:t>采购人</w:t>
            </w:r>
            <w:r>
              <w:rPr>
                <w:rFonts w:hint="eastAsia" w:asciiTheme="minorEastAsia" w:hAnsiTheme="minorEastAsia" w:eastAsiaTheme="minorEastAsia" w:cstheme="minorEastAsia"/>
                <w:color w:val="000000"/>
                <w:kern w:val="0"/>
                <w:sz w:val="21"/>
                <w:szCs w:val="21"/>
                <w:lang w:bidi="ar"/>
              </w:rPr>
              <w:t>控制，进线开关线路侧触头及其它设备（如避雷器、电缆头等）不在维护范围</w:t>
            </w:r>
          </w:p>
        </w:tc>
      </w:tr>
      <w:tr w14:paraId="407B4237">
        <w:tblPrEx>
          <w:tblCellMar>
            <w:top w:w="15" w:type="dxa"/>
            <w:left w:w="15" w:type="dxa"/>
            <w:bottom w:w="15" w:type="dxa"/>
            <w:right w:w="15" w:type="dxa"/>
          </w:tblCellMar>
        </w:tblPrEx>
        <w:trPr>
          <w:trHeight w:val="949"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73B7A8B0">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6A423358">
            <w:pPr>
              <w:widowControl/>
              <w:jc w:val="left"/>
              <w:textAlignment w:val="top"/>
              <w:rPr>
                <w:rFonts w:hint="eastAsia" w:asciiTheme="minorEastAsia" w:hAnsiTheme="minorEastAsia" w:eastAsiaTheme="minorEastAsia" w:cstheme="minorEastAsia"/>
                <w:color w:val="000000"/>
                <w:kern w:val="0"/>
                <w:sz w:val="21"/>
                <w:szCs w:val="21"/>
                <w:lang w:bidi="ar"/>
              </w:rPr>
            </w:pPr>
          </w:p>
          <w:p w14:paraId="12889122">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高压计量柜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00605F37">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如盘柜设有观察窗，从观察窗观察绝缘子、套管、PT等柜内设备有无放电，柜内有无孔洞未堵，静听柜内有无异响。柜内有无积尘、蜘蛛网等。</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0A69575A">
            <w:pPr>
              <w:rPr>
                <w:rFonts w:hint="eastAsia" w:asciiTheme="minorEastAsia" w:hAnsiTheme="minorEastAsia" w:eastAsiaTheme="minorEastAsia" w:cstheme="minorEastAsia"/>
                <w:color w:val="000000"/>
                <w:sz w:val="21"/>
                <w:szCs w:val="21"/>
              </w:rPr>
            </w:pPr>
          </w:p>
        </w:tc>
      </w:tr>
      <w:tr w14:paraId="11044481">
        <w:tblPrEx>
          <w:tblCellMar>
            <w:top w:w="15" w:type="dxa"/>
            <w:left w:w="15" w:type="dxa"/>
            <w:bottom w:w="15" w:type="dxa"/>
            <w:right w:w="15" w:type="dxa"/>
          </w:tblCellMar>
        </w:tblPrEx>
        <w:trPr>
          <w:trHeight w:val="664"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72A16310">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02827E8B">
            <w:pPr>
              <w:widowControl/>
              <w:jc w:val="left"/>
              <w:textAlignment w:val="top"/>
              <w:rPr>
                <w:rFonts w:hint="eastAsia" w:asciiTheme="minorEastAsia" w:hAnsiTheme="minorEastAsia" w:eastAsiaTheme="minorEastAsia" w:cstheme="minorEastAsia"/>
                <w:color w:val="000000"/>
                <w:kern w:val="0"/>
                <w:sz w:val="21"/>
                <w:szCs w:val="21"/>
                <w:lang w:bidi="ar"/>
              </w:rPr>
            </w:pPr>
          </w:p>
          <w:p w14:paraId="04385D8A">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高压母联柜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13D40A69">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如盘柜设有观察窗，从观察窗观察母联开关合闸是否到位，绝缘子、套管等柜内设备有无放电，柜内有无孔洞未堵，静听柜内有无异响。测温枪从观察窗检测柜内各接点温度是否过高。柜内有无积尘、蜘蛛网等。</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783EE66A">
            <w:pPr>
              <w:rPr>
                <w:rFonts w:hint="eastAsia" w:asciiTheme="minorEastAsia" w:hAnsiTheme="minorEastAsia" w:eastAsiaTheme="minorEastAsia" w:cstheme="minorEastAsia"/>
                <w:color w:val="000000"/>
                <w:sz w:val="21"/>
                <w:szCs w:val="21"/>
              </w:rPr>
            </w:pPr>
          </w:p>
        </w:tc>
      </w:tr>
      <w:tr w14:paraId="01B61FD5">
        <w:tblPrEx>
          <w:tblCellMar>
            <w:top w:w="15" w:type="dxa"/>
            <w:left w:w="15" w:type="dxa"/>
            <w:bottom w:w="15" w:type="dxa"/>
            <w:right w:w="15" w:type="dxa"/>
          </w:tblCellMar>
        </w:tblPrEx>
        <w:trPr>
          <w:trHeight w:val="90"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663BF586">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5DB7444E">
            <w:pPr>
              <w:widowControl/>
              <w:jc w:val="left"/>
              <w:textAlignment w:val="top"/>
              <w:rPr>
                <w:rFonts w:hint="eastAsia" w:asciiTheme="minorEastAsia" w:hAnsiTheme="minorEastAsia" w:eastAsiaTheme="minorEastAsia" w:cstheme="minorEastAsia"/>
                <w:color w:val="000000"/>
                <w:kern w:val="0"/>
                <w:sz w:val="21"/>
                <w:szCs w:val="21"/>
                <w:lang w:bidi="ar"/>
              </w:rPr>
            </w:pPr>
          </w:p>
          <w:p w14:paraId="3A01A0A8">
            <w:pPr>
              <w:widowControl/>
              <w:jc w:val="left"/>
              <w:textAlignment w:val="top"/>
              <w:rPr>
                <w:rFonts w:hint="eastAsia" w:asciiTheme="minorEastAsia" w:hAnsiTheme="minorEastAsia" w:eastAsiaTheme="minorEastAsia" w:cstheme="minorEastAsia"/>
                <w:color w:val="000000"/>
                <w:kern w:val="0"/>
                <w:sz w:val="21"/>
                <w:szCs w:val="21"/>
                <w:lang w:bidi="ar"/>
              </w:rPr>
            </w:pPr>
          </w:p>
          <w:p w14:paraId="637AB0CD">
            <w:pPr>
              <w:widowControl/>
              <w:jc w:val="left"/>
              <w:textAlignment w:val="top"/>
              <w:rPr>
                <w:rFonts w:hint="eastAsia" w:asciiTheme="minorEastAsia" w:hAnsiTheme="minorEastAsia" w:eastAsiaTheme="minorEastAsia" w:cstheme="minorEastAsia"/>
                <w:color w:val="000000"/>
                <w:kern w:val="0"/>
                <w:sz w:val="21"/>
                <w:szCs w:val="21"/>
                <w:lang w:bidi="ar"/>
              </w:rPr>
            </w:pPr>
          </w:p>
          <w:p w14:paraId="4E99B472">
            <w:pPr>
              <w:widowControl/>
              <w:jc w:val="left"/>
              <w:textAlignment w:val="top"/>
              <w:rPr>
                <w:rFonts w:hint="eastAsia" w:asciiTheme="minorEastAsia" w:hAnsiTheme="minorEastAsia" w:eastAsiaTheme="minorEastAsia" w:cstheme="minorEastAsia"/>
                <w:color w:val="000000"/>
                <w:kern w:val="0"/>
                <w:sz w:val="21"/>
                <w:szCs w:val="21"/>
                <w:lang w:bidi="ar"/>
              </w:rPr>
            </w:pPr>
          </w:p>
          <w:p w14:paraId="4628DD92">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高压出线柜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10D382D2">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如盘柜设有观察窗，从观察窗观察出线开关合闸是否到位，高压出线电缆头、高压避雷器绝缘子、套管等柜内设备有无放电，有无孔洞未堵，静听柜内有无异响。带电、分、合闸等指示灯是否正常。测温枪从观察窗检测柜内各接点温度是否过高。柜内有无积尘、蜘蛛网等。钳形电流表检测电流是否超负荷。</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7E171997">
            <w:pPr>
              <w:rPr>
                <w:rFonts w:hint="eastAsia" w:asciiTheme="minorEastAsia" w:hAnsiTheme="minorEastAsia" w:eastAsiaTheme="minorEastAsia" w:cstheme="minorEastAsia"/>
                <w:color w:val="000000"/>
                <w:sz w:val="21"/>
                <w:szCs w:val="21"/>
              </w:rPr>
            </w:pPr>
          </w:p>
        </w:tc>
      </w:tr>
      <w:tr w14:paraId="3E06846C">
        <w:tblPrEx>
          <w:tblCellMar>
            <w:top w:w="15" w:type="dxa"/>
            <w:left w:w="15" w:type="dxa"/>
            <w:bottom w:w="15" w:type="dxa"/>
            <w:right w:w="15" w:type="dxa"/>
          </w:tblCellMar>
        </w:tblPrEx>
        <w:trPr>
          <w:trHeight w:val="90"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top"/>
          </w:tcPr>
          <w:p w14:paraId="26885964">
            <w:pPr>
              <w:widowControl/>
              <w:jc w:val="left"/>
              <w:textAlignment w:val="top"/>
              <w:rPr>
                <w:rFonts w:hint="eastAsia" w:asciiTheme="minorEastAsia" w:hAnsiTheme="minorEastAsia" w:eastAsiaTheme="minorEastAsia" w:cstheme="minorEastAsia"/>
                <w:color w:val="000000"/>
                <w:kern w:val="0"/>
                <w:sz w:val="21"/>
                <w:szCs w:val="21"/>
                <w:lang w:bidi="ar"/>
              </w:rPr>
            </w:pPr>
          </w:p>
          <w:p w14:paraId="1DD73023">
            <w:pPr>
              <w:widowControl/>
              <w:jc w:val="left"/>
              <w:textAlignment w:val="top"/>
              <w:rPr>
                <w:rFonts w:hint="eastAsia" w:asciiTheme="minorEastAsia" w:hAnsiTheme="minorEastAsia" w:eastAsiaTheme="minorEastAsia" w:cstheme="minorEastAsia"/>
                <w:color w:val="000000"/>
                <w:kern w:val="0"/>
                <w:sz w:val="21"/>
                <w:szCs w:val="21"/>
                <w:lang w:bidi="ar"/>
              </w:rPr>
            </w:pPr>
          </w:p>
          <w:p w14:paraId="5CD211D1">
            <w:pPr>
              <w:widowControl/>
              <w:jc w:val="left"/>
              <w:textAlignment w:val="top"/>
              <w:rPr>
                <w:rFonts w:hint="eastAsia" w:asciiTheme="minorEastAsia" w:hAnsiTheme="minorEastAsia" w:eastAsiaTheme="minorEastAsia" w:cstheme="minorEastAsia"/>
                <w:color w:val="000000"/>
                <w:kern w:val="0"/>
                <w:sz w:val="21"/>
                <w:szCs w:val="21"/>
                <w:lang w:bidi="ar"/>
              </w:rPr>
            </w:pPr>
          </w:p>
          <w:p w14:paraId="0AF4A5F6">
            <w:pPr>
              <w:widowControl/>
              <w:jc w:val="left"/>
              <w:textAlignment w:val="top"/>
              <w:rPr>
                <w:rFonts w:hint="eastAsia" w:asciiTheme="minorEastAsia" w:hAnsiTheme="minorEastAsia" w:eastAsiaTheme="minorEastAsia" w:cstheme="minorEastAsia"/>
                <w:b/>
                <w:bCs/>
                <w:color w:val="000000"/>
                <w:kern w:val="0"/>
                <w:sz w:val="21"/>
                <w:szCs w:val="21"/>
                <w:lang w:bidi="ar"/>
              </w:rPr>
            </w:pPr>
            <w:r>
              <w:rPr>
                <w:rFonts w:hint="eastAsia" w:asciiTheme="minorEastAsia" w:hAnsiTheme="minorEastAsia" w:eastAsiaTheme="minorEastAsia" w:cstheme="minorEastAsia"/>
                <w:b/>
                <w:bCs/>
                <w:color w:val="000000"/>
                <w:kern w:val="0"/>
                <w:sz w:val="21"/>
                <w:szCs w:val="21"/>
                <w:lang w:bidi="ar"/>
              </w:rPr>
              <w:t>户内</w:t>
            </w:r>
          </w:p>
          <w:p w14:paraId="0F621104">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低压设备</w:t>
            </w: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2F45C47C">
            <w:pPr>
              <w:widowControl/>
              <w:jc w:val="left"/>
              <w:textAlignment w:val="top"/>
              <w:rPr>
                <w:rFonts w:hint="eastAsia" w:asciiTheme="minorEastAsia" w:hAnsiTheme="minorEastAsia" w:eastAsiaTheme="minorEastAsia" w:cstheme="minorEastAsia"/>
                <w:color w:val="000000"/>
                <w:kern w:val="0"/>
                <w:sz w:val="21"/>
                <w:szCs w:val="21"/>
                <w:lang w:bidi="ar"/>
              </w:rPr>
            </w:pPr>
          </w:p>
          <w:p w14:paraId="67C1ED97">
            <w:pPr>
              <w:widowControl/>
              <w:jc w:val="left"/>
              <w:textAlignment w:val="top"/>
              <w:rPr>
                <w:rFonts w:hint="eastAsia" w:asciiTheme="minorEastAsia" w:hAnsiTheme="minorEastAsia" w:eastAsiaTheme="minorEastAsia" w:cstheme="minorEastAsia"/>
                <w:color w:val="000000"/>
                <w:kern w:val="0"/>
                <w:sz w:val="21"/>
                <w:szCs w:val="21"/>
                <w:lang w:bidi="ar"/>
              </w:rPr>
            </w:pPr>
          </w:p>
          <w:p w14:paraId="4B63C2CB">
            <w:pPr>
              <w:widowControl/>
              <w:jc w:val="left"/>
              <w:textAlignment w:val="top"/>
              <w:rPr>
                <w:rFonts w:hint="eastAsia" w:asciiTheme="minorEastAsia" w:hAnsiTheme="minorEastAsia" w:eastAsiaTheme="minorEastAsia" w:cstheme="minorEastAsia"/>
                <w:color w:val="000000"/>
                <w:kern w:val="0"/>
                <w:sz w:val="21"/>
                <w:szCs w:val="21"/>
                <w:lang w:bidi="ar"/>
              </w:rPr>
            </w:pPr>
          </w:p>
          <w:p w14:paraId="3CAD02A9">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低压进线柜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536E486C">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进线刀开关接触是否良好，分、合闸等指示灯是否正常。低压断路器运行是否有异响。一、二次线是否有发热、烧焦现象。测温枪从观察窗检测柜内各接点温度是否过高。柜内有无积尘、蜘蛛网等。有无孔洞未堵。柜门、锁有无损，柜门开、闭是否正常。</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041FE688">
            <w:pPr>
              <w:rPr>
                <w:rFonts w:hint="eastAsia" w:asciiTheme="minorEastAsia" w:hAnsiTheme="minorEastAsia" w:eastAsiaTheme="minorEastAsia" w:cstheme="minorEastAsia"/>
                <w:color w:val="000000"/>
                <w:sz w:val="21"/>
                <w:szCs w:val="21"/>
              </w:rPr>
            </w:pPr>
          </w:p>
        </w:tc>
      </w:tr>
      <w:tr w14:paraId="29B4A4D4">
        <w:tblPrEx>
          <w:tblCellMar>
            <w:top w:w="15" w:type="dxa"/>
            <w:left w:w="15" w:type="dxa"/>
            <w:bottom w:w="15" w:type="dxa"/>
            <w:right w:w="15" w:type="dxa"/>
          </w:tblCellMar>
        </w:tblPrEx>
        <w:trPr>
          <w:trHeight w:val="455"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5926DF29">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782020A3">
            <w:pPr>
              <w:widowControl/>
              <w:jc w:val="left"/>
              <w:textAlignment w:val="top"/>
              <w:rPr>
                <w:rFonts w:hint="eastAsia" w:asciiTheme="minorEastAsia" w:hAnsiTheme="minorEastAsia" w:eastAsiaTheme="minorEastAsia" w:cstheme="minorEastAsia"/>
                <w:color w:val="000000"/>
                <w:kern w:val="0"/>
                <w:sz w:val="21"/>
                <w:szCs w:val="21"/>
                <w:lang w:bidi="ar"/>
              </w:rPr>
            </w:pPr>
          </w:p>
          <w:p w14:paraId="59800C4D">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低压计量柜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4A8CFCD8">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电度表铅封是否完好，一、二次线是否有发热、烧焦现象，有无积尘、蜘蛛网等。有无孔洞未堵。</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058601EE">
            <w:pPr>
              <w:rPr>
                <w:rFonts w:hint="eastAsia" w:asciiTheme="minorEastAsia" w:hAnsiTheme="minorEastAsia" w:eastAsiaTheme="minorEastAsia" w:cstheme="minorEastAsia"/>
                <w:color w:val="000000"/>
                <w:sz w:val="21"/>
                <w:szCs w:val="21"/>
              </w:rPr>
            </w:pPr>
          </w:p>
        </w:tc>
      </w:tr>
      <w:tr w14:paraId="26DDCD95">
        <w:tblPrEx>
          <w:tblCellMar>
            <w:top w:w="15" w:type="dxa"/>
            <w:left w:w="15" w:type="dxa"/>
            <w:bottom w:w="15" w:type="dxa"/>
            <w:right w:w="15" w:type="dxa"/>
          </w:tblCellMar>
        </w:tblPrEx>
        <w:trPr>
          <w:trHeight w:val="1292"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38BF1044">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22BA5ED1">
            <w:pPr>
              <w:widowControl/>
              <w:jc w:val="left"/>
              <w:textAlignment w:val="top"/>
              <w:rPr>
                <w:rFonts w:hint="eastAsia" w:asciiTheme="minorEastAsia" w:hAnsiTheme="minorEastAsia" w:eastAsiaTheme="minorEastAsia" w:cstheme="minorEastAsia"/>
                <w:color w:val="000000"/>
                <w:kern w:val="0"/>
                <w:sz w:val="21"/>
                <w:szCs w:val="21"/>
                <w:lang w:bidi="ar"/>
              </w:rPr>
            </w:pPr>
          </w:p>
          <w:p w14:paraId="533C2FFF">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低压母联柜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24811F23">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母联开关接触是否良好，分、合闸等指示灯是否正常。一、二次线是否有发热、烧焦现象。测温枪检测各接点温度是否过高。有无积尘、蜘蛛网等。有无孔洞未堵。柜门、锁有无损，柜门开、关是否正常。</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475A10C2">
            <w:pPr>
              <w:rPr>
                <w:rFonts w:hint="eastAsia" w:asciiTheme="minorEastAsia" w:hAnsiTheme="minorEastAsia" w:eastAsiaTheme="minorEastAsia" w:cstheme="minorEastAsia"/>
                <w:color w:val="000000"/>
                <w:sz w:val="21"/>
                <w:szCs w:val="21"/>
              </w:rPr>
            </w:pPr>
          </w:p>
        </w:tc>
      </w:tr>
      <w:tr w14:paraId="0199FEB6">
        <w:tblPrEx>
          <w:tblCellMar>
            <w:top w:w="15" w:type="dxa"/>
            <w:left w:w="15" w:type="dxa"/>
            <w:bottom w:w="15" w:type="dxa"/>
            <w:right w:w="15" w:type="dxa"/>
          </w:tblCellMar>
        </w:tblPrEx>
        <w:trPr>
          <w:trHeight w:val="90"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49719511">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7C0E0A61">
            <w:pPr>
              <w:widowControl/>
              <w:jc w:val="left"/>
              <w:textAlignment w:val="top"/>
              <w:rPr>
                <w:rFonts w:hint="eastAsia" w:asciiTheme="minorEastAsia" w:hAnsiTheme="minorEastAsia" w:eastAsiaTheme="minorEastAsia" w:cstheme="minorEastAsia"/>
                <w:color w:val="000000"/>
                <w:kern w:val="0"/>
                <w:sz w:val="21"/>
                <w:szCs w:val="21"/>
                <w:lang w:bidi="ar"/>
              </w:rPr>
            </w:pPr>
          </w:p>
          <w:p w14:paraId="2EA84ABA">
            <w:pPr>
              <w:widowControl/>
              <w:jc w:val="left"/>
              <w:textAlignment w:val="top"/>
              <w:rPr>
                <w:rFonts w:hint="eastAsia" w:asciiTheme="minorEastAsia" w:hAnsiTheme="minorEastAsia" w:eastAsiaTheme="minorEastAsia" w:cstheme="minorEastAsia"/>
                <w:color w:val="000000"/>
                <w:kern w:val="0"/>
                <w:sz w:val="21"/>
                <w:szCs w:val="21"/>
                <w:lang w:bidi="ar"/>
              </w:rPr>
            </w:pPr>
          </w:p>
          <w:p w14:paraId="6995CE5F">
            <w:pPr>
              <w:widowControl/>
              <w:jc w:val="left"/>
              <w:textAlignment w:val="top"/>
              <w:rPr>
                <w:rFonts w:hint="eastAsia" w:asciiTheme="minorEastAsia" w:hAnsiTheme="minorEastAsia" w:eastAsiaTheme="minorEastAsia" w:cstheme="minorEastAsia"/>
                <w:color w:val="000000"/>
                <w:kern w:val="0"/>
                <w:sz w:val="21"/>
                <w:szCs w:val="21"/>
                <w:lang w:bidi="ar"/>
              </w:rPr>
            </w:pPr>
          </w:p>
          <w:p w14:paraId="2E2EFAA3">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低压出线柜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741C0EED">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出线刀开关接触是否良好，分、合闸等指示灯是否正常。出线低压断路器、空气开关运行是否有异响。一、二次线是否有发热、烧焦现象。测温枪检测各接点温度是否过高。有无积尘、蜘蛛网等。有无孔洞未堵。柜门、锁有无损，柜门开、关是否正常。钳形电流表检测电流是否超负荷，电压是否正常。</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0A45FF65">
            <w:pPr>
              <w:rPr>
                <w:rFonts w:hint="eastAsia" w:asciiTheme="minorEastAsia" w:hAnsiTheme="minorEastAsia" w:eastAsiaTheme="minorEastAsia" w:cstheme="minorEastAsia"/>
                <w:color w:val="000000"/>
                <w:sz w:val="21"/>
                <w:szCs w:val="21"/>
              </w:rPr>
            </w:pPr>
          </w:p>
        </w:tc>
      </w:tr>
      <w:tr w14:paraId="37DAE85B">
        <w:tblPrEx>
          <w:tblCellMar>
            <w:top w:w="15" w:type="dxa"/>
            <w:left w:w="15" w:type="dxa"/>
            <w:bottom w:w="15" w:type="dxa"/>
            <w:right w:w="15" w:type="dxa"/>
          </w:tblCellMar>
        </w:tblPrEx>
        <w:trPr>
          <w:trHeight w:val="951"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70F6692E">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5C107DF6">
            <w:pPr>
              <w:widowControl/>
              <w:jc w:val="left"/>
              <w:textAlignment w:val="top"/>
              <w:rPr>
                <w:rFonts w:hint="eastAsia" w:asciiTheme="minorEastAsia" w:hAnsiTheme="minorEastAsia" w:eastAsiaTheme="minorEastAsia" w:cstheme="minorEastAsia"/>
                <w:color w:val="000000"/>
                <w:kern w:val="0"/>
                <w:sz w:val="21"/>
                <w:szCs w:val="21"/>
                <w:lang w:bidi="ar"/>
              </w:rPr>
            </w:pPr>
          </w:p>
          <w:p w14:paraId="155E2D9D">
            <w:pPr>
              <w:widowControl/>
              <w:jc w:val="left"/>
              <w:textAlignment w:val="top"/>
              <w:rPr>
                <w:rFonts w:hint="eastAsia" w:asciiTheme="minorEastAsia" w:hAnsiTheme="minorEastAsia" w:eastAsiaTheme="minorEastAsia" w:cstheme="minorEastAsia"/>
                <w:color w:val="000000"/>
                <w:kern w:val="0"/>
                <w:sz w:val="21"/>
                <w:szCs w:val="21"/>
                <w:lang w:bidi="ar"/>
              </w:rPr>
            </w:pPr>
          </w:p>
          <w:p w14:paraId="76947B5D">
            <w:pPr>
              <w:widowControl/>
              <w:jc w:val="both"/>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电容柜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4AE6CAB3">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是否投入无功补偿，是否满足无功补偿。刀开关接触是否完好，接触器有无故障。电容外观检查有无变形。一、二次线是否有发热、烧焦现象。</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1A6D3F58">
            <w:pPr>
              <w:rPr>
                <w:rFonts w:hint="eastAsia" w:asciiTheme="minorEastAsia" w:hAnsiTheme="minorEastAsia" w:eastAsiaTheme="minorEastAsia" w:cstheme="minorEastAsia"/>
                <w:color w:val="000000"/>
                <w:sz w:val="21"/>
                <w:szCs w:val="21"/>
              </w:rPr>
            </w:pPr>
          </w:p>
        </w:tc>
      </w:tr>
      <w:tr w14:paraId="44EC4216">
        <w:tblPrEx>
          <w:tblCellMar>
            <w:top w:w="15" w:type="dxa"/>
            <w:left w:w="15" w:type="dxa"/>
            <w:bottom w:w="15" w:type="dxa"/>
            <w:right w:w="15" w:type="dxa"/>
          </w:tblCellMar>
        </w:tblPrEx>
        <w:trPr>
          <w:trHeight w:val="1285"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6B1B8F33">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6784B423">
            <w:pPr>
              <w:widowControl/>
              <w:jc w:val="left"/>
              <w:textAlignment w:val="top"/>
              <w:rPr>
                <w:rFonts w:hint="eastAsia" w:asciiTheme="minorEastAsia" w:hAnsiTheme="minorEastAsia" w:eastAsiaTheme="minorEastAsia" w:cstheme="minorEastAsia"/>
                <w:color w:val="000000"/>
                <w:kern w:val="0"/>
                <w:sz w:val="21"/>
                <w:szCs w:val="21"/>
                <w:lang w:bidi="ar"/>
              </w:rPr>
            </w:pPr>
          </w:p>
          <w:p w14:paraId="17C3C44D">
            <w:pPr>
              <w:widowControl/>
              <w:jc w:val="left"/>
              <w:textAlignment w:val="top"/>
              <w:rPr>
                <w:rFonts w:hint="eastAsia" w:asciiTheme="minorEastAsia" w:hAnsiTheme="minorEastAsia" w:eastAsiaTheme="minorEastAsia" w:cstheme="minorEastAsia"/>
                <w:color w:val="000000"/>
                <w:kern w:val="0"/>
                <w:sz w:val="21"/>
                <w:szCs w:val="21"/>
                <w:lang w:bidi="ar"/>
              </w:rPr>
            </w:pPr>
          </w:p>
          <w:p w14:paraId="449EEAC9">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低压配电箱</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3EF22ECF">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总进线开关运行是否有异响，一、二次线是否有发热、烧焦现象。电度表铅封是否完好。测温枪检测各接点温度是否过高。有无积尘、蜘蛛网等。有无孔洞未堵。柜门、锁有无损，柜门开、闭是否正常。</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1758E550">
            <w:pPr>
              <w:rPr>
                <w:rFonts w:hint="eastAsia" w:asciiTheme="minorEastAsia" w:hAnsiTheme="minorEastAsia" w:eastAsiaTheme="minorEastAsia" w:cstheme="minorEastAsia"/>
                <w:color w:val="000000"/>
                <w:sz w:val="21"/>
                <w:szCs w:val="21"/>
              </w:rPr>
            </w:pPr>
          </w:p>
        </w:tc>
      </w:tr>
      <w:tr w14:paraId="7923C8D4">
        <w:tblPrEx>
          <w:tblCellMar>
            <w:top w:w="15" w:type="dxa"/>
            <w:left w:w="15" w:type="dxa"/>
            <w:bottom w:w="15" w:type="dxa"/>
            <w:right w:w="15" w:type="dxa"/>
          </w:tblCellMar>
        </w:tblPrEx>
        <w:trPr>
          <w:trHeight w:val="509"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7769E599">
            <w:pPr>
              <w:widowControl/>
              <w:jc w:val="left"/>
              <w:textAlignment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kern w:val="0"/>
                <w:sz w:val="21"/>
                <w:szCs w:val="21"/>
                <w:lang w:bidi="ar"/>
              </w:rPr>
              <w:t>停电定检部分</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24C28174">
            <w:pPr>
              <w:widowControl/>
              <w:jc w:val="left"/>
              <w:textAlignment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kern w:val="0"/>
                <w:sz w:val="21"/>
                <w:szCs w:val="21"/>
                <w:lang w:bidi="ar"/>
              </w:rPr>
              <w:t>主要检查（部位）</w:t>
            </w:r>
          </w:p>
        </w:tc>
        <w:tc>
          <w:tcPr>
            <w:tcW w:w="4957" w:type="dxa"/>
            <w:tcBorders>
              <w:top w:val="single" w:color="000000" w:sz="4" w:space="0"/>
              <w:left w:val="single" w:color="000000" w:sz="4" w:space="0"/>
              <w:bottom w:val="single" w:color="000000" w:sz="4" w:space="0"/>
              <w:right w:val="single" w:color="000000" w:sz="4" w:space="0"/>
            </w:tcBorders>
            <w:noWrap w:val="0"/>
            <w:vAlign w:val="center"/>
          </w:tcPr>
          <w:p w14:paraId="345BCFD5">
            <w:pPr>
              <w:widowControl/>
              <w:jc w:val="center"/>
              <w:textAlignment w:val="cente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kern w:val="0"/>
                <w:sz w:val="21"/>
                <w:szCs w:val="21"/>
                <w:lang w:bidi="ar"/>
              </w:rPr>
              <w:t>主要检查内容</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2EC58BE7">
            <w:pPr>
              <w:widowControl/>
              <w:ind w:firstLine="420" w:firstLineChars="200"/>
              <w:jc w:val="left"/>
              <w:textAlignment w:val="cente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kern w:val="0"/>
                <w:sz w:val="21"/>
                <w:szCs w:val="21"/>
                <w:lang w:bidi="ar"/>
              </w:rPr>
              <w:t>备注</w:t>
            </w:r>
          </w:p>
        </w:tc>
      </w:tr>
      <w:tr w14:paraId="520C497C">
        <w:tblPrEx>
          <w:tblCellMar>
            <w:top w:w="15" w:type="dxa"/>
            <w:left w:w="15" w:type="dxa"/>
            <w:bottom w:w="15" w:type="dxa"/>
            <w:right w:w="15" w:type="dxa"/>
          </w:tblCellMar>
        </w:tblPrEx>
        <w:trPr>
          <w:trHeight w:val="705"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top"/>
          </w:tcPr>
          <w:p w14:paraId="724A82C4">
            <w:pPr>
              <w:widowControl/>
              <w:jc w:val="left"/>
              <w:textAlignment w:val="top"/>
              <w:rPr>
                <w:rFonts w:hint="eastAsia" w:asciiTheme="minorEastAsia" w:hAnsiTheme="minorEastAsia" w:eastAsiaTheme="minorEastAsia" w:cstheme="minorEastAsia"/>
                <w:b/>
                <w:bCs/>
                <w:color w:val="000000"/>
                <w:kern w:val="0"/>
                <w:sz w:val="21"/>
                <w:szCs w:val="21"/>
                <w:lang w:bidi="ar"/>
              </w:rPr>
            </w:pPr>
          </w:p>
          <w:p w14:paraId="46C31E03">
            <w:pPr>
              <w:widowControl/>
              <w:jc w:val="left"/>
              <w:textAlignment w:val="top"/>
              <w:rPr>
                <w:rFonts w:hint="eastAsia" w:asciiTheme="minorEastAsia" w:hAnsiTheme="minorEastAsia" w:eastAsiaTheme="minorEastAsia" w:cstheme="minorEastAsia"/>
                <w:b/>
                <w:bCs/>
                <w:color w:val="000000"/>
                <w:kern w:val="0"/>
                <w:sz w:val="21"/>
                <w:szCs w:val="21"/>
                <w:lang w:bidi="ar"/>
              </w:rPr>
            </w:pPr>
            <w:r>
              <w:rPr>
                <w:rFonts w:hint="eastAsia" w:asciiTheme="minorEastAsia" w:hAnsiTheme="minorEastAsia" w:eastAsiaTheme="minorEastAsia" w:cstheme="minorEastAsia"/>
                <w:b/>
                <w:bCs/>
                <w:color w:val="000000"/>
                <w:kern w:val="0"/>
                <w:sz w:val="21"/>
                <w:szCs w:val="21"/>
                <w:lang w:bidi="ar"/>
              </w:rPr>
              <w:t>油浸式</w:t>
            </w:r>
          </w:p>
          <w:p w14:paraId="4A22FC55">
            <w:pPr>
              <w:widowControl/>
              <w:jc w:val="left"/>
              <w:textAlignment w:val="top"/>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kern w:val="0"/>
                <w:sz w:val="21"/>
                <w:szCs w:val="21"/>
                <w:lang w:bidi="ar"/>
              </w:rPr>
              <w:t>变压器</w:t>
            </w: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441B799B">
            <w:pPr>
              <w:widowControl/>
              <w:jc w:val="left"/>
              <w:textAlignment w:val="top"/>
              <w:rPr>
                <w:rFonts w:hint="eastAsia" w:asciiTheme="minorEastAsia" w:hAnsiTheme="minorEastAsia" w:eastAsiaTheme="minorEastAsia" w:cstheme="minorEastAsia"/>
                <w:color w:val="000000"/>
                <w:kern w:val="0"/>
                <w:sz w:val="21"/>
                <w:szCs w:val="21"/>
                <w:lang w:bidi="ar"/>
              </w:rPr>
            </w:pPr>
          </w:p>
          <w:p w14:paraId="454A749C">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外观检查</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7239EF8E">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清扫积尘、清除靠近变压器的树枝、藤蔓、杂草等异物靠近、高低压套管有无破裂、渗油、外壳接地是否良好、免费护理一次变压器胶珠、套管胶垫</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759E2E26">
            <w:pPr>
              <w:rPr>
                <w:rFonts w:hint="eastAsia" w:asciiTheme="minorEastAsia" w:hAnsiTheme="minorEastAsia" w:eastAsiaTheme="minorEastAsia" w:cstheme="minorEastAsia"/>
                <w:color w:val="000000"/>
                <w:sz w:val="21"/>
                <w:szCs w:val="21"/>
              </w:rPr>
            </w:pPr>
          </w:p>
        </w:tc>
      </w:tr>
      <w:tr w14:paraId="20378731">
        <w:tblPrEx>
          <w:tblCellMar>
            <w:top w:w="15" w:type="dxa"/>
            <w:left w:w="15" w:type="dxa"/>
            <w:bottom w:w="15" w:type="dxa"/>
            <w:right w:w="15" w:type="dxa"/>
          </w:tblCellMar>
        </w:tblPrEx>
        <w:trPr>
          <w:trHeight w:val="359"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top"/>
          </w:tcPr>
          <w:p w14:paraId="3814B5D7">
            <w:pPr>
              <w:rPr>
                <w:rFonts w:hint="eastAsia" w:asciiTheme="minorEastAsia" w:hAnsiTheme="minorEastAsia" w:eastAsiaTheme="minorEastAsia" w:cstheme="minorEastAsia"/>
                <w:b/>
                <w:bCs/>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0A12E9BA">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高、低压接线柱</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23E46B7A">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高、低压接线、导杆本体有无松动</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01FF3119">
            <w:pPr>
              <w:rPr>
                <w:rFonts w:hint="eastAsia" w:asciiTheme="minorEastAsia" w:hAnsiTheme="minorEastAsia" w:eastAsiaTheme="minorEastAsia" w:cstheme="minorEastAsia"/>
                <w:color w:val="000000"/>
                <w:sz w:val="21"/>
                <w:szCs w:val="21"/>
              </w:rPr>
            </w:pPr>
          </w:p>
        </w:tc>
      </w:tr>
      <w:tr w14:paraId="6121DEF0">
        <w:tblPrEx>
          <w:tblCellMar>
            <w:top w:w="15" w:type="dxa"/>
            <w:left w:w="15" w:type="dxa"/>
            <w:bottom w:w="15" w:type="dxa"/>
            <w:right w:w="15" w:type="dxa"/>
          </w:tblCellMar>
        </w:tblPrEx>
        <w:trPr>
          <w:trHeight w:val="355"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top"/>
          </w:tcPr>
          <w:p w14:paraId="7E67CD04">
            <w:pPr>
              <w:rPr>
                <w:rFonts w:hint="eastAsia" w:asciiTheme="minorEastAsia" w:hAnsiTheme="minorEastAsia" w:eastAsiaTheme="minorEastAsia" w:cstheme="minorEastAsia"/>
                <w:b/>
                <w:bCs/>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6B492770">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呼吸器</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139DEA6D">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免费护理一次呼吸器</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5C5B4D9D">
            <w:pPr>
              <w:rPr>
                <w:rFonts w:hint="eastAsia" w:asciiTheme="minorEastAsia" w:hAnsiTheme="minorEastAsia" w:eastAsiaTheme="minorEastAsia" w:cstheme="minorEastAsia"/>
                <w:color w:val="000000"/>
                <w:sz w:val="21"/>
                <w:szCs w:val="21"/>
              </w:rPr>
            </w:pPr>
          </w:p>
        </w:tc>
      </w:tr>
      <w:tr w14:paraId="40A72580">
        <w:tblPrEx>
          <w:tblCellMar>
            <w:top w:w="15" w:type="dxa"/>
            <w:left w:w="15" w:type="dxa"/>
            <w:bottom w:w="15" w:type="dxa"/>
            <w:right w:w="15" w:type="dxa"/>
          </w:tblCellMar>
        </w:tblPrEx>
        <w:trPr>
          <w:trHeight w:val="344"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top"/>
          </w:tcPr>
          <w:p w14:paraId="6C9D464F">
            <w:pPr>
              <w:rPr>
                <w:rFonts w:hint="eastAsia" w:asciiTheme="minorEastAsia" w:hAnsiTheme="minorEastAsia" w:eastAsiaTheme="minorEastAsia" w:cstheme="minorEastAsia"/>
                <w:b/>
                <w:bCs/>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33D1F6A3">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胶珠、密封胶垫</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0167450D">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免费护理一次胶珠、密封胶垫</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267D3F37">
            <w:pPr>
              <w:rPr>
                <w:rFonts w:hint="eastAsia" w:asciiTheme="minorEastAsia" w:hAnsiTheme="minorEastAsia" w:eastAsiaTheme="minorEastAsia" w:cstheme="minorEastAsia"/>
                <w:color w:val="000000"/>
                <w:sz w:val="21"/>
                <w:szCs w:val="21"/>
              </w:rPr>
            </w:pPr>
          </w:p>
        </w:tc>
      </w:tr>
      <w:tr w14:paraId="79425B06">
        <w:tblPrEx>
          <w:tblCellMar>
            <w:top w:w="15" w:type="dxa"/>
            <w:left w:w="15" w:type="dxa"/>
            <w:bottom w:w="15" w:type="dxa"/>
            <w:right w:w="15" w:type="dxa"/>
          </w:tblCellMar>
        </w:tblPrEx>
        <w:trPr>
          <w:trHeight w:val="285"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top"/>
          </w:tcPr>
          <w:p w14:paraId="2B8D36BD">
            <w:pPr>
              <w:rPr>
                <w:rFonts w:hint="eastAsia" w:asciiTheme="minorEastAsia" w:hAnsiTheme="minorEastAsia" w:eastAsiaTheme="minorEastAsia" w:cstheme="minorEastAsia"/>
                <w:b/>
                <w:bCs/>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3D3091DE">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调压器</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54FB7782">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档位调节是否正常</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098073A0">
            <w:pPr>
              <w:rPr>
                <w:rFonts w:hint="eastAsia" w:asciiTheme="minorEastAsia" w:hAnsiTheme="minorEastAsia" w:eastAsiaTheme="minorEastAsia" w:cstheme="minorEastAsia"/>
                <w:color w:val="000000"/>
                <w:sz w:val="21"/>
                <w:szCs w:val="21"/>
              </w:rPr>
            </w:pPr>
          </w:p>
        </w:tc>
      </w:tr>
      <w:tr w14:paraId="7B813383">
        <w:tblPrEx>
          <w:tblCellMar>
            <w:top w:w="15" w:type="dxa"/>
            <w:left w:w="15" w:type="dxa"/>
            <w:bottom w:w="15" w:type="dxa"/>
            <w:right w:w="15" w:type="dxa"/>
          </w:tblCellMar>
        </w:tblPrEx>
        <w:trPr>
          <w:trHeight w:val="285"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top"/>
          </w:tcPr>
          <w:p w14:paraId="1BF0C0F5">
            <w:pPr>
              <w:rPr>
                <w:rFonts w:hint="eastAsia" w:asciiTheme="minorEastAsia" w:hAnsiTheme="minorEastAsia" w:eastAsiaTheme="minorEastAsia" w:cstheme="minorEastAsia"/>
                <w:b/>
                <w:bCs/>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50D09AA5">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油标</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1B2B1EE6">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油位是否正常</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336677B0">
            <w:pPr>
              <w:rPr>
                <w:rFonts w:hint="eastAsia" w:asciiTheme="minorEastAsia" w:hAnsiTheme="minorEastAsia" w:eastAsiaTheme="minorEastAsia" w:cstheme="minorEastAsia"/>
                <w:color w:val="000000"/>
                <w:sz w:val="21"/>
                <w:szCs w:val="21"/>
              </w:rPr>
            </w:pPr>
          </w:p>
        </w:tc>
      </w:tr>
      <w:tr w14:paraId="33E23B8F">
        <w:tblPrEx>
          <w:tblCellMar>
            <w:top w:w="15" w:type="dxa"/>
            <w:left w:w="15" w:type="dxa"/>
            <w:bottom w:w="15" w:type="dxa"/>
            <w:right w:w="15" w:type="dxa"/>
          </w:tblCellMar>
        </w:tblPrEx>
        <w:trPr>
          <w:trHeight w:val="415"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top"/>
          </w:tcPr>
          <w:p w14:paraId="671E6306">
            <w:pPr>
              <w:rPr>
                <w:rFonts w:hint="eastAsia" w:asciiTheme="minorEastAsia" w:hAnsiTheme="minorEastAsia" w:eastAsiaTheme="minorEastAsia" w:cstheme="minorEastAsia"/>
                <w:b/>
                <w:bCs/>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170003BA">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令克</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21E4AD2F">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免费护理一次高压跌落式令克保险丝</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3CA6B8D6">
            <w:pPr>
              <w:rPr>
                <w:rFonts w:hint="eastAsia" w:asciiTheme="minorEastAsia" w:hAnsiTheme="minorEastAsia" w:eastAsiaTheme="minorEastAsia" w:cstheme="minorEastAsia"/>
                <w:color w:val="000000"/>
                <w:sz w:val="21"/>
                <w:szCs w:val="21"/>
              </w:rPr>
            </w:pPr>
          </w:p>
        </w:tc>
      </w:tr>
      <w:tr w14:paraId="588C905A">
        <w:tblPrEx>
          <w:tblCellMar>
            <w:top w:w="15" w:type="dxa"/>
            <w:left w:w="15" w:type="dxa"/>
            <w:bottom w:w="15" w:type="dxa"/>
            <w:right w:w="15" w:type="dxa"/>
          </w:tblCellMar>
        </w:tblPrEx>
        <w:trPr>
          <w:trHeight w:val="977" w:hRule="atLeast"/>
          <w:jc w:val="center"/>
        </w:trPr>
        <w:tc>
          <w:tcPr>
            <w:tcW w:w="1009" w:type="dxa"/>
            <w:tcBorders>
              <w:top w:val="single" w:color="auto" w:sz="4" w:space="0"/>
              <w:left w:val="single" w:color="000000" w:sz="4" w:space="0"/>
              <w:bottom w:val="single" w:color="auto" w:sz="4" w:space="0"/>
              <w:right w:val="single" w:color="000000" w:sz="4" w:space="0"/>
            </w:tcBorders>
            <w:noWrap w:val="0"/>
            <w:vAlign w:val="top"/>
          </w:tcPr>
          <w:p w14:paraId="2FD03681">
            <w:pPr>
              <w:rPr>
                <w:rFonts w:hint="eastAsia" w:asciiTheme="minorEastAsia" w:hAnsiTheme="minorEastAsia" w:eastAsiaTheme="minorEastAsia" w:cstheme="minorEastAsia"/>
                <w:b/>
                <w:bCs/>
                <w:color w:val="000000"/>
                <w:sz w:val="21"/>
                <w:szCs w:val="21"/>
              </w:rPr>
            </w:pPr>
          </w:p>
          <w:p w14:paraId="26AAF107">
            <w:pP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sz w:val="21"/>
                <w:szCs w:val="21"/>
              </w:rPr>
              <w:t>干式</w:t>
            </w:r>
          </w:p>
          <w:p w14:paraId="1914342D">
            <w:pP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sz w:val="21"/>
                <w:szCs w:val="21"/>
              </w:rPr>
              <w:t>变压器</w:t>
            </w:r>
          </w:p>
        </w:tc>
        <w:tc>
          <w:tcPr>
            <w:tcW w:w="2160" w:type="dxa"/>
            <w:tcBorders>
              <w:top w:val="single" w:color="auto" w:sz="4" w:space="0"/>
              <w:left w:val="single" w:color="000000" w:sz="4" w:space="0"/>
              <w:bottom w:val="single" w:color="auto" w:sz="4" w:space="0"/>
              <w:right w:val="single" w:color="000000" w:sz="4" w:space="0"/>
            </w:tcBorders>
            <w:noWrap w:val="0"/>
            <w:vAlign w:val="top"/>
          </w:tcPr>
          <w:p w14:paraId="1A24EFCE">
            <w:pPr>
              <w:widowControl/>
              <w:jc w:val="left"/>
              <w:textAlignment w:val="top"/>
              <w:rPr>
                <w:rFonts w:hint="eastAsia" w:asciiTheme="minorEastAsia" w:hAnsiTheme="minorEastAsia" w:eastAsiaTheme="minorEastAsia" w:cstheme="minorEastAsia"/>
                <w:color w:val="000000"/>
                <w:kern w:val="0"/>
                <w:sz w:val="21"/>
                <w:szCs w:val="21"/>
                <w:lang w:bidi="ar"/>
              </w:rPr>
            </w:pPr>
          </w:p>
          <w:p w14:paraId="3EFE56ED">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外观检查</w:t>
            </w:r>
          </w:p>
        </w:tc>
        <w:tc>
          <w:tcPr>
            <w:tcW w:w="4957" w:type="dxa"/>
            <w:tcBorders>
              <w:top w:val="single" w:color="auto" w:sz="4" w:space="0"/>
              <w:left w:val="single" w:color="000000" w:sz="4" w:space="0"/>
              <w:bottom w:val="single" w:color="auto" w:sz="4" w:space="0"/>
              <w:right w:val="single" w:color="000000" w:sz="4" w:space="0"/>
            </w:tcBorders>
            <w:noWrap w:val="0"/>
            <w:vAlign w:val="top"/>
          </w:tcPr>
          <w:p w14:paraId="7BFC8FD5">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清扫积尘、清除靠近变压器的树枝、藤蔓、杂草等异物靠近、高低压套管有无破裂、渗油、外壳接地是否良好、免费护理一次变压器胶珠、套管胶垫</w:t>
            </w:r>
          </w:p>
        </w:tc>
        <w:tc>
          <w:tcPr>
            <w:tcW w:w="1390" w:type="dxa"/>
            <w:tcBorders>
              <w:top w:val="single" w:color="auto" w:sz="4" w:space="0"/>
              <w:left w:val="single" w:color="000000" w:sz="4" w:space="0"/>
              <w:bottom w:val="single" w:color="auto" w:sz="4" w:space="0"/>
              <w:right w:val="single" w:color="000000" w:sz="4" w:space="0"/>
            </w:tcBorders>
            <w:noWrap w:val="0"/>
            <w:vAlign w:val="center"/>
          </w:tcPr>
          <w:p w14:paraId="57E19354">
            <w:pPr>
              <w:widowControl/>
              <w:jc w:val="left"/>
              <w:textAlignment w:val="center"/>
              <w:rPr>
                <w:rFonts w:hint="eastAsia" w:asciiTheme="minorEastAsia" w:hAnsiTheme="minorEastAsia" w:eastAsiaTheme="minorEastAsia" w:cstheme="minorEastAsia"/>
                <w:color w:val="000000"/>
                <w:kern w:val="0"/>
                <w:sz w:val="21"/>
                <w:szCs w:val="21"/>
                <w:lang w:bidi="ar"/>
              </w:rPr>
            </w:pPr>
          </w:p>
        </w:tc>
      </w:tr>
      <w:tr w14:paraId="4F5E6833">
        <w:tblPrEx>
          <w:tblCellMar>
            <w:top w:w="15" w:type="dxa"/>
            <w:left w:w="15" w:type="dxa"/>
            <w:bottom w:w="15" w:type="dxa"/>
            <w:right w:w="15" w:type="dxa"/>
          </w:tblCellMar>
        </w:tblPrEx>
        <w:trPr>
          <w:trHeight w:val="389" w:hRule="atLeast"/>
          <w:jc w:val="center"/>
        </w:trPr>
        <w:tc>
          <w:tcPr>
            <w:tcW w:w="1009" w:type="dxa"/>
            <w:tcBorders>
              <w:top w:val="single" w:color="auto" w:sz="4" w:space="0"/>
              <w:left w:val="single" w:color="000000" w:sz="4" w:space="0"/>
              <w:bottom w:val="single" w:color="auto" w:sz="4" w:space="0"/>
              <w:right w:val="single" w:color="000000" w:sz="4" w:space="0"/>
            </w:tcBorders>
            <w:noWrap w:val="0"/>
            <w:vAlign w:val="top"/>
          </w:tcPr>
          <w:p w14:paraId="18DF876F">
            <w:pPr>
              <w:jc w:val="left"/>
              <w:rPr>
                <w:rFonts w:hint="eastAsia" w:asciiTheme="minorEastAsia" w:hAnsiTheme="minorEastAsia" w:eastAsiaTheme="minorEastAsia" w:cstheme="minorEastAsia"/>
                <w:szCs w:val="21"/>
              </w:rPr>
            </w:pPr>
          </w:p>
        </w:tc>
        <w:tc>
          <w:tcPr>
            <w:tcW w:w="2160" w:type="dxa"/>
            <w:tcBorders>
              <w:top w:val="single" w:color="auto" w:sz="4" w:space="0"/>
              <w:left w:val="single" w:color="000000" w:sz="4" w:space="0"/>
              <w:bottom w:val="single" w:color="auto" w:sz="4" w:space="0"/>
              <w:right w:val="single" w:color="000000" w:sz="4" w:space="0"/>
            </w:tcBorders>
            <w:noWrap w:val="0"/>
            <w:vAlign w:val="top"/>
          </w:tcPr>
          <w:p w14:paraId="792189B7">
            <w:pP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高、低压接线柱</w:t>
            </w:r>
          </w:p>
        </w:tc>
        <w:tc>
          <w:tcPr>
            <w:tcW w:w="4957" w:type="dxa"/>
            <w:tcBorders>
              <w:top w:val="single" w:color="auto" w:sz="4" w:space="0"/>
              <w:left w:val="single" w:color="000000" w:sz="4" w:space="0"/>
              <w:bottom w:val="single" w:color="auto" w:sz="4" w:space="0"/>
              <w:right w:val="single" w:color="000000" w:sz="4" w:space="0"/>
            </w:tcBorders>
            <w:noWrap w:val="0"/>
            <w:vAlign w:val="top"/>
          </w:tcPr>
          <w:p w14:paraId="65729AFE">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高、低压接线、导杆本体有无松动</w:t>
            </w:r>
          </w:p>
        </w:tc>
        <w:tc>
          <w:tcPr>
            <w:tcW w:w="1390" w:type="dxa"/>
            <w:tcBorders>
              <w:top w:val="single" w:color="auto" w:sz="4" w:space="0"/>
              <w:left w:val="single" w:color="000000" w:sz="4" w:space="0"/>
              <w:bottom w:val="single" w:color="auto" w:sz="4" w:space="0"/>
              <w:right w:val="single" w:color="000000" w:sz="4" w:space="0"/>
            </w:tcBorders>
            <w:noWrap w:val="0"/>
            <w:vAlign w:val="top"/>
          </w:tcPr>
          <w:p w14:paraId="77034111">
            <w:pPr>
              <w:widowControl/>
              <w:jc w:val="left"/>
              <w:textAlignment w:val="top"/>
              <w:rPr>
                <w:rFonts w:hint="eastAsia" w:asciiTheme="minorEastAsia" w:hAnsiTheme="minorEastAsia" w:eastAsiaTheme="minorEastAsia" w:cstheme="minorEastAsia"/>
                <w:color w:val="000000"/>
                <w:kern w:val="0"/>
                <w:sz w:val="21"/>
                <w:szCs w:val="21"/>
                <w:lang w:bidi="ar"/>
              </w:rPr>
            </w:pPr>
          </w:p>
        </w:tc>
      </w:tr>
      <w:tr w14:paraId="027008A9">
        <w:tblPrEx>
          <w:tblCellMar>
            <w:top w:w="15" w:type="dxa"/>
            <w:left w:w="15" w:type="dxa"/>
            <w:bottom w:w="15" w:type="dxa"/>
            <w:right w:w="15" w:type="dxa"/>
          </w:tblCellMar>
        </w:tblPrEx>
        <w:trPr>
          <w:trHeight w:val="352" w:hRule="atLeast"/>
          <w:jc w:val="center"/>
        </w:trPr>
        <w:tc>
          <w:tcPr>
            <w:tcW w:w="1009" w:type="dxa"/>
            <w:tcBorders>
              <w:top w:val="single" w:color="auto" w:sz="4" w:space="0"/>
              <w:left w:val="single" w:color="000000" w:sz="4" w:space="0"/>
              <w:bottom w:val="single" w:color="auto" w:sz="4" w:space="0"/>
              <w:right w:val="single" w:color="000000" w:sz="4" w:space="0"/>
            </w:tcBorders>
            <w:noWrap w:val="0"/>
            <w:vAlign w:val="top"/>
          </w:tcPr>
          <w:p w14:paraId="3250D4EF">
            <w:pPr>
              <w:rPr>
                <w:rFonts w:hint="eastAsia" w:asciiTheme="minorEastAsia" w:hAnsiTheme="minorEastAsia" w:eastAsiaTheme="minorEastAsia" w:cstheme="minorEastAsia"/>
                <w:color w:val="000000"/>
                <w:sz w:val="21"/>
                <w:szCs w:val="21"/>
              </w:rPr>
            </w:pPr>
          </w:p>
        </w:tc>
        <w:tc>
          <w:tcPr>
            <w:tcW w:w="2160" w:type="dxa"/>
            <w:tcBorders>
              <w:top w:val="single" w:color="auto" w:sz="4" w:space="0"/>
              <w:left w:val="single" w:color="000000" w:sz="4" w:space="0"/>
              <w:bottom w:val="single" w:color="auto" w:sz="4" w:space="0"/>
              <w:right w:val="single" w:color="000000" w:sz="4" w:space="0"/>
            </w:tcBorders>
            <w:noWrap w:val="0"/>
            <w:vAlign w:val="top"/>
          </w:tcPr>
          <w:p w14:paraId="69A73D20">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高压组别联杆</w:t>
            </w:r>
          </w:p>
        </w:tc>
        <w:tc>
          <w:tcPr>
            <w:tcW w:w="4957" w:type="dxa"/>
            <w:tcBorders>
              <w:top w:val="single" w:color="auto" w:sz="4" w:space="0"/>
              <w:left w:val="single" w:color="000000" w:sz="4" w:space="0"/>
              <w:bottom w:val="single" w:color="auto" w:sz="4" w:space="0"/>
              <w:right w:val="single" w:color="000000" w:sz="4" w:space="0"/>
            </w:tcBorders>
            <w:noWrap w:val="0"/>
            <w:vAlign w:val="top"/>
          </w:tcPr>
          <w:p w14:paraId="44448CC4">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高压组别联杆有无松动、进行紧固</w:t>
            </w:r>
          </w:p>
        </w:tc>
        <w:tc>
          <w:tcPr>
            <w:tcW w:w="1390" w:type="dxa"/>
            <w:tcBorders>
              <w:top w:val="single" w:color="auto" w:sz="4" w:space="0"/>
              <w:left w:val="single" w:color="000000" w:sz="4" w:space="0"/>
              <w:bottom w:val="single" w:color="auto" w:sz="4" w:space="0"/>
              <w:right w:val="single" w:color="000000" w:sz="4" w:space="0"/>
            </w:tcBorders>
            <w:noWrap w:val="0"/>
            <w:vAlign w:val="center"/>
          </w:tcPr>
          <w:p w14:paraId="085BEEB9">
            <w:pPr>
              <w:widowControl/>
              <w:jc w:val="left"/>
              <w:textAlignment w:val="center"/>
              <w:rPr>
                <w:rFonts w:hint="eastAsia" w:asciiTheme="minorEastAsia" w:hAnsiTheme="minorEastAsia" w:eastAsiaTheme="minorEastAsia" w:cstheme="minorEastAsia"/>
                <w:color w:val="000000"/>
                <w:kern w:val="0"/>
                <w:sz w:val="21"/>
                <w:szCs w:val="21"/>
                <w:lang w:bidi="ar"/>
              </w:rPr>
            </w:pPr>
          </w:p>
        </w:tc>
      </w:tr>
      <w:tr w14:paraId="663976E7">
        <w:tblPrEx>
          <w:tblCellMar>
            <w:top w:w="15" w:type="dxa"/>
            <w:left w:w="15" w:type="dxa"/>
            <w:bottom w:w="15" w:type="dxa"/>
            <w:right w:w="15" w:type="dxa"/>
          </w:tblCellMar>
        </w:tblPrEx>
        <w:trPr>
          <w:trHeight w:val="365" w:hRule="atLeast"/>
          <w:jc w:val="center"/>
        </w:trPr>
        <w:tc>
          <w:tcPr>
            <w:tcW w:w="1009" w:type="dxa"/>
            <w:tcBorders>
              <w:top w:val="single" w:color="auto" w:sz="4" w:space="0"/>
              <w:left w:val="single" w:color="000000" w:sz="4" w:space="0"/>
              <w:bottom w:val="single" w:color="auto" w:sz="4" w:space="0"/>
              <w:right w:val="single" w:color="000000" w:sz="4" w:space="0"/>
            </w:tcBorders>
            <w:noWrap w:val="0"/>
            <w:vAlign w:val="top"/>
          </w:tcPr>
          <w:p w14:paraId="0B22D1A8">
            <w:pPr>
              <w:rPr>
                <w:rFonts w:hint="eastAsia" w:asciiTheme="minorEastAsia" w:hAnsiTheme="minorEastAsia" w:eastAsiaTheme="minorEastAsia" w:cstheme="minorEastAsia"/>
                <w:color w:val="000000"/>
                <w:sz w:val="21"/>
                <w:szCs w:val="21"/>
              </w:rPr>
            </w:pPr>
          </w:p>
        </w:tc>
        <w:tc>
          <w:tcPr>
            <w:tcW w:w="2160" w:type="dxa"/>
            <w:tcBorders>
              <w:top w:val="single" w:color="auto" w:sz="4" w:space="0"/>
              <w:left w:val="single" w:color="000000" w:sz="4" w:space="0"/>
              <w:bottom w:val="single" w:color="auto" w:sz="4" w:space="0"/>
              <w:right w:val="single" w:color="000000" w:sz="4" w:space="0"/>
            </w:tcBorders>
            <w:noWrap w:val="0"/>
            <w:vAlign w:val="top"/>
          </w:tcPr>
          <w:p w14:paraId="444D196C">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高压分接联片</w:t>
            </w:r>
          </w:p>
        </w:tc>
        <w:tc>
          <w:tcPr>
            <w:tcW w:w="4957" w:type="dxa"/>
            <w:tcBorders>
              <w:top w:val="single" w:color="auto" w:sz="4" w:space="0"/>
              <w:left w:val="single" w:color="000000" w:sz="4" w:space="0"/>
              <w:bottom w:val="single" w:color="auto" w:sz="4" w:space="0"/>
              <w:right w:val="single" w:color="000000" w:sz="4" w:space="0"/>
            </w:tcBorders>
            <w:noWrap w:val="0"/>
            <w:vAlign w:val="top"/>
          </w:tcPr>
          <w:p w14:paraId="4EEDB9A1">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调压分接联接片螺丝紧固</w:t>
            </w:r>
          </w:p>
        </w:tc>
        <w:tc>
          <w:tcPr>
            <w:tcW w:w="1390" w:type="dxa"/>
            <w:tcBorders>
              <w:top w:val="single" w:color="auto" w:sz="4" w:space="0"/>
              <w:left w:val="single" w:color="000000" w:sz="4" w:space="0"/>
              <w:bottom w:val="single" w:color="auto" w:sz="4" w:space="0"/>
              <w:right w:val="single" w:color="000000" w:sz="4" w:space="0"/>
            </w:tcBorders>
            <w:noWrap w:val="0"/>
            <w:vAlign w:val="center"/>
          </w:tcPr>
          <w:p w14:paraId="12929DBC">
            <w:pPr>
              <w:widowControl/>
              <w:jc w:val="left"/>
              <w:textAlignment w:val="center"/>
              <w:rPr>
                <w:rFonts w:hint="eastAsia" w:asciiTheme="minorEastAsia" w:hAnsiTheme="minorEastAsia" w:eastAsiaTheme="minorEastAsia" w:cstheme="minorEastAsia"/>
                <w:color w:val="000000"/>
                <w:kern w:val="0"/>
                <w:sz w:val="21"/>
                <w:szCs w:val="21"/>
                <w:lang w:bidi="ar"/>
              </w:rPr>
            </w:pPr>
          </w:p>
        </w:tc>
      </w:tr>
      <w:tr w14:paraId="49782DB5">
        <w:tblPrEx>
          <w:tblCellMar>
            <w:top w:w="15" w:type="dxa"/>
            <w:left w:w="15" w:type="dxa"/>
            <w:bottom w:w="15" w:type="dxa"/>
            <w:right w:w="15" w:type="dxa"/>
          </w:tblCellMar>
        </w:tblPrEx>
        <w:trPr>
          <w:trHeight w:val="392" w:hRule="atLeast"/>
          <w:jc w:val="center"/>
        </w:trPr>
        <w:tc>
          <w:tcPr>
            <w:tcW w:w="1009" w:type="dxa"/>
            <w:tcBorders>
              <w:top w:val="single" w:color="auto" w:sz="4" w:space="0"/>
              <w:left w:val="single" w:color="000000" w:sz="4" w:space="0"/>
              <w:bottom w:val="single" w:color="auto" w:sz="4" w:space="0"/>
              <w:right w:val="single" w:color="000000" w:sz="4" w:space="0"/>
            </w:tcBorders>
            <w:noWrap w:val="0"/>
            <w:vAlign w:val="top"/>
          </w:tcPr>
          <w:p w14:paraId="1D88DB4A">
            <w:pPr>
              <w:rPr>
                <w:rFonts w:hint="eastAsia" w:asciiTheme="minorEastAsia" w:hAnsiTheme="minorEastAsia" w:eastAsiaTheme="minorEastAsia" w:cstheme="minorEastAsia"/>
                <w:color w:val="000000"/>
                <w:sz w:val="21"/>
                <w:szCs w:val="21"/>
              </w:rPr>
            </w:pPr>
          </w:p>
        </w:tc>
        <w:tc>
          <w:tcPr>
            <w:tcW w:w="2160" w:type="dxa"/>
            <w:tcBorders>
              <w:top w:val="single" w:color="auto" w:sz="4" w:space="0"/>
              <w:left w:val="single" w:color="000000" w:sz="4" w:space="0"/>
              <w:bottom w:val="single" w:color="auto" w:sz="4" w:space="0"/>
              <w:right w:val="single" w:color="000000" w:sz="4" w:space="0"/>
            </w:tcBorders>
            <w:noWrap w:val="0"/>
            <w:vAlign w:val="top"/>
          </w:tcPr>
          <w:p w14:paraId="760EB3AD">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变压器温控仪、风机</w:t>
            </w:r>
          </w:p>
        </w:tc>
        <w:tc>
          <w:tcPr>
            <w:tcW w:w="4957" w:type="dxa"/>
            <w:tcBorders>
              <w:top w:val="single" w:color="auto" w:sz="4" w:space="0"/>
              <w:left w:val="single" w:color="000000" w:sz="4" w:space="0"/>
              <w:bottom w:val="single" w:color="auto" w:sz="4" w:space="0"/>
              <w:right w:val="single" w:color="000000" w:sz="4" w:space="0"/>
            </w:tcBorders>
            <w:noWrap w:val="0"/>
            <w:vAlign w:val="top"/>
          </w:tcPr>
          <w:p w14:paraId="3BC503B5">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运行是否正常、启动是否正常、有无碰壳现象</w:t>
            </w:r>
          </w:p>
        </w:tc>
        <w:tc>
          <w:tcPr>
            <w:tcW w:w="1390" w:type="dxa"/>
            <w:tcBorders>
              <w:top w:val="single" w:color="auto" w:sz="4" w:space="0"/>
              <w:left w:val="single" w:color="000000" w:sz="4" w:space="0"/>
              <w:bottom w:val="single" w:color="auto" w:sz="4" w:space="0"/>
              <w:right w:val="single" w:color="000000" w:sz="4" w:space="0"/>
            </w:tcBorders>
            <w:noWrap w:val="0"/>
            <w:vAlign w:val="center"/>
          </w:tcPr>
          <w:p w14:paraId="65FCA7C5">
            <w:pPr>
              <w:widowControl/>
              <w:jc w:val="left"/>
              <w:textAlignment w:val="center"/>
              <w:rPr>
                <w:rFonts w:hint="eastAsia" w:asciiTheme="minorEastAsia" w:hAnsiTheme="minorEastAsia" w:eastAsiaTheme="minorEastAsia" w:cstheme="minorEastAsia"/>
                <w:color w:val="000000"/>
                <w:kern w:val="0"/>
                <w:sz w:val="21"/>
                <w:szCs w:val="21"/>
                <w:lang w:bidi="ar"/>
              </w:rPr>
            </w:pPr>
          </w:p>
        </w:tc>
      </w:tr>
      <w:tr w14:paraId="36C36DE3">
        <w:tblPrEx>
          <w:tblCellMar>
            <w:top w:w="15" w:type="dxa"/>
            <w:left w:w="15" w:type="dxa"/>
            <w:bottom w:w="15" w:type="dxa"/>
            <w:right w:w="15" w:type="dxa"/>
          </w:tblCellMar>
        </w:tblPrEx>
        <w:trPr>
          <w:trHeight w:val="329" w:hRule="atLeast"/>
          <w:jc w:val="center"/>
        </w:trPr>
        <w:tc>
          <w:tcPr>
            <w:tcW w:w="1009" w:type="dxa"/>
            <w:tcBorders>
              <w:top w:val="single" w:color="auto" w:sz="4" w:space="0"/>
              <w:left w:val="single" w:color="000000" w:sz="4" w:space="0"/>
              <w:bottom w:val="single" w:color="auto" w:sz="4" w:space="0"/>
              <w:right w:val="single" w:color="000000" w:sz="4" w:space="0"/>
            </w:tcBorders>
            <w:noWrap w:val="0"/>
            <w:vAlign w:val="top"/>
          </w:tcPr>
          <w:p w14:paraId="0CE28C44">
            <w:pPr>
              <w:rPr>
                <w:rFonts w:hint="eastAsia" w:asciiTheme="minorEastAsia" w:hAnsiTheme="minorEastAsia" w:eastAsiaTheme="minorEastAsia" w:cstheme="minorEastAsia"/>
                <w:color w:val="000000"/>
                <w:sz w:val="21"/>
                <w:szCs w:val="21"/>
              </w:rPr>
            </w:pPr>
          </w:p>
        </w:tc>
        <w:tc>
          <w:tcPr>
            <w:tcW w:w="2160" w:type="dxa"/>
            <w:tcBorders>
              <w:top w:val="single" w:color="auto" w:sz="4" w:space="0"/>
              <w:left w:val="single" w:color="000000" w:sz="4" w:space="0"/>
              <w:bottom w:val="single" w:color="auto" w:sz="4" w:space="0"/>
              <w:right w:val="single" w:color="000000" w:sz="4" w:space="0"/>
            </w:tcBorders>
            <w:noWrap w:val="0"/>
            <w:vAlign w:val="top"/>
          </w:tcPr>
          <w:p w14:paraId="77675D2D">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变压器各部位螺栓</w:t>
            </w:r>
          </w:p>
        </w:tc>
        <w:tc>
          <w:tcPr>
            <w:tcW w:w="4957" w:type="dxa"/>
            <w:tcBorders>
              <w:top w:val="single" w:color="auto" w:sz="4" w:space="0"/>
              <w:left w:val="single" w:color="000000" w:sz="4" w:space="0"/>
              <w:bottom w:val="single" w:color="auto" w:sz="4" w:space="0"/>
              <w:right w:val="single" w:color="000000" w:sz="4" w:space="0"/>
            </w:tcBorders>
            <w:noWrap w:val="0"/>
            <w:vAlign w:val="top"/>
          </w:tcPr>
          <w:p w14:paraId="142689D9">
            <w:pPr>
              <w:widowControl/>
              <w:jc w:val="left"/>
              <w:textAlignment w:val="top"/>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变压器各部位螺栓紧固、绝缘垫块有无移位、松动或脱落</w:t>
            </w:r>
          </w:p>
        </w:tc>
        <w:tc>
          <w:tcPr>
            <w:tcW w:w="1390" w:type="dxa"/>
            <w:tcBorders>
              <w:top w:val="single" w:color="auto" w:sz="4" w:space="0"/>
              <w:left w:val="single" w:color="000000" w:sz="4" w:space="0"/>
              <w:bottom w:val="single" w:color="auto" w:sz="4" w:space="0"/>
              <w:right w:val="single" w:color="000000" w:sz="4" w:space="0"/>
            </w:tcBorders>
            <w:noWrap w:val="0"/>
            <w:vAlign w:val="center"/>
          </w:tcPr>
          <w:p w14:paraId="1EFD9057">
            <w:pPr>
              <w:widowControl/>
              <w:jc w:val="left"/>
              <w:textAlignment w:val="center"/>
              <w:rPr>
                <w:rFonts w:hint="eastAsia" w:asciiTheme="minorEastAsia" w:hAnsiTheme="minorEastAsia" w:eastAsiaTheme="minorEastAsia" w:cstheme="minorEastAsia"/>
                <w:color w:val="000000"/>
                <w:kern w:val="0"/>
                <w:sz w:val="21"/>
                <w:szCs w:val="21"/>
                <w:lang w:bidi="ar"/>
              </w:rPr>
            </w:pPr>
          </w:p>
        </w:tc>
      </w:tr>
      <w:tr w14:paraId="14D3DBCA">
        <w:tblPrEx>
          <w:tblCellMar>
            <w:top w:w="15" w:type="dxa"/>
            <w:left w:w="15" w:type="dxa"/>
            <w:bottom w:w="15" w:type="dxa"/>
            <w:right w:w="15" w:type="dxa"/>
          </w:tblCellMar>
        </w:tblPrEx>
        <w:trPr>
          <w:trHeight w:val="1649"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24450AF1">
            <w:pPr>
              <w:widowControl/>
              <w:jc w:val="left"/>
              <w:textAlignment w:val="center"/>
              <w:rPr>
                <w:rFonts w:hint="eastAsia" w:asciiTheme="minorEastAsia" w:hAnsiTheme="minorEastAsia" w:eastAsiaTheme="minorEastAsia" w:cstheme="minorEastAsia"/>
                <w:b/>
                <w:bCs/>
                <w:color w:val="000000"/>
                <w:kern w:val="0"/>
                <w:sz w:val="21"/>
                <w:szCs w:val="21"/>
                <w:lang w:bidi="ar"/>
              </w:rPr>
            </w:pPr>
            <w:r>
              <w:rPr>
                <w:rFonts w:hint="eastAsia" w:asciiTheme="minorEastAsia" w:hAnsiTheme="minorEastAsia" w:eastAsiaTheme="minorEastAsia" w:cstheme="minorEastAsia"/>
                <w:b/>
                <w:bCs/>
                <w:color w:val="000000"/>
                <w:kern w:val="0"/>
                <w:sz w:val="21"/>
                <w:szCs w:val="21"/>
                <w:lang w:bidi="ar"/>
              </w:rPr>
              <w:t>户内</w:t>
            </w:r>
          </w:p>
          <w:p w14:paraId="10A153CF">
            <w:pPr>
              <w:widowControl/>
              <w:jc w:val="left"/>
              <w:textAlignment w:val="cente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kern w:val="0"/>
                <w:sz w:val="21"/>
                <w:szCs w:val="21"/>
                <w:lang w:bidi="ar"/>
              </w:rPr>
              <w:t>高压设备</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6CB65631">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高压进线柜</w:t>
            </w:r>
          </w:p>
        </w:tc>
        <w:tc>
          <w:tcPr>
            <w:tcW w:w="4957" w:type="dxa"/>
            <w:tcBorders>
              <w:top w:val="single" w:color="000000" w:sz="4" w:space="0"/>
              <w:left w:val="single" w:color="000000" w:sz="4" w:space="0"/>
              <w:bottom w:val="single" w:color="000000" w:sz="4" w:space="0"/>
              <w:right w:val="single" w:color="000000" w:sz="4" w:space="0"/>
            </w:tcBorders>
            <w:noWrap w:val="0"/>
            <w:vAlign w:val="center"/>
          </w:tcPr>
          <w:p w14:paraId="112CB39F">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检查开关分、合闸操作情况，开关机械传动部加润滑油。检查一、二次接线有无烧坏，绝缘部位有无放电痕迹检查指示灯、仪表是否正常。封堵柜内孔洞。检查柜门、锁有无损坏，柜门开、闭是否正常。清扫柜内有无积尘、蜘蛛网。</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3EE9D2EC">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外部线路停电配合情况下进行；无异常情况不能专门办理；外线停电配合检查</w:t>
            </w:r>
          </w:p>
        </w:tc>
      </w:tr>
      <w:tr w14:paraId="07C32B9E">
        <w:tblPrEx>
          <w:tblCellMar>
            <w:top w:w="15" w:type="dxa"/>
            <w:left w:w="15" w:type="dxa"/>
            <w:bottom w:w="15" w:type="dxa"/>
            <w:right w:w="15" w:type="dxa"/>
          </w:tblCellMar>
        </w:tblPrEx>
        <w:trPr>
          <w:trHeight w:val="90"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163899E8">
            <w:pPr>
              <w:rPr>
                <w:rFonts w:hint="eastAsia" w:asciiTheme="minorEastAsia" w:hAnsiTheme="minorEastAsia" w:eastAsiaTheme="minorEastAsia" w:cstheme="minorEastAsia"/>
                <w:b/>
                <w:bCs/>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069C5FDF">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高压计量柜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737A800B">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检查一、二次接线有无烧坏，绝缘部位有无放电痕迹。封堵柜内孔洞。检查柜门、锁有无损坏，柜门开、闭是否正常。清扫柜内积尘、蜘蛛网等。</w:t>
            </w:r>
          </w:p>
        </w:tc>
        <w:tc>
          <w:tcPr>
            <w:tcW w:w="1390" w:type="dxa"/>
            <w:tcBorders>
              <w:top w:val="single" w:color="000000" w:sz="4" w:space="0"/>
              <w:left w:val="single" w:color="000000" w:sz="4" w:space="0"/>
              <w:bottom w:val="single" w:color="000000" w:sz="4" w:space="0"/>
              <w:right w:val="single" w:color="000000" w:sz="4" w:space="0"/>
            </w:tcBorders>
            <w:noWrap w:val="0"/>
            <w:vAlign w:val="top"/>
          </w:tcPr>
          <w:p w14:paraId="0879C852">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在征得供电局同意的情况下方可拆除铅封开柜检查</w:t>
            </w:r>
          </w:p>
        </w:tc>
      </w:tr>
      <w:tr w14:paraId="73AF5556">
        <w:tblPrEx>
          <w:tblCellMar>
            <w:top w:w="15" w:type="dxa"/>
            <w:left w:w="15" w:type="dxa"/>
            <w:bottom w:w="15" w:type="dxa"/>
            <w:right w:w="15" w:type="dxa"/>
          </w:tblCellMar>
        </w:tblPrEx>
        <w:trPr>
          <w:trHeight w:val="1388"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5A933304">
            <w:pPr>
              <w:rPr>
                <w:rFonts w:hint="eastAsia" w:asciiTheme="minorEastAsia" w:hAnsiTheme="minorEastAsia" w:eastAsiaTheme="minorEastAsia" w:cstheme="minorEastAsia"/>
                <w:b/>
                <w:bCs/>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22492DA9">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高压母联柜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44B50D28">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检查开关分、合闸操作是否正常，开关机械传动部加润滑油。检查一、二次接线有无烧坏，绝缘部位有无放电痕迹。封堵柜内孔洞。检查柜门、锁有无损坏，柜门开、闭是否正常。检查指示灯、仪表是否正常。清扫柜内积尘、蜘蛛网等。</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795B2D76">
            <w:pPr>
              <w:rPr>
                <w:rFonts w:hint="eastAsia" w:asciiTheme="minorEastAsia" w:hAnsiTheme="minorEastAsia" w:eastAsiaTheme="minorEastAsia" w:cstheme="minorEastAsia"/>
                <w:color w:val="000000"/>
                <w:sz w:val="21"/>
                <w:szCs w:val="21"/>
              </w:rPr>
            </w:pPr>
          </w:p>
        </w:tc>
      </w:tr>
      <w:tr w14:paraId="79CD023F">
        <w:tblPrEx>
          <w:tblCellMar>
            <w:top w:w="15" w:type="dxa"/>
            <w:left w:w="15" w:type="dxa"/>
            <w:bottom w:w="15" w:type="dxa"/>
            <w:right w:w="15" w:type="dxa"/>
          </w:tblCellMar>
        </w:tblPrEx>
        <w:trPr>
          <w:trHeight w:val="1530"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6FB44D50">
            <w:pPr>
              <w:rPr>
                <w:rFonts w:hint="eastAsia" w:asciiTheme="minorEastAsia" w:hAnsiTheme="minorEastAsia" w:eastAsiaTheme="minorEastAsia" w:cstheme="minorEastAsia"/>
                <w:b/>
                <w:bCs/>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192B2BB0">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高压出线柜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50B9AF73">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检查开关分、合闸操作情况，开关机械传动部加润滑油。检查一、二次接线有无烧坏，绝缘部位有无放电痕迹。封堵柜内孔洞。检查柜门、锁有无损坏，柜门开、闭是否正常。检查指示灯、登记表是否正常。清扫柜内积尘、蜘蛛网等。</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2C5755FD">
            <w:pPr>
              <w:rPr>
                <w:rFonts w:hint="eastAsia" w:asciiTheme="minorEastAsia" w:hAnsiTheme="minorEastAsia" w:eastAsiaTheme="minorEastAsia" w:cstheme="minorEastAsia"/>
                <w:color w:val="000000"/>
                <w:sz w:val="21"/>
                <w:szCs w:val="21"/>
              </w:rPr>
            </w:pPr>
          </w:p>
        </w:tc>
      </w:tr>
      <w:tr w14:paraId="6EBE906F">
        <w:tblPrEx>
          <w:tblCellMar>
            <w:top w:w="15" w:type="dxa"/>
            <w:left w:w="15" w:type="dxa"/>
            <w:bottom w:w="15" w:type="dxa"/>
            <w:right w:w="15" w:type="dxa"/>
          </w:tblCellMar>
        </w:tblPrEx>
        <w:trPr>
          <w:trHeight w:val="1322"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65EEDBAC">
            <w:pPr>
              <w:widowControl/>
              <w:jc w:val="left"/>
              <w:textAlignment w:val="center"/>
              <w:rPr>
                <w:rFonts w:hint="eastAsia" w:asciiTheme="minorEastAsia" w:hAnsiTheme="minorEastAsia" w:eastAsiaTheme="minorEastAsia" w:cstheme="minorEastAsia"/>
                <w:b/>
                <w:bCs/>
                <w:color w:val="000000"/>
                <w:kern w:val="0"/>
                <w:sz w:val="21"/>
                <w:szCs w:val="21"/>
                <w:lang w:bidi="ar"/>
              </w:rPr>
            </w:pPr>
            <w:r>
              <w:rPr>
                <w:rFonts w:hint="eastAsia" w:asciiTheme="minorEastAsia" w:hAnsiTheme="minorEastAsia" w:eastAsiaTheme="minorEastAsia" w:cstheme="minorEastAsia"/>
                <w:b/>
                <w:bCs/>
                <w:color w:val="000000"/>
                <w:kern w:val="0"/>
                <w:sz w:val="21"/>
                <w:szCs w:val="21"/>
                <w:lang w:bidi="ar"/>
              </w:rPr>
              <w:t>户内</w:t>
            </w:r>
          </w:p>
          <w:p w14:paraId="52009F8F">
            <w:pPr>
              <w:widowControl/>
              <w:jc w:val="left"/>
              <w:textAlignment w:val="cente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kern w:val="0"/>
                <w:sz w:val="21"/>
                <w:szCs w:val="21"/>
                <w:lang w:bidi="ar"/>
              </w:rPr>
              <w:t>低压设备</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2CB7418D">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低压进线柜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3188C49B">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检查刀开关分、断路器分、合闸操作是否正常，开关机械传动部加润滑油。检查一、二次接线有无烧坏，绝缘部位有无放电痕迹。封堵柜内孔洞。检查柜门、锁有无损坏，柜门开、闭是否正常。检查指示灯、仪表是否正常。清扫柜内积尘、蜘蛛网等。</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754F1D03">
            <w:pPr>
              <w:rPr>
                <w:rFonts w:hint="eastAsia" w:asciiTheme="minorEastAsia" w:hAnsiTheme="minorEastAsia" w:eastAsiaTheme="minorEastAsia" w:cstheme="minorEastAsia"/>
                <w:color w:val="000000"/>
                <w:sz w:val="21"/>
                <w:szCs w:val="21"/>
              </w:rPr>
            </w:pPr>
          </w:p>
        </w:tc>
      </w:tr>
      <w:tr w14:paraId="4BF11852">
        <w:tblPrEx>
          <w:tblCellMar>
            <w:top w:w="15" w:type="dxa"/>
            <w:left w:w="15" w:type="dxa"/>
            <w:bottom w:w="15" w:type="dxa"/>
            <w:right w:w="15" w:type="dxa"/>
          </w:tblCellMar>
        </w:tblPrEx>
        <w:trPr>
          <w:trHeight w:val="1213"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4662694C">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546637B8">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低压计量柜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0B08252E">
            <w:pPr>
              <w:widowControl/>
              <w:jc w:val="both"/>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检查一、二次接线有无烧坏，绝缘部位有无放电痕迹。封堵柜内孔洞。检查柜门、锁有无损坏，柜门开、闭是否正常。清扫柜内积尘、蜘蛛网等。</w:t>
            </w:r>
          </w:p>
        </w:tc>
        <w:tc>
          <w:tcPr>
            <w:tcW w:w="1390" w:type="dxa"/>
            <w:tcBorders>
              <w:top w:val="single" w:color="000000" w:sz="4" w:space="0"/>
              <w:left w:val="single" w:color="000000" w:sz="4" w:space="0"/>
              <w:bottom w:val="single" w:color="000000" w:sz="4" w:space="0"/>
              <w:right w:val="single" w:color="000000" w:sz="4" w:space="0"/>
            </w:tcBorders>
            <w:noWrap w:val="0"/>
            <w:vAlign w:val="top"/>
          </w:tcPr>
          <w:p w14:paraId="6D83360F">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在征得供电局同意的情况下方可拆除铅封开柜检查</w:t>
            </w:r>
          </w:p>
        </w:tc>
      </w:tr>
      <w:tr w14:paraId="72ECD651">
        <w:tblPrEx>
          <w:tblCellMar>
            <w:top w:w="15" w:type="dxa"/>
            <w:left w:w="15" w:type="dxa"/>
            <w:bottom w:w="15" w:type="dxa"/>
            <w:right w:w="15" w:type="dxa"/>
          </w:tblCellMar>
        </w:tblPrEx>
        <w:trPr>
          <w:trHeight w:val="1170" w:hRule="atLeast"/>
          <w:jc w:val="center"/>
        </w:trPr>
        <w:tc>
          <w:tcPr>
            <w:tcW w:w="1009" w:type="dxa"/>
            <w:tcBorders>
              <w:top w:val="single" w:color="000000" w:sz="4" w:space="0"/>
              <w:left w:val="single" w:color="000000" w:sz="4" w:space="0"/>
              <w:bottom w:val="single" w:color="000000" w:sz="4" w:space="0"/>
              <w:right w:val="single" w:color="000000" w:sz="4" w:space="0"/>
            </w:tcBorders>
            <w:noWrap w:val="0"/>
            <w:vAlign w:val="center"/>
          </w:tcPr>
          <w:p w14:paraId="448A7E2E">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78DD6D70">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低压母联柜</w:t>
            </w:r>
          </w:p>
        </w:tc>
        <w:tc>
          <w:tcPr>
            <w:tcW w:w="4957" w:type="dxa"/>
            <w:tcBorders>
              <w:top w:val="single" w:color="000000" w:sz="4" w:space="0"/>
              <w:left w:val="single" w:color="000000" w:sz="4" w:space="0"/>
              <w:bottom w:val="single" w:color="000000" w:sz="4" w:space="0"/>
              <w:right w:val="single" w:color="000000" w:sz="4" w:space="0"/>
            </w:tcBorders>
            <w:noWrap w:val="0"/>
            <w:vAlign w:val="top"/>
          </w:tcPr>
          <w:p w14:paraId="25B41606">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检查刀开关分、断路器分、合闸操作是否正常，开关机械传动部加润滑油。检查一、二次接线有无烧坏，绝缘部位有无放电痕迹。检查指示灯、仪表是否正常。封堵柜内孔洞。检查柜门、锁有无损坏，柜门开、闭是否正常。清扫柜内积尘、蜘蛛网等。</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71D55D62">
            <w:pPr>
              <w:rPr>
                <w:rFonts w:hint="eastAsia" w:asciiTheme="minorEastAsia" w:hAnsiTheme="minorEastAsia" w:eastAsiaTheme="minorEastAsia" w:cstheme="minorEastAsia"/>
                <w:color w:val="000000"/>
                <w:sz w:val="21"/>
                <w:szCs w:val="21"/>
              </w:rPr>
            </w:pPr>
          </w:p>
        </w:tc>
      </w:tr>
      <w:tr w14:paraId="1DAE58E5">
        <w:tblPrEx>
          <w:tblCellMar>
            <w:top w:w="15" w:type="dxa"/>
            <w:left w:w="15" w:type="dxa"/>
            <w:bottom w:w="15" w:type="dxa"/>
            <w:right w:w="15" w:type="dxa"/>
          </w:tblCellMar>
        </w:tblPrEx>
        <w:trPr>
          <w:trHeight w:val="1517" w:hRule="atLeast"/>
          <w:jc w:val="center"/>
        </w:trPr>
        <w:tc>
          <w:tcPr>
            <w:tcW w:w="1009" w:type="dxa"/>
            <w:tcBorders>
              <w:top w:val="single" w:color="000000" w:sz="4" w:space="0"/>
              <w:left w:val="single" w:color="000000" w:sz="4" w:space="0"/>
              <w:bottom w:val="single" w:color="auto" w:sz="4" w:space="0"/>
              <w:right w:val="single" w:color="000000" w:sz="4" w:space="0"/>
            </w:tcBorders>
            <w:noWrap w:val="0"/>
            <w:vAlign w:val="center"/>
          </w:tcPr>
          <w:p w14:paraId="72B11305">
            <w:pPr>
              <w:rPr>
                <w:rFonts w:hint="eastAsia" w:asciiTheme="minorEastAsia" w:hAnsiTheme="minorEastAsia" w:eastAsiaTheme="minorEastAsia" w:cstheme="minorEastAsia"/>
                <w:color w:val="000000"/>
                <w:sz w:val="21"/>
                <w:szCs w:val="21"/>
              </w:rPr>
            </w:pPr>
          </w:p>
        </w:tc>
        <w:tc>
          <w:tcPr>
            <w:tcW w:w="2160" w:type="dxa"/>
            <w:tcBorders>
              <w:top w:val="single" w:color="000000" w:sz="4" w:space="0"/>
              <w:left w:val="single" w:color="000000" w:sz="4" w:space="0"/>
              <w:bottom w:val="single" w:color="auto" w:sz="4" w:space="0"/>
              <w:right w:val="single" w:color="000000" w:sz="4" w:space="0"/>
            </w:tcBorders>
            <w:noWrap w:val="0"/>
            <w:vAlign w:val="center"/>
          </w:tcPr>
          <w:p w14:paraId="5DAFC58A">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低压出线柜</w:t>
            </w:r>
          </w:p>
        </w:tc>
        <w:tc>
          <w:tcPr>
            <w:tcW w:w="4957" w:type="dxa"/>
            <w:tcBorders>
              <w:top w:val="single" w:color="000000" w:sz="4" w:space="0"/>
              <w:left w:val="single" w:color="000000" w:sz="4" w:space="0"/>
              <w:bottom w:val="single" w:color="auto" w:sz="4" w:space="0"/>
              <w:right w:val="single" w:color="000000" w:sz="4" w:space="0"/>
            </w:tcBorders>
            <w:noWrap w:val="0"/>
            <w:vAlign w:val="top"/>
          </w:tcPr>
          <w:p w14:paraId="01A6BD35">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检查刀开关分、断路器、空气开关分、合闸操作是否正常，开关机械传动部加润滑油。检查一、二次接线有无烧坏，绝缘部位有无放电痕迹。检查指示灯、仪表是否正常。封堵柜内孔洞。检查柜门、锁有无损坏，柜门开、闭是否正常。清扫柜内积尘、蜘蛛网等。</w:t>
            </w:r>
          </w:p>
        </w:tc>
        <w:tc>
          <w:tcPr>
            <w:tcW w:w="1390" w:type="dxa"/>
            <w:tcBorders>
              <w:top w:val="single" w:color="000000" w:sz="4" w:space="0"/>
              <w:left w:val="single" w:color="000000" w:sz="4" w:space="0"/>
              <w:bottom w:val="single" w:color="auto" w:sz="4" w:space="0"/>
              <w:right w:val="single" w:color="000000" w:sz="4" w:space="0"/>
            </w:tcBorders>
            <w:noWrap w:val="0"/>
            <w:vAlign w:val="center"/>
          </w:tcPr>
          <w:p w14:paraId="7FDC6B9E">
            <w:pPr>
              <w:rPr>
                <w:rFonts w:hint="eastAsia" w:asciiTheme="minorEastAsia" w:hAnsiTheme="minorEastAsia" w:eastAsiaTheme="minorEastAsia" w:cstheme="minorEastAsia"/>
                <w:color w:val="000000"/>
                <w:sz w:val="21"/>
                <w:szCs w:val="21"/>
              </w:rPr>
            </w:pPr>
          </w:p>
        </w:tc>
      </w:tr>
      <w:tr w14:paraId="563306B3">
        <w:tblPrEx>
          <w:tblCellMar>
            <w:top w:w="15" w:type="dxa"/>
            <w:left w:w="15" w:type="dxa"/>
            <w:bottom w:w="15" w:type="dxa"/>
            <w:right w:w="15" w:type="dxa"/>
          </w:tblCellMar>
        </w:tblPrEx>
        <w:trPr>
          <w:trHeight w:val="90" w:hRule="atLeast"/>
          <w:jc w:val="center"/>
        </w:trPr>
        <w:tc>
          <w:tcPr>
            <w:tcW w:w="1009" w:type="dxa"/>
            <w:tcBorders>
              <w:top w:val="single" w:color="auto" w:sz="4" w:space="0"/>
              <w:left w:val="single" w:color="auto" w:sz="4" w:space="0"/>
              <w:bottom w:val="single" w:color="auto" w:sz="4" w:space="0"/>
              <w:right w:val="single" w:color="auto" w:sz="4" w:space="0"/>
            </w:tcBorders>
            <w:noWrap w:val="0"/>
            <w:vAlign w:val="center"/>
          </w:tcPr>
          <w:p w14:paraId="0766DBFC">
            <w:pPr>
              <w:rPr>
                <w:rFonts w:hint="eastAsia" w:asciiTheme="minorEastAsia" w:hAnsiTheme="minorEastAsia" w:eastAsiaTheme="minorEastAsia" w:cstheme="minorEastAsia"/>
                <w:color w:val="000000"/>
                <w:sz w:val="21"/>
                <w:szCs w:val="21"/>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3347EED">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电容柜</w:t>
            </w:r>
          </w:p>
        </w:tc>
        <w:tc>
          <w:tcPr>
            <w:tcW w:w="4957" w:type="dxa"/>
            <w:tcBorders>
              <w:top w:val="single" w:color="auto" w:sz="4" w:space="0"/>
              <w:left w:val="single" w:color="auto" w:sz="4" w:space="0"/>
              <w:bottom w:val="single" w:color="auto" w:sz="4" w:space="0"/>
              <w:right w:val="single" w:color="auto" w:sz="4" w:space="0"/>
            </w:tcBorders>
            <w:noWrap w:val="0"/>
            <w:vAlign w:val="top"/>
          </w:tcPr>
          <w:p w14:paraId="6CCAAA9E">
            <w:pPr>
              <w:widowControl/>
              <w:jc w:val="left"/>
              <w:textAlignment w:val="top"/>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检查无功补偿装置是否正常。刀开关、接触器有、无故障。更换外观检查有无变形的电容。检查一、二次接线有无烧坏，绝缘部位有无放电痕迹。检查指示灯、仪表是否正常。封堵柜内孔洞。检查柜门、锁有无损坏，柜门开、闭是否正常。清扫柜内积尘、蜘蛛网等。</w:t>
            </w:r>
          </w:p>
        </w:tc>
        <w:tc>
          <w:tcPr>
            <w:tcW w:w="1390" w:type="dxa"/>
            <w:tcBorders>
              <w:top w:val="single" w:color="auto" w:sz="4" w:space="0"/>
              <w:left w:val="single" w:color="auto" w:sz="4" w:space="0"/>
              <w:bottom w:val="single" w:color="auto" w:sz="4" w:space="0"/>
              <w:right w:val="single" w:color="auto" w:sz="4" w:space="0"/>
            </w:tcBorders>
            <w:noWrap w:val="0"/>
            <w:vAlign w:val="center"/>
          </w:tcPr>
          <w:p w14:paraId="6FDC41DE">
            <w:pPr>
              <w:rPr>
                <w:rFonts w:hint="eastAsia" w:asciiTheme="minorEastAsia" w:hAnsiTheme="minorEastAsia" w:eastAsiaTheme="minorEastAsia" w:cstheme="minorEastAsia"/>
                <w:color w:val="000000"/>
                <w:sz w:val="21"/>
                <w:szCs w:val="21"/>
              </w:rPr>
            </w:pPr>
          </w:p>
        </w:tc>
      </w:tr>
      <w:tr w14:paraId="46C5CD3B">
        <w:tblPrEx>
          <w:tblCellMar>
            <w:top w:w="15" w:type="dxa"/>
            <w:left w:w="15" w:type="dxa"/>
            <w:bottom w:w="15" w:type="dxa"/>
            <w:right w:w="15" w:type="dxa"/>
          </w:tblCellMar>
        </w:tblPrEx>
        <w:trPr>
          <w:trHeight w:val="863" w:hRule="atLeast"/>
          <w:jc w:val="center"/>
        </w:trPr>
        <w:tc>
          <w:tcPr>
            <w:tcW w:w="1009" w:type="dxa"/>
            <w:tcBorders>
              <w:top w:val="single" w:color="auto" w:sz="4" w:space="0"/>
              <w:left w:val="single" w:color="000000" w:sz="4" w:space="0"/>
              <w:bottom w:val="single" w:color="000000" w:sz="4" w:space="0"/>
              <w:right w:val="single" w:color="000000" w:sz="4" w:space="0"/>
            </w:tcBorders>
            <w:noWrap w:val="0"/>
            <w:vAlign w:val="center"/>
          </w:tcPr>
          <w:p w14:paraId="686C1842">
            <w:pPr>
              <w:jc w:val="center"/>
              <w:rPr>
                <w:rFonts w:hint="eastAsia" w:asciiTheme="minorEastAsia" w:hAnsiTheme="minorEastAsia" w:eastAsiaTheme="minorEastAsia" w:cstheme="minorEastAsia"/>
                <w:color w:val="000000"/>
                <w:sz w:val="21"/>
                <w:szCs w:val="21"/>
              </w:rPr>
            </w:pPr>
          </w:p>
        </w:tc>
        <w:tc>
          <w:tcPr>
            <w:tcW w:w="2160" w:type="dxa"/>
            <w:tcBorders>
              <w:top w:val="single" w:color="auto" w:sz="4" w:space="0"/>
              <w:left w:val="single" w:color="000000" w:sz="4" w:space="0"/>
              <w:bottom w:val="single" w:color="000000" w:sz="4" w:space="0"/>
              <w:right w:val="single" w:color="000000" w:sz="4" w:space="0"/>
            </w:tcBorders>
            <w:noWrap w:val="0"/>
            <w:vAlign w:val="center"/>
          </w:tcPr>
          <w:p w14:paraId="1FA3E231">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低压配电箱</w:t>
            </w:r>
          </w:p>
        </w:tc>
        <w:tc>
          <w:tcPr>
            <w:tcW w:w="4957" w:type="dxa"/>
            <w:tcBorders>
              <w:top w:val="single" w:color="auto" w:sz="4" w:space="0"/>
              <w:left w:val="single" w:color="000000" w:sz="4" w:space="0"/>
              <w:bottom w:val="single" w:color="000000" w:sz="4" w:space="0"/>
              <w:right w:val="single" w:color="000000" w:sz="4" w:space="0"/>
            </w:tcBorders>
            <w:noWrap w:val="0"/>
            <w:vAlign w:val="center"/>
          </w:tcPr>
          <w:p w14:paraId="41ECE57F">
            <w:pPr>
              <w:widowControl/>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总进线开关分、合是否正常，检查一、二次接线是否有发热、烧焦现象。封堵柜内孔洞。检查柜门、锁有无损坏，柜门开、闭是否正常。清扫柜内积尘、蜘蛛网等。</w:t>
            </w:r>
          </w:p>
        </w:tc>
        <w:tc>
          <w:tcPr>
            <w:tcW w:w="1390" w:type="dxa"/>
            <w:tcBorders>
              <w:top w:val="single" w:color="auto" w:sz="4" w:space="0"/>
              <w:left w:val="single" w:color="000000" w:sz="4" w:space="0"/>
              <w:bottom w:val="single" w:color="000000" w:sz="4" w:space="0"/>
              <w:right w:val="single" w:color="000000" w:sz="4" w:space="0"/>
            </w:tcBorders>
            <w:noWrap w:val="0"/>
            <w:vAlign w:val="center"/>
          </w:tcPr>
          <w:p w14:paraId="23E935B6">
            <w:pPr>
              <w:rPr>
                <w:rFonts w:hint="eastAsia" w:asciiTheme="minorEastAsia" w:hAnsiTheme="minorEastAsia" w:eastAsiaTheme="minorEastAsia" w:cstheme="minorEastAsia"/>
                <w:color w:val="000000"/>
                <w:sz w:val="21"/>
                <w:szCs w:val="21"/>
              </w:rPr>
            </w:pPr>
          </w:p>
        </w:tc>
      </w:tr>
    </w:tbl>
    <w:p w14:paraId="3032F109">
      <w:pPr>
        <w:pStyle w:val="21"/>
        <w:rPr>
          <w:rFonts w:hint="eastAsia" w:asciiTheme="minorEastAsia" w:hAnsiTheme="minorEastAsia" w:eastAsiaTheme="minorEastAsia" w:cstheme="minorEastAsia"/>
          <w:szCs w:val="21"/>
        </w:rPr>
      </w:pPr>
    </w:p>
    <w:p w14:paraId="0F644C5B">
      <w:pPr>
        <w:jc w:val="both"/>
        <w:rPr>
          <w:rFonts w:hint="eastAsia" w:asciiTheme="minorEastAsia" w:hAnsiTheme="minorEastAsia" w:eastAsiaTheme="minorEastAsia" w:cstheme="minorEastAsia"/>
          <w:b w:val="0"/>
          <w:bCs w:val="0"/>
          <w:sz w:val="21"/>
          <w:szCs w:val="21"/>
        </w:rPr>
      </w:pPr>
    </w:p>
    <w:p w14:paraId="5BE21A6F">
      <w:pPr>
        <w:jc w:val="both"/>
        <w:rPr>
          <w:rFonts w:hint="eastAsia" w:asciiTheme="minorEastAsia" w:hAnsiTheme="minorEastAsia" w:eastAsiaTheme="minorEastAsia" w:cstheme="minorEastAsia"/>
          <w:b w:val="0"/>
          <w:bCs w:val="0"/>
          <w:sz w:val="21"/>
          <w:szCs w:val="21"/>
        </w:rPr>
      </w:pPr>
    </w:p>
    <w:p w14:paraId="07EA52A0">
      <w:pPr>
        <w:jc w:val="both"/>
        <w:rPr>
          <w:rFonts w:hint="eastAsia" w:asciiTheme="minorEastAsia" w:hAnsiTheme="minorEastAsia" w:eastAsiaTheme="minorEastAsia" w:cstheme="minorEastAsia"/>
          <w:b w:val="0"/>
          <w:bCs w:val="0"/>
          <w:sz w:val="21"/>
          <w:szCs w:val="21"/>
        </w:rPr>
      </w:pPr>
    </w:p>
    <w:p w14:paraId="10EC8A27">
      <w:pPr>
        <w:jc w:val="both"/>
        <w:rPr>
          <w:rFonts w:hint="eastAsia" w:asciiTheme="minorEastAsia" w:hAnsiTheme="minorEastAsia" w:eastAsiaTheme="minorEastAsia" w:cstheme="minorEastAsia"/>
          <w:b w:val="0"/>
          <w:bCs w:val="0"/>
          <w:sz w:val="21"/>
          <w:szCs w:val="21"/>
        </w:rPr>
      </w:pPr>
    </w:p>
    <w:p w14:paraId="64420A51">
      <w:pPr>
        <w:jc w:val="both"/>
        <w:rPr>
          <w:rFonts w:hint="eastAsia" w:asciiTheme="minorEastAsia" w:hAnsiTheme="minorEastAsia" w:eastAsiaTheme="minorEastAsia" w:cstheme="minorEastAsia"/>
          <w:b w:val="0"/>
          <w:bCs w:val="0"/>
          <w:sz w:val="21"/>
          <w:szCs w:val="21"/>
        </w:rPr>
      </w:pPr>
    </w:p>
    <w:p w14:paraId="410EA92D">
      <w:pPr>
        <w:jc w:val="both"/>
        <w:rPr>
          <w:rFonts w:hint="eastAsia" w:asciiTheme="minorEastAsia" w:hAnsiTheme="minorEastAsia" w:eastAsiaTheme="minorEastAsia" w:cstheme="minorEastAsia"/>
          <w:b w:val="0"/>
          <w:bCs w:val="0"/>
          <w:sz w:val="21"/>
          <w:szCs w:val="21"/>
        </w:rPr>
      </w:pPr>
    </w:p>
    <w:p w14:paraId="2A7BBA51">
      <w:pPr>
        <w:jc w:val="both"/>
        <w:rPr>
          <w:rFonts w:hint="eastAsia" w:asciiTheme="minorEastAsia" w:hAnsiTheme="minorEastAsia" w:eastAsiaTheme="minorEastAsia" w:cstheme="minorEastAsia"/>
          <w:b w:val="0"/>
          <w:bCs w:val="0"/>
          <w:sz w:val="21"/>
          <w:szCs w:val="21"/>
        </w:rPr>
      </w:pPr>
    </w:p>
    <w:p w14:paraId="4CD957AB">
      <w:pPr>
        <w:jc w:val="both"/>
        <w:rPr>
          <w:rFonts w:hint="eastAsia" w:asciiTheme="minorEastAsia" w:hAnsiTheme="minorEastAsia" w:eastAsiaTheme="minorEastAsia" w:cstheme="minorEastAsia"/>
          <w:b w:val="0"/>
          <w:bCs w:val="0"/>
          <w:sz w:val="21"/>
          <w:szCs w:val="21"/>
        </w:rPr>
      </w:pPr>
    </w:p>
    <w:p w14:paraId="28438916">
      <w:pPr>
        <w:jc w:val="both"/>
        <w:rPr>
          <w:rFonts w:hint="eastAsia" w:asciiTheme="minorEastAsia" w:hAnsiTheme="minorEastAsia" w:eastAsiaTheme="minorEastAsia" w:cstheme="minorEastAsia"/>
          <w:b w:val="0"/>
          <w:bCs w:val="0"/>
          <w:sz w:val="21"/>
          <w:szCs w:val="21"/>
        </w:rPr>
      </w:pPr>
    </w:p>
    <w:p w14:paraId="6E089A93">
      <w:pPr>
        <w:jc w:val="both"/>
        <w:rPr>
          <w:rFonts w:hint="eastAsia" w:asciiTheme="minorEastAsia" w:hAnsiTheme="minorEastAsia" w:eastAsiaTheme="minorEastAsia" w:cstheme="minorEastAsia"/>
          <w:b w:val="0"/>
          <w:bCs w:val="0"/>
          <w:sz w:val="21"/>
          <w:szCs w:val="21"/>
        </w:rPr>
      </w:pPr>
    </w:p>
    <w:p w14:paraId="3EE5E5D9">
      <w:pPr>
        <w:jc w:val="both"/>
        <w:rPr>
          <w:rFonts w:hint="eastAsia" w:asciiTheme="minorEastAsia" w:hAnsiTheme="minorEastAsia" w:eastAsiaTheme="minorEastAsia" w:cstheme="minorEastAsia"/>
          <w:b w:val="0"/>
          <w:bCs w:val="0"/>
          <w:sz w:val="21"/>
          <w:szCs w:val="21"/>
        </w:rPr>
      </w:pPr>
    </w:p>
    <w:p w14:paraId="0EC818D7">
      <w:pPr>
        <w:jc w:val="both"/>
        <w:rPr>
          <w:rFonts w:hint="eastAsia" w:asciiTheme="minorEastAsia" w:hAnsiTheme="minorEastAsia" w:eastAsiaTheme="minorEastAsia" w:cstheme="minorEastAsia"/>
          <w:b w:val="0"/>
          <w:bCs w:val="0"/>
          <w:sz w:val="21"/>
          <w:szCs w:val="21"/>
        </w:rPr>
      </w:pPr>
    </w:p>
    <w:p w14:paraId="4CB29AD1">
      <w:pPr>
        <w:jc w:val="both"/>
        <w:rPr>
          <w:rFonts w:hint="eastAsia" w:asciiTheme="minorEastAsia" w:hAnsiTheme="minorEastAsia" w:eastAsiaTheme="minorEastAsia" w:cstheme="minorEastAsia"/>
          <w:b w:val="0"/>
          <w:bCs w:val="0"/>
          <w:sz w:val="21"/>
          <w:szCs w:val="21"/>
        </w:rPr>
      </w:pPr>
    </w:p>
    <w:p w14:paraId="7E1896E9">
      <w:pPr>
        <w:jc w:val="both"/>
        <w:rPr>
          <w:rFonts w:hint="eastAsia" w:asciiTheme="minorEastAsia" w:hAnsiTheme="minorEastAsia" w:eastAsiaTheme="minorEastAsia" w:cstheme="minorEastAsia"/>
          <w:b w:val="0"/>
          <w:bCs w:val="0"/>
          <w:sz w:val="21"/>
          <w:szCs w:val="21"/>
        </w:rPr>
      </w:pPr>
    </w:p>
    <w:p w14:paraId="5BD23D06">
      <w:pPr>
        <w:jc w:val="both"/>
        <w:rPr>
          <w:rFonts w:hint="eastAsia" w:asciiTheme="minorEastAsia" w:hAnsiTheme="minorEastAsia" w:eastAsiaTheme="minorEastAsia" w:cstheme="minorEastAsia"/>
          <w:b w:val="0"/>
          <w:bCs w:val="0"/>
          <w:sz w:val="21"/>
          <w:szCs w:val="21"/>
        </w:rPr>
      </w:pPr>
    </w:p>
    <w:p w14:paraId="67C0B869">
      <w:pPr>
        <w:jc w:val="both"/>
        <w:rPr>
          <w:rFonts w:hint="eastAsia" w:asciiTheme="minorEastAsia" w:hAnsiTheme="minorEastAsia" w:eastAsiaTheme="minorEastAsia" w:cstheme="minorEastAsia"/>
          <w:b w:val="0"/>
          <w:bCs w:val="0"/>
          <w:sz w:val="21"/>
          <w:szCs w:val="21"/>
        </w:rPr>
      </w:pPr>
    </w:p>
    <w:p w14:paraId="66C209AD">
      <w:pPr>
        <w:jc w:val="both"/>
        <w:rPr>
          <w:rFonts w:hint="eastAsia" w:asciiTheme="minorEastAsia" w:hAnsiTheme="minorEastAsia" w:eastAsiaTheme="minorEastAsia" w:cstheme="minorEastAsia"/>
          <w:b w:val="0"/>
          <w:bCs w:val="0"/>
          <w:sz w:val="21"/>
          <w:szCs w:val="21"/>
        </w:rPr>
      </w:pPr>
    </w:p>
    <w:p w14:paraId="57845DCC">
      <w:pPr>
        <w:jc w:val="both"/>
        <w:rPr>
          <w:rFonts w:hint="eastAsia" w:asciiTheme="minorEastAsia" w:hAnsiTheme="minorEastAsia" w:eastAsiaTheme="minorEastAsia" w:cstheme="minorEastAsia"/>
          <w:b w:val="0"/>
          <w:bCs w:val="0"/>
          <w:sz w:val="21"/>
          <w:szCs w:val="21"/>
        </w:rPr>
      </w:pPr>
    </w:p>
    <w:p w14:paraId="2115CD5B">
      <w:pPr>
        <w:jc w:val="both"/>
        <w:rPr>
          <w:rFonts w:hint="eastAsia" w:asciiTheme="minorEastAsia" w:hAnsiTheme="minorEastAsia" w:eastAsiaTheme="minorEastAsia" w:cstheme="minorEastAsia"/>
          <w:b w:val="0"/>
          <w:bCs w:val="0"/>
          <w:sz w:val="21"/>
          <w:szCs w:val="21"/>
        </w:rPr>
      </w:pPr>
    </w:p>
    <w:p w14:paraId="549C89EC">
      <w:pPr>
        <w:jc w:val="both"/>
        <w:rPr>
          <w:rFonts w:hint="eastAsia" w:asciiTheme="minorEastAsia" w:hAnsiTheme="minorEastAsia" w:eastAsiaTheme="minorEastAsia" w:cstheme="minorEastAsia"/>
          <w:b w:val="0"/>
          <w:bCs w:val="0"/>
          <w:sz w:val="21"/>
          <w:szCs w:val="21"/>
        </w:rPr>
      </w:pPr>
    </w:p>
    <w:p w14:paraId="0827AB92">
      <w:pPr>
        <w:jc w:val="both"/>
        <w:rPr>
          <w:rFonts w:hint="eastAsia" w:asciiTheme="minorEastAsia" w:hAnsiTheme="minorEastAsia" w:eastAsiaTheme="minorEastAsia" w:cstheme="minorEastAsia"/>
          <w:b w:val="0"/>
          <w:bCs w:val="0"/>
          <w:sz w:val="21"/>
          <w:szCs w:val="21"/>
        </w:rPr>
      </w:pPr>
    </w:p>
    <w:p w14:paraId="0EF1BC65">
      <w:pPr>
        <w:jc w:val="both"/>
        <w:rPr>
          <w:rFonts w:hint="eastAsia" w:asciiTheme="minorEastAsia" w:hAnsiTheme="minorEastAsia" w:eastAsiaTheme="minorEastAsia" w:cstheme="minorEastAsia"/>
          <w:b w:val="0"/>
          <w:bCs w:val="0"/>
          <w:sz w:val="21"/>
          <w:szCs w:val="21"/>
        </w:rPr>
      </w:pPr>
    </w:p>
    <w:p w14:paraId="3E62274D">
      <w:pPr>
        <w:jc w:val="both"/>
        <w:rPr>
          <w:rFonts w:hint="eastAsia" w:asciiTheme="minorEastAsia" w:hAnsiTheme="minorEastAsia" w:eastAsiaTheme="minorEastAsia" w:cstheme="minorEastAsia"/>
          <w:b w:val="0"/>
          <w:bCs w:val="0"/>
          <w:sz w:val="21"/>
          <w:szCs w:val="21"/>
        </w:rPr>
      </w:pPr>
    </w:p>
    <w:p w14:paraId="313CCC79">
      <w:pPr>
        <w:jc w:val="both"/>
        <w:rPr>
          <w:rFonts w:hint="eastAsia" w:asciiTheme="minorEastAsia" w:hAnsiTheme="minorEastAsia" w:eastAsiaTheme="minorEastAsia" w:cstheme="minorEastAsia"/>
          <w:b w:val="0"/>
          <w:bCs w:val="0"/>
          <w:sz w:val="21"/>
          <w:szCs w:val="21"/>
        </w:rPr>
      </w:pPr>
    </w:p>
    <w:p w14:paraId="5E646684">
      <w:pPr>
        <w:jc w:val="both"/>
        <w:rPr>
          <w:rFonts w:hint="eastAsia" w:asciiTheme="minorEastAsia" w:hAnsiTheme="minorEastAsia" w:eastAsiaTheme="minorEastAsia" w:cstheme="minorEastAsia"/>
          <w:b w:val="0"/>
          <w:bCs w:val="0"/>
          <w:sz w:val="21"/>
          <w:szCs w:val="21"/>
        </w:rPr>
      </w:pPr>
    </w:p>
    <w:p w14:paraId="6D6364D1">
      <w:pPr>
        <w:jc w:val="both"/>
        <w:rPr>
          <w:rFonts w:hint="eastAsia" w:asciiTheme="minorEastAsia" w:hAnsiTheme="minorEastAsia" w:eastAsiaTheme="minorEastAsia" w:cstheme="minorEastAsia"/>
          <w:b w:val="0"/>
          <w:bCs w:val="0"/>
          <w:sz w:val="21"/>
          <w:szCs w:val="21"/>
        </w:rPr>
      </w:pPr>
    </w:p>
    <w:p w14:paraId="428802A2">
      <w:pPr>
        <w:jc w:val="both"/>
        <w:rPr>
          <w:rFonts w:hint="eastAsia" w:asciiTheme="minorEastAsia" w:hAnsiTheme="minorEastAsia" w:eastAsiaTheme="minorEastAsia" w:cstheme="minorEastAsia"/>
          <w:b w:val="0"/>
          <w:bCs w:val="0"/>
          <w:sz w:val="21"/>
          <w:szCs w:val="21"/>
        </w:rPr>
      </w:pPr>
    </w:p>
    <w:p w14:paraId="660C464F">
      <w:pPr>
        <w:jc w:val="both"/>
        <w:rPr>
          <w:rFonts w:hint="eastAsia" w:asciiTheme="minorEastAsia" w:hAnsiTheme="minorEastAsia" w:eastAsiaTheme="minorEastAsia" w:cstheme="minorEastAsia"/>
          <w:b w:val="0"/>
          <w:bCs w:val="0"/>
          <w:sz w:val="21"/>
          <w:szCs w:val="21"/>
        </w:rPr>
      </w:pPr>
    </w:p>
    <w:p w14:paraId="59DAEC34">
      <w:pPr>
        <w:jc w:val="both"/>
        <w:rPr>
          <w:rFonts w:hint="eastAsia" w:asciiTheme="minorEastAsia" w:hAnsiTheme="minorEastAsia" w:eastAsiaTheme="minorEastAsia" w:cstheme="minorEastAsia"/>
          <w:b w:val="0"/>
          <w:bCs w:val="0"/>
          <w:sz w:val="21"/>
          <w:szCs w:val="21"/>
        </w:rPr>
      </w:pPr>
    </w:p>
    <w:p w14:paraId="0042A4CF">
      <w:pPr>
        <w:jc w:val="both"/>
        <w:rPr>
          <w:rFonts w:hint="eastAsia" w:asciiTheme="minorEastAsia" w:hAnsiTheme="minorEastAsia" w:eastAsiaTheme="minorEastAsia" w:cstheme="minorEastAsia"/>
          <w:b w:val="0"/>
          <w:bCs w:val="0"/>
          <w:sz w:val="21"/>
          <w:szCs w:val="21"/>
        </w:rPr>
      </w:pPr>
    </w:p>
    <w:p w14:paraId="66A6E24F">
      <w:pPr>
        <w:jc w:val="both"/>
        <w:rPr>
          <w:rFonts w:hint="eastAsia" w:asciiTheme="minorEastAsia" w:hAnsiTheme="minorEastAsia" w:eastAsiaTheme="minorEastAsia" w:cstheme="minorEastAsia"/>
          <w:b w:val="0"/>
          <w:bCs w:val="0"/>
          <w:sz w:val="21"/>
          <w:szCs w:val="21"/>
        </w:rPr>
      </w:pPr>
    </w:p>
    <w:p w14:paraId="6699673D">
      <w:pPr>
        <w:jc w:val="both"/>
        <w:rPr>
          <w:rFonts w:hint="eastAsia" w:asciiTheme="minorEastAsia" w:hAnsiTheme="minorEastAsia" w:eastAsiaTheme="minorEastAsia" w:cstheme="minorEastAsia"/>
          <w:b w:val="0"/>
          <w:bCs w:val="0"/>
          <w:sz w:val="21"/>
          <w:szCs w:val="21"/>
        </w:rPr>
      </w:pPr>
    </w:p>
    <w:p w14:paraId="76C3BFE4">
      <w:pPr>
        <w:jc w:val="both"/>
        <w:rPr>
          <w:rFonts w:hint="eastAsia" w:asciiTheme="minorEastAsia" w:hAnsiTheme="minorEastAsia" w:eastAsiaTheme="minorEastAsia" w:cstheme="minorEastAsia"/>
          <w:b w:val="0"/>
          <w:bCs w:val="0"/>
          <w:sz w:val="21"/>
          <w:szCs w:val="21"/>
        </w:rPr>
      </w:pPr>
    </w:p>
    <w:p w14:paraId="330D875D">
      <w:pPr>
        <w:jc w:val="both"/>
        <w:rPr>
          <w:rFonts w:hint="eastAsia" w:asciiTheme="minorEastAsia" w:hAnsiTheme="minorEastAsia" w:eastAsiaTheme="minorEastAsia" w:cstheme="minorEastAsia"/>
          <w:b w:val="0"/>
          <w:bCs w:val="0"/>
          <w:sz w:val="21"/>
          <w:szCs w:val="21"/>
        </w:rPr>
      </w:pPr>
    </w:p>
    <w:p w14:paraId="381F62DD">
      <w:pPr>
        <w:jc w:val="both"/>
        <w:rPr>
          <w:rFonts w:hint="eastAsia" w:asciiTheme="minorEastAsia" w:hAnsiTheme="minorEastAsia" w:eastAsiaTheme="minorEastAsia" w:cstheme="minorEastAsia"/>
          <w:b w:val="0"/>
          <w:bCs w:val="0"/>
          <w:sz w:val="21"/>
          <w:szCs w:val="21"/>
        </w:rPr>
      </w:pPr>
    </w:p>
    <w:p w14:paraId="0F09F594">
      <w:pPr>
        <w:jc w:val="both"/>
        <w:rPr>
          <w:rFonts w:hint="eastAsia" w:asciiTheme="minorEastAsia" w:hAnsiTheme="minorEastAsia" w:eastAsiaTheme="minorEastAsia" w:cstheme="minorEastAsia"/>
          <w:b w:val="0"/>
          <w:bCs w:val="0"/>
          <w:sz w:val="21"/>
          <w:szCs w:val="21"/>
        </w:rPr>
      </w:pPr>
    </w:p>
    <w:p w14:paraId="6679680D">
      <w:pPr>
        <w:jc w:val="both"/>
        <w:rPr>
          <w:rFonts w:hint="eastAsia" w:asciiTheme="minorEastAsia" w:hAnsiTheme="minorEastAsia" w:eastAsiaTheme="minorEastAsia" w:cstheme="minorEastAsia"/>
          <w:b w:val="0"/>
          <w:bCs w:val="0"/>
          <w:sz w:val="21"/>
          <w:szCs w:val="21"/>
        </w:rPr>
      </w:pPr>
    </w:p>
    <w:p w14:paraId="00384AC0">
      <w:pPr>
        <w:jc w:val="both"/>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val="0"/>
          <w:bCs w:val="0"/>
          <w:sz w:val="21"/>
          <w:szCs w:val="21"/>
        </w:rPr>
        <w:t>附</w:t>
      </w:r>
      <w:r>
        <w:rPr>
          <w:rFonts w:hint="eastAsia" w:asciiTheme="minorEastAsia" w:hAnsiTheme="minorEastAsia" w:eastAsiaTheme="minorEastAsia" w:cstheme="minorEastAsia"/>
          <w:b w:val="0"/>
          <w:bCs w:val="0"/>
          <w:sz w:val="21"/>
          <w:szCs w:val="21"/>
          <w:lang w:eastAsia="zh-CN"/>
        </w:rPr>
        <w:t>件</w:t>
      </w:r>
      <w:r>
        <w:rPr>
          <w:rFonts w:hint="eastAsia" w:asciiTheme="minorEastAsia" w:hAnsiTheme="minorEastAsia" w:eastAsiaTheme="minorEastAsia" w:cstheme="minorEastAsia"/>
          <w:b w:val="0"/>
          <w:bCs w:val="0"/>
          <w:sz w:val="21"/>
          <w:szCs w:val="21"/>
          <w:lang w:val="en-US" w:eastAsia="zh-CN"/>
        </w:rPr>
        <w:t>二</w:t>
      </w:r>
      <w:r>
        <w:rPr>
          <w:rFonts w:hint="eastAsia" w:asciiTheme="minorEastAsia" w:hAnsiTheme="minorEastAsia" w:eastAsiaTheme="minorEastAsia" w:cstheme="minorEastAsia"/>
          <w:b w:val="0"/>
          <w:bCs w:val="0"/>
          <w:sz w:val="21"/>
          <w:szCs w:val="21"/>
        </w:rPr>
        <w:t>：《</w:t>
      </w:r>
      <w:r>
        <w:rPr>
          <w:rFonts w:hint="eastAsia" w:asciiTheme="minorEastAsia" w:hAnsiTheme="minorEastAsia" w:eastAsiaTheme="minorEastAsia" w:cstheme="minorEastAsia"/>
          <w:b w:val="0"/>
          <w:bCs w:val="0"/>
          <w:sz w:val="21"/>
          <w:szCs w:val="21"/>
          <w:lang w:val="en-US" w:eastAsia="zh-CN"/>
        </w:rPr>
        <w:t>试验</w:t>
      </w:r>
      <w:r>
        <w:rPr>
          <w:rFonts w:hint="eastAsia" w:asciiTheme="minorEastAsia" w:hAnsiTheme="minorEastAsia" w:eastAsiaTheme="minorEastAsia" w:cstheme="minorEastAsia"/>
          <w:b w:val="0"/>
          <w:bCs w:val="0"/>
          <w:sz w:val="21"/>
          <w:szCs w:val="21"/>
        </w:rPr>
        <w:t>服务内容》</w:t>
      </w:r>
    </w:p>
    <w:tbl>
      <w:tblPr>
        <w:tblStyle w:val="23"/>
        <w:tblW w:w="98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20"/>
        <w:gridCol w:w="773"/>
        <w:gridCol w:w="1670"/>
        <w:gridCol w:w="5715"/>
      </w:tblGrid>
      <w:tr w14:paraId="57C13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1720" w:type="dxa"/>
            <w:noWrap w:val="0"/>
            <w:vAlign w:val="center"/>
          </w:tcPr>
          <w:p w14:paraId="787C645A">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被试设备</w:t>
            </w:r>
          </w:p>
        </w:tc>
        <w:tc>
          <w:tcPr>
            <w:tcW w:w="773" w:type="dxa"/>
            <w:noWrap w:val="0"/>
            <w:vAlign w:val="center"/>
          </w:tcPr>
          <w:p w14:paraId="6FB52ABE">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单位</w:t>
            </w:r>
          </w:p>
        </w:tc>
        <w:tc>
          <w:tcPr>
            <w:tcW w:w="1670" w:type="dxa"/>
            <w:noWrap w:val="0"/>
            <w:vAlign w:val="center"/>
          </w:tcPr>
          <w:p w14:paraId="1F191AD8">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试验项目</w:t>
            </w:r>
          </w:p>
        </w:tc>
        <w:tc>
          <w:tcPr>
            <w:tcW w:w="5715" w:type="dxa"/>
            <w:noWrap w:val="0"/>
            <w:vAlign w:val="center"/>
          </w:tcPr>
          <w:p w14:paraId="38B03890">
            <w:pPr>
              <w:widowControl/>
              <w:adjustRightInd w:val="0"/>
              <w:snapToGrid w:val="0"/>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试验目的</w:t>
            </w:r>
          </w:p>
        </w:tc>
      </w:tr>
      <w:tr w14:paraId="37FEB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1720" w:type="dxa"/>
            <w:vMerge w:val="restart"/>
            <w:noWrap w:val="0"/>
            <w:vAlign w:val="center"/>
          </w:tcPr>
          <w:p w14:paraId="0BD8B9AF">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变压器</w:t>
            </w:r>
          </w:p>
        </w:tc>
        <w:tc>
          <w:tcPr>
            <w:tcW w:w="773" w:type="dxa"/>
            <w:vMerge w:val="restart"/>
            <w:noWrap w:val="0"/>
            <w:vAlign w:val="center"/>
          </w:tcPr>
          <w:p w14:paraId="151B4609">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台</w:t>
            </w:r>
          </w:p>
        </w:tc>
        <w:tc>
          <w:tcPr>
            <w:tcW w:w="1670" w:type="dxa"/>
            <w:noWrap w:val="0"/>
            <w:vAlign w:val="center"/>
          </w:tcPr>
          <w:p w14:paraId="4B3C3A46">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绕组绝缘电阻</w:t>
            </w:r>
          </w:p>
        </w:tc>
        <w:tc>
          <w:tcPr>
            <w:tcW w:w="5715" w:type="dxa"/>
            <w:noWrap w:val="0"/>
            <w:vAlign w:val="center"/>
          </w:tcPr>
          <w:p w14:paraId="177CC2CD">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能有效地发现设备局部或整体受潮和脏污，以及绝缘击穿和严重过热考化等缺陷。</w:t>
            </w:r>
          </w:p>
        </w:tc>
      </w:tr>
      <w:tr w14:paraId="11352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7" w:hRule="atLeast"/>
          <w:jc w:val="center"/>
        </w:trPr>
        <w:tc>
          <w:tcPr>
            <w:tcW w:w="1720" w:type="dxa"/>
            <w:vMerge w:val="continue"/>
            <w:noWrap w:val="0"/>
            <w:vAlign w:val="center"/>
          </w:tcPr>
          <w:p w14:paraId="6CE9A688">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773" w:type="dxa"/>
            <w:vMerge w:val="continue"/>
            <w:noWrap w:val="0"/>
            <w:vAlign w:val="center"/>
          </w:tcPr>
          <w:p w14:paraId="51428E97">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1670" w:type="dxa"/>
            <w:noWrap w:val="0"/>
            <w:vAlign w:val="center"/>
          </w:tcPr>
          <w:p w14:paraId="6AC0B7DC">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绕组直流电阻</w:t>
            </w:r>
          </w:p>
        </w:tc>
        <w:tc>
          <w:tcPr>
            <w:tcW w:w="5715" w:type="dxa"/>
            <w:noWrap w:val="0"/>
            <w:vAlign w:val="top"/>
          </w:tcPr>
          <w:p w14:paraId="2779D6EA">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1、检查导电回路是否存在短路、开路或接错线；</w:t>
            </w:r>
          </w:p>
          <w:p w14:paraId="49880A9F">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2、检查绕组导线的焊接点、引线与套管的连接处是否良好，分接开关有无接触不良等；</w:t>
            </w:r>
          </w:p>
          <w:p w14:paraId="613B6B6F">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3、还可以核对绕组所用的导线规格是否符合设计要求。</w:t>
            </w:r>
          </w:p>
        </w:tc>
      </w:tr>
      <w:tr w14:paraId="34A52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jc w:val="center"/>
        </w:trPr>
        <w:tc>
          <w:tcPr>
            <w:tcW w:w="1720" w:type="dxa"/>
            <w:vMerge w:val="continue"/>
            <w:noWrap w:val="0"/>
            <w:vAlign w:val="center"/>
          </w:tcPr>
          <w:p w14:paraId="3793E536">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773" w:type="dxa"/>
            <w:vMerge w:val="continue"/>
            <w:noWrap w:val="0"/>
            <w:vAlign w:val="center"/>
          </w:tcPr>
          <w:p w14:paraId="42ABAFD6">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1670" w:type="dxa"/>
            <w:noWrap w:val="0"/>
            <w:vAlign w:val="center"/>
          </w:tcPr>
          <w:p w14:paraId="19F1B617">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交流耐压</w:t>
            </w:r>
          </w:p>
        </w:tc>
        <w:tc>
          <w:tcPr>
            <w:tcW w:w="5715" w:type="dxa"/>
            <w:noWrap w:val="0"/>
            <w:vAlign w:val="top"/>
          </w:tcPr>
          <w:p w14:paraId="6929A563">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鉴定电气设备绝缘强度最直接的方法，它对于判断电气设备能否投入运行具有决定性的意义，也是保证设备绝缘水平、避免发生绝缘事故的重要段。</w:t>
            </w:r>
          </w:p>
        </w:tc>
      </w:tr>
      <w:tr w14:paraId="36BDC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1720" w:type="dxa"/>
            <w:vMerge w:val="continue"/>
            <w:noWrap w:val="0"/>
            <w:vAlign w:val="center"/>
          </w:tcPr>
          <w:p w14:paraId="6F8997BF">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773" w:type="dxa"/>
            <w:vMerge w:val="continue"/>
            <w:noWrap w:val="0"/>
            <w:vAlign w:val="center"/>
          </w:tcPr>
          <w:p w14:paraId="7C67833E">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1670" w:type="dxa"/>
            <w:noWrap w:val="0"/>
            <w:vAlign w:val="center"/>
          </w:tcPr>
          <w:p w14:paraId="4E051833">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绝缘油</w:t>
            </w:r>
          </w:p>
        </w:tc>
        <w:tc>
          <w:tcPr>
            <w:tcW w:w="5715" w:type="dxa"/>
            <w:noWrap w:val="0"/>
            <w:vAlign w:val="center"/>
          </w:tcPr>
          <w:p w14:paraId="795E3E24">
            <w:pPr>
              <w:widowControl/>
              <w:adjustRightInd w:val="0"/>
              <w:snapToGrid w:val="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击穿电压不低于30kV。</w:t>
            </w:r>
          </w:p>
        </w:tc>
      </w:tr>
      <w:tr w14:paraId="674F6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1720" w:type="dxa"/>
            <w:vMerge w:val="restart"/>
            <w:noWrap w:val="0"/>
            <w:vAlign w:val="center"/>
          </w:tcPr>
          <w:p w14:paraId="459B3E45">
            <w:pPr>
              <w:widowControl/>
              <w:adjustRightInd w:val="0"/>
              <w:snapToGrid w:val="0"/>
              <w:spacing w:line="360" w:lineRule="auto"/>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负荷开关、 真空开关</w:t>
            </w:r>
          </w:p>
        </w:tc>
        <w:tc>
          <w:tcPr>
            <w:tcW w:w="773" w:type="dxa"/>
            <w:vMerge w:val="restart"/>
            <w:noWrap w:val="0"/>
            <w:vAlign w:val="center"/>
          </w:tcPr>
          <w:p w14:paraId="5B3F6360">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台</w:t>
            </w:r>
          </w:p>
        </w:tc>
        <w:tc>
          <w:tcPr>
            <w:tcW w:w="1670" w:type="dxa"/>
            <w:noWrap w:val="0"/>
            <w:vAlign w:val="center"/>
          </w:tcPr>
          <w:p w14:paraId="58611F09">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绝缘电阻</w:t>
            </w:r>
          </w:p>
        </w:tc>
        <w:tc>
          <w:tcPr>
            <w:tcW w:w="5715" w:type="dxa"/>
            <w:noWrap w:val="0"/>
            <w:vAlign w:val="center"/>
          </w:tcPr>
          <w:p w14:paraId="7B3F1786">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能有效地发现设备局部或整体受潮和脏污，以及绝缘击穿和严重过热老化等缺陷。</w:t>
            </w:r>
          </w:p>
        </w:tc>
      </w:tr>
      <w:tr w14:paraId="40908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2" w:hRule="atLeast"/>
          <w:jc w:val="center"/>
        </w:trPr>
        <w:tc>
          <w:tcPr>
            <w:tcW w:w="1720" w:type="dxa"/>
            <w:vMerge w:val="continue"/>
            <w:noWrap w:val="0"/>
            <w:vAlign w:val="center"/>
          </w:tcPr>
          <w:p w14:paraId="46C77388">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773" w:type="dxa"/>
            <w:vMerge w:val="continue"/>
            <w:noWrap w:val="0"/>
            <w:vAlign w:val="center"/>
          </w:tcPr>
          <w:p w14:paraId="6D6163AC">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1670" w:type="dxa"/>
            <w:noWrap w:val="0"/>
            <w:vAlign w:val="center"/>
          </w:tcPr>
          <w:p w14:paraId="7AE773D1">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导电回路、直流电阻</w:t>
            </w:r>
          </w:p>
        </w:tc>
        <w:tc>
          <w:tcPr>
            <w:tcW w:w="5715" w:type="dxa"/>
            <w:noWrap w:val="0"/>
            <w:vAlign w:val="center"/>
          </w:tcPr>
          <w:p w14:paraId="57D6527D">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主要取决于断路器的动、静触头间的接触电阻。接触电阻的存在，增加了导体在通电时的损耗，使接触处的温度升高，其值的大小直接影响正常工作时的载流能力，在一定程度上影响短路电流的切断能力。因此，断路器每相导电回路电阻值是断路器安装、检修和质量验收的一项重要数据。</w:t>
            </w:r>
          </w:p>
        </w:tc>
      </w:tr>
      <w:tr w14:paraId="29168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jc w:val="center"/>
        </w:trPr>
        <w:tc>
          <w:tcPr>
            <w:tcW w:w="1720" w:type="dxa"/>
            <w:vMerge w:val="continue"/>
            <w:noWrap w:val="0"/>
            <w:vAlign w:val="center"/>
          </w:tcPr>
          <w:p w14:paraId="329118AB">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773" w:type="dxa"/>
            <w:vMerge w:val="continue"/>
            <w:noWrap w:val="0"/>
            <w:vAlign w:val="center"/>
          </w:tcPr>
          <w:p w14:paraId="1A0E1ABD">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1670" w:type="dxa"/>
            <w:noWrap w:val="0"/>
            <w:vAlign w:val="center"/>
          </w:tcPr>
          <w:p w14:paraId="16A467A1">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交流耐压试验</w:t>
            </w:r>
          </w:p>
        </w:tc>
        <w:tc>
          <w:tcPr>
            <w:tcW w:w="5715" w:type="dxa"/>
            <w:noWrap w:val="0"/>
            <w:vAlign w:val="top"/>
          </w:tcPr>
          <w:p w14:paraId="49E2FB84">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鉴定电气设备绝缘强度最直接的方法，它对于判断电气设备能否投入运行具有决定性的意义，也是保证设备绝缘水平、避免发生绝缘事故的重要手段。</w:t>
            </w:r>
          </w:p>
        </w:tc>
      </w:tr>
      <w:tr w14:paraId="4FE93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jc w:val="center"/>
        </w:trPr>
        <w:tc>
          <w:tcPr>
            <w:tcW w:w="1720" w:type="dxa"/>
            <w:noWrap w:val="0"/>
            <w:vAlign w:val="center"/>
          </w:tcPr>
          <w:p w14:paraId="785FB5FA">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隔离开关</w:t>
            </w:r>
          </w:p>
        </w:tc>
        <w:tc>
          <w:tcPr>
            <w:tcW w:w="773" w:type="dxa"/>
            <w:noWrap w:val="0"/>
            <w:vAlign w:val="center"/>
          </w:tcPr>
          <w:p w14:paraId="78072651">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台</w:t>
            </w:r>
          </w:p>
        </w:tc>
        <w:tc>
          <w:tcPr>
            <w:tcW w:w="1670" w:type="dxa"/>
            <w:noWrap w:val="0"/>
            <w:vAlign w:val="center"/>
          </w:tcPr>
          <w:p w14:paraId="37AD4CA1">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有机材料支持绝缘子及提升杆的绝缘电阻</w:t>
            </w:r>
          </w:p>
        </w:tc>
        <w:tc>
          <w:tcPr>
            <w:tcW w:w="5715" w:type="dxa"/>
            <w:noWrap w:val="0"/>
            <w:vAlign w:val="center"/>
          </w:tcPr>
          <w:p w14:paraId="33EBAB0F">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能有效地发现设备局部或整体受潮和脏污，以及绝缘击穿和严重过热考化等缺陷。</w:t>
            </w:r>
          </w:p>
        </w:tc>
      </w:tr>
      <w:tr w14:paraId="059CF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jc w:val="center"/>
        </w:trPr>
        <w:tc>
          <w:tcPr>
            <w:tcW w:w="1720" w:type="dxa"/>
            <w:vMerge w:val="restart"/>
            <w:noWrap w:val="0"/>
            <w:vAlign w:val="center"/>
          </w:tcPr>
          <w:p w14:paraId="125DDE8B">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电力电缆</w:t>
            </w:r>
          </w:p>
        </w:tc>
        <w:tc>
          <w:tcPr>
            <w:tcW w:w="773" w:type="dxa"/>
            <w:vMerge w:val="restart"/>
            <w:noWrap w:val="0"/>
            <w:vAlign w:val="center"/>
          </w:tcPr>
          <w:p w14:paraId="00FD0704">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段</w:t>
            </w:r>
          </w:p>
        </w:tc>
        <w:tc>
          <w:tcPr>
            <w:tcW w:w="1670" w:type="dxa"/>
            <w:noWrap w:val="0"/>
            <w:vAlign w:val="center"/>
          </w:tcPr>
          <w:p w14:paraId="3EC1F50A">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外护套绝缘电阻</w:t>
            </w:r>
          </w:p>
        </w:tc>
        <w:tc>
          <w:tcPr>
            <w:tcW w:w="5715" w:type="dxa"/>
            <w:noWrap w:val="0"/>
            <w:vAlign w:val="top"/>
          </w:tcPr>
          <w:p w14:paraId="7FEE9698">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对橡塑绝缘电力电缆，通过电缆外护套和电缆内衬层绝缘电阻的测试，可判断外护套和内衬层是否进水。</w:t>
            </w:r>
          </w:p>
        </w:tc>
      </w:tr>
      <w:tr w14:paraId="43B3C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jc w:val="center"/>
        </w:trPr>
        <w:tc>
          <w:tcPr>
            <w:tcW w:w="1720" w:type="dxa"/>
            <w:vMerge w:val="continue"/>
            <w:noWrap w:val="0"/>
            <w:vAlign w:val="center"/>
          </w:tcPr>
          <w:p w14:paraId="3227B1D2">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773" w:type="dxa"/>
            <w:vMerge w:val="continue"/>
            <w:noWrap w:val="0"/>
            <w:vAlign w:val="center"/>
          </w:tcPr>
          <w:p w14:paraId="5ABE657D">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1670" w:type="dxa"/>
            <w:noWrap w:val="0"/>
            <w:vAlign w:val="center"/>
          </w:tcPr>
          <w:p w14:paraId="1D5B7C8C">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主绝缘的绝缘电阻</w:t>
            </w:r>
          </w:p>
        </w:tc>
        <w:tc>
          <w:tcPr>
            <w:tcW w:w="5715" w:type="dxa"/>
            <w:noWrap w:val="0"/>
            <w:vAlign w:val="center"/>
          </w:tcPr>
          <w:p w14:paraId="35866B86">
            <w:pPr>
              <w:widowControl/>
              <w:adjustRightInd w:val="0"/>
              <w:snapToGrid w:val="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通过对主绝缘绝缘电阻的测试可初步判断电缆绝缘是否受潮、老化、脏污及局部缺陷，并可检查由耐压试验检出的缺陷的性质。</w:t>
            </w:r>
          </w:p>
        </w:tc>
      </w:tr>
      <w:tr w14:paraId="6F2CF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20" w:type="dxa"/>
            <w:vMerge w:val="restart"/>
            <w:noWrap w:val="0"/>
            <w:vAlign w:val="center"/>
          </w:tcPr>
          <w:p w14:paraId="564706BD">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继电保护装置调试</w:t>
            </w:r>
          </w:p>
        </w:tc>
        <w:tc>
          <w:tcPr>
            <w:tcW w:w="773" w:type="dxa"/>
            <w:vMerge w:val="restart"/>
            <w:noWrap w:val="0"/>
            <w:vAlign w:val="center"/>
          </w:tcPr>
          <w:p w14:paraId="771FBDDB">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台</w:t>
            </w:r>
          </w:p>
        </w:tc>
        <w:tc>
          <w:tcPr>
            <w:tcW w:w="1670" w:type="dxa"/>
            <w:noWrap w:val="0"/>
            <w:vAlign w:val="center"/>
          </w:tcPr>
          <w:p w14:paraId="00A2AAA8">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外观检查</w:t>
            </w:r>
          </w:p>
        </w:tc>
        <w:tc>
          <w:tcPr>
            <w:tcW w:w="5715" w:type="dxa"/>
            <w:noWrap w:val="0"/>
            <w:vAlign w:val="top"/>
          </w:tcPr>
          <w:p w14:paraId="56041952">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检查装置的型号、数量、安装位置等情况是否符合技术规范，并检查确保所有紧固件连接牢固，可运动部件按设计要求运动自如、可靠，不存在影响运动性能的松动。</w:t>
            </w:r>
          </w:p>
        </w:tc>
      </w:tr>
      <w:tr w14:paraId="5BD1C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1720" w:type="dxa"/>
            <w:vMerge w:val="continue"/>
            <w:noWrap w:val="0"/>
            <w:vAlign w:val="center"/>
          </w:tcPr>
          <w:p w14:paraId="6CFCA4EB">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773" w:type="dxa"/>
            <w:vMerge w:val="continue"/>
            <w:noWrap w:val="0"/>
            <w:vAlign w:val="center"/>
          </w:tcPr>
          <w:p w14:paraId="77945E46">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1670" w:type="dxa"/>
            <w:noWrap w:val="0"/>
            <w:vAlign w:val="center"/>
          </w:tcPr>
          <w:p w14:paraId="7450A368">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装置检验</w:t>
            </w:r>
          </w:p>
        </w:tc>
        <w:tc>
          <w:tcPr>
            <w:tcW w:w="5715" w:type="dxa"/>
            <w:noWrap w:val="0"/>
            <w:vAlign w:val="top"/>
          </w:tcPr>
          <w:p w14:paraId="443E2674">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通过检查确认装置能正常工作，且装置整定的动作值等按照定值通知单校验后，符合相关的技术规范。</w:t>
            </w:r>
          </w:p>
        </w:tc>
      </w:tr>
      <w:tr w14:paraId="1D4FC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1720" w:type="dxa"/>
            <w:vMerge w:val="continue"/>
            <w:noWrap w:val="0"/>
            <w:vAlign w:val="center"/>
          </w:tcPr>
          <w:p w14:paraId="1D16AF51">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773" w:type="dxa"/>
            <w:vMerge w:val="continue"/>
            <w:noWrap w:val="0"/>
            <w:vAlign w:val="center"/>
          </w:tcPr>
          <w:p w14:paraId="38F9D749">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p>
        </w:tc>
        <w:tc>
          <w:tcPr>
            <w:tcW w:w="1670" w:type="dxa"/>
            <w:noWrap w:val="0"/>
            <w:vAlign w:val="center"/>
          </w:tcPr>
          <w:p w14:paraId="4E4FDD73">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整组试验</w:t>
            </w:r>
          </w:p>
        </w:tc>
        <w:tc>
          <w:tcPr>
            <w:tcW w:w="5715" w:type="dxa"/>
            <w:noWrap w:val="0"/>
            <w:vAlign w:val="top"/>
          </w:tcPr>
          <w:p w14:paraId="15343E87">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校验各装置在故障及重合闸过程中的动作情况及保护回路设计正确性及其调试质量。</w:t>
            </w:r>
          </w:p>
        </w:tc>
      </w:tr>
      <w:tr w14:paraId="5EF24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1720" w:type="dxa"/>
            <w:noWrap w:val="0"/>
            <w:vAlign w:val="center"/>
          </w:tcPr>
          <w:p w14:paraId="4FE94D8A">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绝缘靴</w:t>
            </w:r>
          </w:p>
        </w:tc>
        <w:tc>
          <w:tcPr>
            <w:tcW w:w="773" w:type="dxa"/>
            <w:noWrap w:val="0"/>
            <w:vAlign w:val="center"/>
          </w:tcPr>
          <w:p w14:paraId="3BB27CD2">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双</w:t>
            </w:r>
          </w:p>
        </w:tc>
        <w:tc>
          <w:tcPr>
            <w:tcW w:w="1670" w:type="dxa"/>
            <w:noWrap w:val="0"/>
            <w:vAlign w:val="center"/>
          </w:tcPr>
          <w:p w14:paraId="4094E393">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工频耐压试验</w:t>
            </w:r>
          </w:p>
        </w:tc>
        <w:tc>
          <w:tcPr>
            <w:tcW w:w="5715" w:type="dxa"/>
            <w:noWrap w:val="0"/>
            <w:vAlign w:val="center"/>
          </w:tcPr>
          <w:p w14:paraId="21866D18">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无电晕发生、无闪络、无击穿、无明显发热。</w:t>
            </w:r>
          </w:p>
        </w:tc>
      </w:tr>
      <w:tr w14:paraId="5AD3E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1720" w:type="dxa"/>
            <w:noWrap w:val="0"/>
            <w:vAlign w:val="center"/>
          </w:tcPr>
          <w:p w14:paraId="396BD088">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绝缘手套</w:t>
            </w:r>
          </w:p>
        </w:tc>
        <w:tc>
          <w:tcPr>
            <w:tcW w:w="773" w:type="dxa"/>
            <w:noWrap w:val="0"/>
            <w:vAlign w:val="center"/>
          </w:tcPr>
          <w:p w14:paraId="2A48B100">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双</w:t>
            </w:r>
          </w:p>
        </w:tc>
        <w:tc>
          <w:tcPr>
            <w:tcW w:w="1670" w:type="dxa"/>
            <w:noWrap w:val="0"/>
            <w:vAlign w:val="center"/>
          </w:tcPr>
          <w:p w14:paraId="34668850">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工频耐压试验</w:t>
            </w:r>
          </w:p>
        </w:tc>
        <w:tc>
          <w:tcPr>
            <w:tcW w:w="5715" w:type="dxa"/>
            <w:noWrap w:val="0"/>
            <w:vAlign w:val="center"/>
          </w:tcPr>
          <w:p w14:paraId="76A1CB4D">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无电晕发生、无闪络、无击穿、无明显发热。</w:t>
            </w:r>
          </w:p>
        </w:tc>
      </w:tr>
      <w:tr w14:paraId="0FB7C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1720" w:type="dxa"/>
            <w:noWrap w:val="0"/>
            <w:vAlign w:val="center"/>
          </w:tcPr>
          <w:p w14:paraId="26DF690A">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绝缘杆</w:t>
            </w:r>
          </w:p>
        </w:tc>
        <w:tc>
          <w:tcPr>
            <w:tcW w:w="773" w:type="dxa"/>
            <w:noWrap w:val="0"/>
            <w:vAlign w:val="center"/>
          </w:tcPr>
          <w:p w14:paraId="4792D52B">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条</w:t>
            </w:r>
          </w:p>
        </w:tc>
        <w:tc>
          <w:tcPr>
            <w:tcW w:w="1670" w:type="dxa"/>
            <w:noWrap w:val="0"/>
            <w:vAlign w:val="center"/>
          </w:tcPr>
          <w:p w14:paraId="7782B73D">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工频耐压试验</w:t>
            </w:r>
          </w:p>
        </w:tc>
        <w:tc>
          <w:tcPr>
            <w:tcW w:w="5715" w:type="dxa"/>
            <w:noWrap w:val="0"/>
            <w:vAlign w:val="center"/>
          </w:tcPr>
          <w:p w14:paraId="5F2EE9D4">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无闪络、无击穿、无明显发热。</w:t>
            </w:r>
          </w:p>
        </w:tc>
      </w:tr>
      <w:tr w14:paraId="4C9B4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1720" w:type="dxa"/>
            <w:noWrap w:val="0"/>
            <w:vAlign w:val="center"/>
          </w:tcPr>
          <w:p w14:paraId="6125F2D0">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绝缘挡板</w:t>
            </w:r>
          </w:p>
        </w:tc>
        <w:tc>
          <w:tcPr>
            <w:tcW w:w="773" w:type="dxa"/>
            <w:noWrap w:val="0"/>
            <w:vAlign w:val="center"/>
          </w:tcPr>
          <w:p w14:paraId="3C24CD68">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块</w:t>
            </w:r>
          </w:p>
        </w:tc>
        <w:tc>
          <w:tcPr>
            <w:tcW w:w="1670" w:type="dxa"/>
            <w:noWrap w:val="0"/>
            <w:vAlign w:val="center"/>
          </w:tcPr>
          <w:p w14:paraId="35962A37">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工频耐压试验</w:t>
            </w:r>
          </w:p>
        </w:tc>
        <w:tc>
          <w:tcPr>
            <w:tcW w:w="5715" w:type="dxa"/>
            <w:noWrap w:val="0"/>
            <w:vAlign w:val="center"/>
          </w:tcPr>
          <w:p w14:paraId="7034F79E">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闪络、无击穿、无明显发热。</w:t>
            </w:r>
          </w:p>
        </w:tc>
      </w:tr>
      <w:tr w14:paraId="3D0E6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1720" w:type="dxa"/>
            <w:noWrap w:val="0"/>
            <w:vAlign w:val="center"/>
          </w:tcPr>
          <w:p w14:paraId="4BF716FF">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验电笔</w:t>
            </w:r>
          </w:p>
        </w:tc>
        <w:tc>
          <w:tcPr>
            <w:tcW w:w="773" w:type="dxa"/>
            <w:noWrap w:val="0"/>
            <w:vAlign w:val="center"/>
          </w:tcPr>
          <w:p w14:paraId="044F22D6">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支</w:t>
            </w:r>
          </w:p>
        </w:tc>
        <w:tc>
          <w:tcPr>
            <w:tcW w:w="1670" w:type="dxa"/>
            <w:noWrap w:val="0"/>
            <w:vAlign w:val="center"/>
          </w:tcPr>
          <w:p w14:paraId="0C2D9858">
            <w:pPr>
              <w:widowControl/>
              <w:adjustRightInd w:val="0"/>
              <w:snapToGrid w:val="0"/>
              <w:spacing w:line="360" w:lineRule="auto"/>
              <w:jc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工频耐压试验</w:t>
            </w:r>
          </w:p>
        </w:tc>
        <w:tc>
          <w:tcPr>
            <w:tcW w:w="5715" w:type="dxa"/>
            <w:noWrap w:val="0"/>
            <w:vAlign w:val="center"/>
          </w:tcPr>
          <w:p w14:paraId="3D035C7E">
            <w:pPr>
              <w:widowControl/>
              <w:adjustRightInd w:val="0"/>
              <w:snapToGrid w:val="0"/>
              <w:jc w:val="left"/>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无闪络、无击穿、无明显发热、</w:t>
            </w:r>
            <w:r>
              <w:rPr>
                <w:rFonts w:hint="eastAsia" w:asciiTheme="minorEastAsia" w:hAnsiTheme="minorEastAsia" w:eastAsiaTheme="minorEastAsia" w:cstheme="minorEastAsia"/>
                <w:b w:val="0"/>
                <w:bCs w:val="0"/>
                <w:kern w:val="0"/>
                <w:sz w:val="21"/>
                <w:szCs w:val="21"/>
                <w:lang w:eastAsia="zh-CN"/>
              </w:rPr>
              <w:t>声</w:t>
            </w:r>
            <w:r>
              <w:rPr>
                <w:rFonts w:hint="eastAsia" w:asciiTheme="minorEastAsia" w:hAnsiTheme="minorEastAsia" w:eastAsiaTheme="minorEastAsia" w:cstheme="minorEastAsia"/>
                <w:b w:val="0"/>
                <w:bCs w:val="0"/>
                <w:kern w:val="0"/>
                <w:sz w:val="21"/>
                <w:szCs w:val="21"/>
              </w:rPr>
              <w:t>光报警。</w:t>
            </w:r>
          </w:p>
        </w:tc>
      </w:tr>
    </w:tbl>
    <w:p w14:paraId="5C51D36C">
      <w:pPr>
        <w:spacing w:line="400" w:lineRule="exact"/>
        <w:jc w:val="center"/>
        <w:rPr>
          <w:rStyle w:val="31"/>
          <w:color w:val="auto"/>
        </w:rPr>
      </w:pPr>
      <w:r>
        <w:rPr>
          <w:rStyle w:val="31"/>
          <w:rFonts w:hint="eastAsia"/>
          <w:color w:val="auto"/>
        </w:rPr>
        <w:t>第三章  评审方法</w:t>
      </w:r>
    </w:p>
    <w:p w14:paraId="7F9FCA64">
      <w:pPr>
        <w:pStyle w:val="19"/>
        <w:rPr>
          <w:color w:val="auto"/>
        </w:rPr>
      </w:pPr>
    </w:p>
    <w:p w14:paraId="0AA24B4D">
      <w:pPr>
        <w:spacing w:line="400" w:lineRule="exact"/>
        <w:ind w:firstLine="420" w:firstLineChars="200"/>
        <w:rPr>
          <w:rFonts w:ascii="宋体" w:hAnsi="宋体"/>
          <w:color w:val="auto"/>
          <w:szCs w:val="20"/>
        </w:rPr>
      </w:pPr>
      <w:r>
        <w:rPr>
          <w:rFonts w:hint="eastAsia" w:ascii="宋体" w:hAnsi="宋体"/>
          <w:color w:val="auto"/>
          <w:szCs w:val="20"/>
        </w:rPr>
        <w:t>一、评审小组以采购文件为依据，对响应文件进行评审，对供应商的响应报价、技术文件及商务文件等三部分内容进行打分。</w:t>
      </w:r>
    </w:p>
    <w:p w14:paraId="3ED1EDE3">
      <w:pPr>
        <w:spacing w:line="400" w:lineRule="exact"/>
        <w:ind w:firstLine="420" w:firstLineChars="200"/>
        <w:rPr>
          <w:rFonts w:ascii="宋体" w:hAnsi="宋体"/>
          <w:color w:val="auto"/>
          <w:szCs w:val="20"/>
        </w:rPr>
      </w:pPr>
      <w:r>
        <w:rPr>
          <w:rFonts w:hint="eastAsia" w:ascii="宋体" w:hAnsi="宋体"/>
          <w:color w:val="auto"/>
          <w:szCs w:val="20"/>
        </w:rPr>
        <w:t>二、评分细则：（按四舍五入取至百分位）</w:t>
      </w:r>
    </w:p>
    <w:p w14:paraId="200C7A1A">
      <w:pPr>
        <w:spacing w:line="400" w:lineRule="exact"/>
        <w:ind w:firstLine="420" w:firstLineChars="200"/>
        <w:rPr>
          <w:rFonts w:ascii="宋体" w:hAnsi="宋体"/>
          <w:b/>
          <w:bCs/>
          <w:color w:val="auto"/>
          <w:szCs w:val="20"/>
        </w:rPr>
      </w:pPr>
      <w:r>
        <w:rPr>
          <w:rFonts w:hint="eastAsia" w:ascii="宋体" w:hAnsi="宋体"/>
          <w:b/>
          <w:bCs/>
          <w:color w:val="auto"/>
          <w:szCs w:val="20"/>
        </w:rPr>
        <w:t>（一）价格分……………………………………………………………………………</w:t>
      </w:r>
      <w:r>
        <w:rPr>
          <w:rFonts w:ascii="宋体" w:hAnsi="宋体"/>
          <w:b/>
          <w:bCs/>
          <w:color w:val="auto"/>
          <w:szCs w:val="20"/>
        </w:rPr>
        <w:t>3</w:t>
      </w:r>
      <w:r>
        <w:rPr>
          <w:rFonts w:hint="eastAsia" w:ascii="宋体" w:hAnsi="宋体"/>
          <w:b/>
          <w:bCs/>
          <w:color w:val="auto"/>
          <w:szCs w:val="20"/>
        </w:rPr>
        <w:t>0分</w:t>
      </w:r>
    </w:p>
    <w:p w14:paraId="5D0C99BA">
      <w:pPr>
        <w:spacing w:line="400" w:lineRule="exact"/>
        <w:ind w:firstLine="3150" w:firstLineChars="1500"/>
        <w:rPr>
          <w:rFonts w:ascii="宋体" w:hAnsi="宋体"/>
          <w:color w:val="auto"/>
          <w:szCs w:val="20"/>
        </w:rPr>
      </w:pPr>
      <w:r>
        <w:rPr>
          <w:rFonts w:hint="eastAsia" w:ascii="宋体" w:hAnsi="宋体"/>
          <w:color w:val="auto"/>
          <w:szCs w:val="20"/>
        </w:rPr>
        <w:t>投标供应商最低评标价金额</w:t>
      </w:r>
    </w:p>
    <w:p w14:paraId="4129A5FD">
      <w:pPr>
        <w:spacing w:line="400" w:lineRule="exact"/>
        <w:ind w:firstLine="420" w:firstLineChars="200"/>
        <w:rPr>
          <w:rFonts w:ascii="宋体" w:hAnsi="宋体"/>
          <w:color w:val="auto"/>
          <w:szCs w:val="20"/>
        </w:rPr>
      </w:pPr>
      <w:r>
        <w:rPr>
          <w:rFonts w:hint="eastAsia" w:ascii="宋体" w:hAnsi="宋体"/>
          <w:color w:val="auto"/>
          <w:szCs w:val="20"/>
        </w:rPr>
        <w:t xml:space="preserve">某投标供应商价格分＝ </w:t>
      </w:r>
      <w:r>
        <w:rPr>
          <w:rFonts w:hint="eastAsia" w:ascii="宋体" w:hAnsi="宋体"/>
          <w:color w:val="auto"/>
          <w:szCs w:val="20"/>
          <w:u w:val="single"/>
        </w:rPr>
        <w:t xml:space="preserve">                                     </w:t>
      </w:r>
      <w:r>
        <w:rPr>
          <w:rFonts w:hint="eastAsia" w:ascii="宋体" w:hAnsi="宋体"/>
          <w:color w:val="auto"/>
          <w:szCs w:val="20"/>
        </w:rPr>
        <w:t xml:space="preserve">  ×</w:t>
      </w:r>
      <w:r>
        <w:rPr>
          <w:rFonts w:hint="eastAsia" w:ascii="宋体" w:hAnsi="宋体"/>
          <w:color w:val="auto"/>
          <w:szCs w:val="20"/>
          <w:lang w:val="en-US" w:eastAsia="zh-CN"/>
        </w:rPr>
        <w:t>3</w:t>
      </w:r>
      <w:r>
        <w:rPr>
          <w:rFonts w:hint="eastAsia" w:ascii="宋体" w:hAnsi="宋体"/>
          <w:color w:val="auto"/>
          <w:szCs w:val="20"/>
        </w:rPr>
        <w:t>0分</w:t>
      </w:r>
    </w:p>
    <w:p w14:paraId="37642B08">
      <w:pPr>
        <w:spacing w:line="400" w:lineRule="exact"/>
        <w:ind w:firstLine="420" w:firstLineChars="200"/>
        <w:rPr>
          <w:rFonts w:ascii="宋体" w:hAnsi="宋体"/>
          <w:color w:val="auto"/>
          <w:szCs w:val="20"/>
        </w:rPr>
      </w:pPr>
      <w:r>
        <w:rPr>
          <w:rFonts w:hint="eastAsia" w:ascii="宋体" w:hAnsi="宋体"/>
          <w:color w:val="auto"/>
          <w:szCs w:val="20"/>
        </w:rPr>
        <w:t>　                        某投标供应商评标价金额</w:t>
      </w:r>
    </w:p>
    <w:p w14:paraId="3894FE2B">
      <w:pPr>
        <w:spacing w:line="400" w:lineRule="exact"/>
        <w:ind w:firstLine="0" w:firstLineChars="0"/>
        <w:rPr>
          <w:rFonts w:ascii="宋体" w:hAnsi="宋体" w:cs="宋体"/>
          <w:bCs/>
          <w:color w:val="auto"/>
          <w:szCs w:val="21"/>
        </w:rPr>
      </w:pPr>
    </w:p>
    <w:p w14:paraId="3447409B">
      <w:pPr>
        <w:spacing w:line="400" w:lineRule="exact"/>
        <w:ind w:firstLine="420" w:firstLineChars="200"/>
        <w:rPr>
          <w:rFonts w:ascii="宋体" w:hAnsi="宋体"/>
          <w:b/>
          <w:bCs/>
          <w:szCs w:val="20"/>
        </w:rPr>
      </w:pPr>
      <w:r>
        <w:rPr>
          <w:rFonts w:hint="eastAsia" w:ascii="宋体" w:hAnsi="宋体"/>
          <w:b/>
          <w:bCs/>
          <w:color w:val="auto"/>
          <w:szCs w:val="20"/>
        </w:rPr>
        <w:t>（二）技术分………………………………………………………………………………50</w:t>
      </w:r>
      <w:r>
        <w:rPr>
          <w:rFonts w:hint="eastAsia" w:ascii="宋体" w:hAnsi="宋体"/>
          <w:b/>
          <w:bCs/>
          <w:szCs w:val="20"/>
        </w:rPr>
        <w:t>分</w:t>
      </w:r>
    </w:p>
    <w:p w14:paraId="512B61E4">
      <w:pPr>
        <w:spacing w:line="400" w:lineRule="exact"/>
        <w:ind w:firstLine="420" w:firstLineChars="200"/>
        <w:rPr>
          <w:rFonts w:ascii="宋体" w:hAnsi="宋体"/>
          <w:szCs w:val="20"/>
        </w:rPr>
      </w:pPr>
      <w:r>
        <w:rPr>
          <w:rFonts w:hint="eastAsia" w:ascii="宋体" w:hAnsi="宋体"/>
          <w:szCs w:val="20"/>
        </w:rPr>
        <w:t>（由评审小组根据采购文件要求和投标人投标文件响应程度，各自独立定档打分）</w:t>
      </w:r>
    </w:p>
    <w:p w14:paraId="27623E13">
      <w:pPr>
        <w:numPr>
          <w:ilvl w:val="0"/>
          <w:numId w:val="2"/>
        </w:numPr>
        <w:spacing w:line="400" w:lineRule="atLeast"/>
        <w:ind w:firstLine="420" w:firstLineChars="200"/>
        <w:rPr>
          <w:rFonts w:hint="eastAsia" w:ascii="宋体" w:hAnsi="宋体"/>
          <w:b/>
          <w:bCs/>
          <w:szCs w:val="21"/>
        </w:rPr>
      </w:pPr>
      <w:r>
        <w:rPr>
          <w:rFonts w:hint="eastAsia" w:ascii="宋体" w:hAnsi="宋体"/>
          <w:b/>
          <w:bCs/>
          <w:szCs w:val="21"/>
        </w:rPr>
        <w:t>实施方案分（满分21分）</w:t>
      </w:r>
    </w:p>
    <w:p w14:paraId="4DBD01E5">
      <w:pPr>
        <w:spacing w:line="400" w:lineRule="exact"/>
        <w:ind w:firstLine="420" w:firstLineChars="200"/>
        <w:rPr>
          <w:rFonts w:hint="eastAsia" w:ascii="宋体" w:hAnsi="宋体"/>
          <w:szCs w:val="20"/>
        </w:rPr>
      </w:pPr>
      <w:r>
        <w:rPr>
          <w:rFonts w:hint="eastAsia" w:ascii="宋体" w:hAnsi="宋体"/>
          <w:szCs w:val="20"/>
        </w:rPr>
        <w:t>一档（7分）：</w:t>
      </w:r>
      <w:r>
        <w:rPr>
          <w:rFonts w:hint="eastAsia" w:ascii="宋体" w:hAnsi="宋体" w:cs="宋体"/>
          <w:bCs/>
          <w:szCs w:val="21"/>
        </w:rPr>
        <w:t>方案简单，维护保养服务实施的技术力量安排基本满足要求，技术服务、技术培训的服务内容和措施不完善；</w:t>
      </w:r>
    </w:p>
    <w:p w14:paraId="43CA9E07">
      <w:pPr>
        <w:spacing w:line="400" w:lineRule="exact"/>
        <w:ind w:firstLine="420" w:firstLineChars="200"/>
        <w:rPr>
          <w:rFonts w:hint="eastAsia" w:ascii="宋体" w:hAnsi="宋体"/>
          <w:szCs w:val="20"/>
        </w:rPr>
      </w:pPr>
      <w:r>
        <w:rPr>
          <w:rFonts w:hint="eastAsia" w:ascii="宋体" w:hAnsi="宋体"/>
          <w:szCs w:val="20"/>
        </w:rPr>
        <w:t>二档（14分）：</w:t>
      </w:r>
      <w:r>
        <w:rPr>
          <w:rFonts w:hint="eastAsia" w:ascii="宋体" w:hAnsi="宋体" w:cs="宋体"/>
          <w:bCs/>
          <w:szCs w:val="21"/>
        </w:rPr>
        <w:t>方案详实，技术服务、技术培训的服务内容和措施详实，能对本项目各项设备保养计划进行详细阐述，故障排除的对策可行，保证项目实施的技术力量安排充足；突发事件应对措施和方案满足要求。</w:t>
      </w:r>
    </w:p>
    <w:p w14:paraId="36BEE06D">
      <w:pPr>
        <w:spacing w:line="400" w:lineRule="exact"/>
        <w:ind w:firstLine="420" w:firstLineChars="200"/>
        <w:rPr>
          <w:rFonts w:ascii="宋体" w:hAnsi="宋体"/>
          <w:szCs w:val="20"/>
        </w:rPr>
      </w:pPr>
      <w:r>
        <w:rPr>
          <w:rFonts w:hint="eastAsia" w:ascii="宋体" w:hAnsi="宋体"/>
          <w:szCs w:val="20"/>
        </w:rPr>
        <w:t>三档（21分）：</w:t>
      </w:r>
      <w:r>
        <w:rPr>
          <w:rFonts w:hint="eastAsia" w:ascii="宋体" w:hAnsi="宋体" w:cs="宋体"/>
          <w:bCs/>
          <w:szCs w:val="21"/>
        </w:rPr>
        <w:t>方案完善，维护保养服务实施的技术力量安排充足，技术服务、技术培训的服务内容和措施详实，能对本项目各项设备保养计划进行详细阐述，故障排除的对策可行，内容详细，不同的设备提供专项维护保养方案，维护方案优良；突发事件应对措施和方案详细可行</w:t>
      </w:r>
      <w:r>
        <w:rPr>
          <w:rFonts w:hint="eastAsia" w:ascii="宋体" w:hAnsi="宋体" w:cs="宋体"/>
          <w:bCs/>
          <w:szCs w:val="21"/>
          <w:lang w:eastAsia="zh-CN"/>
        </w:rPr>
        <w:t>。</w:t>
      </w:r>
    </w:p>
    <w:p w14:paraId="2F336B38">
      <w:pPr>
        <w:spacing w:line="400" w:lineRule="atLeast"/>
        <w:ind w:firstLine="420" w:firstLineChars="200"/>
        <w:rPr>
          <w:rFonts w:hint="eastAsia"/>
        </w:rPr>
      </w:pPr>
      <w:r>
        <w:rPr>
          <w:rFonts w:hint="eastAsia" w:ascii="宋体" w:hAnsi="宋体" w:cs="宋体"/>
          <w:b/>
          <w:bCs/>
          <w:szCs w:val="21"/>
        </w:rPr>
        <w:t>备注：未提供实施方案或实施方案未达到一档标准要求的，得0分。</w:t>
      </w:r>
    </w:p>
    <w:p w14:paraId="7E0E668B">
      <w:pPr>
        <w:pStyle w:val="2"/>
        <w:numPr>
          <w:ilvl w:val="-1"/>
          <w:numId w:val="0"/>
        </w:numPr>
        <w:autoSpaceDE w:val="0"/>
        <w:autoSpaceDN w:val="0"/>
        <w:snapToGrid w:val="0"/>
        <w:spacing w:after="0" w:line="400" w:lineRule="exact"/>
        <w:ind w:firstLine="420" w:firstLineChars="200"/>
        <w:rPr>
          <w:rFonts w:hint="eastAsia" w:ascii="宋体" w:hAnsi="宋体"/>
          <w:b/>
          <w:bCs/>
          <w:szCs w:val="21"/>
        </w:rPr>
      </w:pPr>
      <w:r>
        <w:rPr>
          <w:rFonts w:hint="eastAsia" w:hAnsi="宋体" w:cs="Times New Roman"/>
          <w:b/>
          <w:bCs/>
          <w:color w:val="000000"/>
          <w:kern w:val="2"/>
          <w:sz w:val="21"/>
          <w:szCs w:val="21"/>
          <w:lang w:val="en-US" w:eastAsia="zh-CN"/>
        </w:rPr>
        <w:t>2、</w:t>
      </w:r>
      <w:r>
        <w:rPr>
          <w:rFonts w:hint="eastAsia" w:ascii="宋体" w:hAnsi="宋体" w:eastAsia="宋体" w:cs="Times New Roman"/>
          <w:b/>
          <w:bCs/>
          <w:color w:val="000000"/>
          <w:kern w:val="2"/>
          <w:sz w:val="21"/>
          <w:szCs w:val="21"/>
        </w:rPr>
        <w:t>工作进度安排与保障措施分</w:t>
      </w:r>
      <w:r>
        <w:rPr>
          <w:rFonts w:hint="eastAsia" w:ascii="宋体" w:hAnsi="宋体" w:eastAsia="宋体" w:cs="Times New Roman"/>
          <w:b/>
          <w:bCs/>
          <w:kern w:val="2"/>
          <w:sz w:val="21"/>
          <w:szCs w:val="21"/>
        </w:rPr>
        <w:t>（满分</w:t>
      </w:r>
      <w:r>
        <w:rPr>
          <w:rFonts w:hint="eastAsia" w:ascii="宋体" w:hAnsi="宋体" w:eastAsia="宋体" w:cs="Times New Roman"/>
          <w:b/>
          <w:bCs/>
          <w:kern w:val="2"/>
          <w:sz w:val="21"/>
          <w:szCs w:val="21"/>
          <w:lang w:val="en-US" w:eastAsia="zh-CN"/>
        </w:rPr>
        <w:t>15</w:t>
      </w:r>
      <w:r>
        <w:rPr>
          <w:rFonts w:hint="eastAsia" w:ascii="宋体" w:hAnsi="宋体" w:eastAsia="宋体" w:cs="Times New Roman"/>
          <w:b/>
          <w:bCs/>
          <w:kern w:val="2"/>
          <w:sz w:val="21"/>
          <w:szCs w:val="21"/>
        </w:rPr>
        <w:t>分）</w:t>
      </w:r>
    </w:p>
    <w:p w14:paraId="22678CE8">
      <w:pPr>
        <w:pStyle w:val="2"/>
        <w:numPr>
          <w:ilvl w:val="-1"/>
          <w:numId w:val="0"/>
        </w:numPr>
        <w:autoSpaceDE w:val="0"/>
        <w:autoSpaceDN w:val="0"/>
        <w:snapToGrid w:val="0"/>
        <w:spacing w:after="0" w:line="400" w:lineRule="exact"/>
        <w:ind w:firstLine="420" w:firstLineChars="200"/>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rPr>
        <w:t>根据工作计划进度能否满足采购人的进度要求，项目工作计划及安排是否合理，对项目顺利开展是否有很好的指导作用，并对节点工作或关键工作能否起到控制作用，质量保障措施是否具有针对性及可行性等确定各供应商的档次及得分。</w:t>
      </w:r>
    </w:p>
    <w:p w14:paraId="63011806">
      <w:pPr>
        <w:autoSpaceDE w:val="0"/>
        <w:autoSpaceDN w:val="0"/>
        <w:snapToGrid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一档（5分）：工作计划进度安排基本合理，质量保证措施基本符合。</w:t>
      </w:r>
    </w:p>
    <w:p w14:paraId="097B9142">
      <w:pPr>
        <w:autoSpaceDE w:val="0"/>
        <w:autoSpaceDN w:val="0"/>
        <w:snapToGrid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二档（10分）：工作计划合理安排，对项目按时完成具有良好的指导作用，各项节点保证措施具有可行性。</w:t>
      </w:r>
    </w:p>
    <w:p w14:paraId="1C11EE12">
      <w:pPr>
        <w:autoSpaceDE w:val="0"/>
        <w:autoSpaceDN w:val="0"/>
        <w:snapToGrid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三档（</w:t>
      </w:r>
      <w:r>
        <w:rPr>
          <w:rFonts w:hint="eastAsia" w:ascii="宋体" w:hAnsi="宋体" w:cs="宋体"/>
          <w:color w:val="000000"/>
          <w:szCs w:val="21"/>
          <w:lang w:val="en-US" w:eastAsia="zh-CN"/>
        </w:rPr>
        <w:t>1</w:t>
      </w:r>
      <w:r>
        <w:rPr>
          <w:rFonts w:hint="eastAsia" w:ascii="宋体" w:hAnsi="宋体" w:cs="宋体"/>
          <w:color w:val="000000"/>
          <w:szCs w:val="21"/>
        </w:rPr>
        <w:t>5分）：工作计划合理高效，对项目按时完成具有积极的指导作用，各项节点保证措施具有科学性可行性，有效控制项目的实施开展。</w:t>
      </w:r>
    </w:p>
    <w:p w14:paraId="7F8AB3B8">
      <w:pPr>
        <w:pStyle w:val="2"/>
        <w:snapToGrid w:val="0"/>
        <w:spacing w:after="0"/>
        <w:ind w:firstLine="420" w:firstLineChars="200"/>
        <w:rPr>
          <w:rFonts w:hint="eastAsia" w:hAnsi="宋体" w:cs="宋体"/>
          <w:color w:val="000000"/>
          <w:kern w:val="2"/>
          <w:sz w:val="21"/>
          <w:szCs w:val="21"/>
        </w:rPr>
      </w:pPr>
      <w:r>
        <w:rPr>
          <w:rFonts w:hint="eastAsia" w:ascii="宋体" w:hAnsi="宋体" w:cs="宋体"/>
          <w:b/>
          <w:bCs/>
          <w:kern w:val="2"/>
          <w:sz w:val="21"/>
          <w:szCs w:val="21"/>
        </w:rPr>
        <w:t>备注：未提供实施方案或实施方案未达到一档标准要求的，得0分。</w:t>
      </w:r>
    </w:p>
    <w:p w14:paraId="18C6E2A5">
      <w:pPr>
        <w:numPr>
          <w:ilvl w:val="-1"/>
          <w:numId w:val="0"/>
        </w:numPr>
        <w:snapToGrid w:val="0"/>
        <w:spacing w:line="400" w:lineRule="atLeast"/>
        <w:ind w:firstLine="420" w:firstLineChars="200"/>
        <w:rPr>
          <w:rFonts w:ascii="宋体" w:hAnsi="宋体" w:cs="宋体"/>
          <w:b/>
          <w:szCs w:val="20"/>
        </w:rPr>
      </w:pPr>
      <w:r>
        <w:rPr>
          <w:rFonts w:hint="eastAsia" w:ascii="宋体" w:hAnsi="宋体" w:cs="宋体"/>
          <w:b/>
          <w:szCs w:val="21"/>
          <w:lang w:val="en-US" w:eastAsia="zh-CN"/>
        </w:rPr>
        <w:t>3、</w:t>
      </w:r>
      <w:commentRangeStart w:id="9"/>
      <w:commentRangeStart w:id="10"/>
      <w:r>
        <w:rPr>
          <w:rFonts w:hint="eastAsia" w:ascii="宋体" w:hAnsi="宋体" w:cs="宋体"/>
          <w:b/>
          <w:szCs w:val="21"/>
        </w:rPr>
        <w:t>拟投入人员配置</w:t>
      </w:r>
      <w:r>
        <w:rPr>
          <w:rFonts w:hint="eastAsia" w:ascii="宋体" w:hAnsi="宋体" w:cs="宋体"/>
          <w:b/>
          <w:szCs w:val="20"/>
        </w:rPr>
        <w:t>分（满分</w:t>
      </w:r>
      <w:r>
        <w:rPr>
          <w:rFonts w:hint="eastAsia" w:ascii="宋体" w:hAnsi="宋体" w:cs="宋体"/>
          <w:b/>
          <w:szCs w:val="20"/>
          <w:lang w:val="en-US" w:eastAsia="zh-CN"/>
        </w:rPr>
        <w:t>14</w:t>
      </w:r>
      <w:r>
        <w:rPr>
          <w:rFonts w:hint="eastAsia" w:ascii="宋体" w:hAnsi="宋体" w:cs="宋体"/>
          <w:b/>
          <w:szCs w:val="20"/>
        </w:rPr>
        <w:t>分）</w:t>
      </w:r>
      <w:commentRangeEnd w:id="9"/>
      <w:r>
        <w:commentReference w:id="9"/>
      </w:r>
      <w:commentRangeEnd w:id="10"/>
      <w:r>
        <w:commentReference w:id="10"/>
      </w:r>
    </w:p>
    <w:p w14:paraId="72D100E2">
      <w:pPr>
        <w:snapToGrid w:val="0"/>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拟投入项目技术人员配置情况：</w:t>
      </w:r>
    </w:p>
    <w:p w14:paraId="1E258DC1">
      <w:pPr>
        <w:snapToGrid w:val="0"/>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w:t>
      </w:r>
      <w:r>
        <w:rPr>
          <w:rFonts w:hint="eastAsia" w:ascii="宋体" w:hAnsi="宋体" w:cs="宋体"/>
          <w:bCs/>
          <w:szCs w:val="21"/>
          <w:highlight w:val="none"/>
          <w:lang w:val="en-US" w:eastAsia="zh-CN"/>
        </w:rPr>
        <w:t>1</w:t>
      </w:r>
      <w:r>
        <w:rPr>
          <w:rFonts w:hint="eastAsia" w:ascii="宋体" w:hAnsi="宋体" w:cs="宋体"/>
          <w:bCs/>
          <w:szCs w:val="21"/>
          <w:highlight w:val="none"/>
        </w:rPr>
        <w:t>）项目</w:t>
      </w:r>
      <w:r>
        <w:rPr>
          <w:rFonts w:hint="eastAsia" w:ascii="宋体" w:hAnsi="宋体" w:cs="宋体"/>
          <w:bCs/>
          <w:szCs w:val="21"/>
          <w:highlight w:val="none"/>
          <w:lang w:eastAsia="zh-CN"/>
        </w:rPr>
        <w:t>技术</w:t>
      </w:r>
      <w:r>
        <w:rPr>
          <w:rFonts w:hint="eastAsia" w:ascii="宋体" w:hAnsi="宋体" w:cs="宋体"/>
          <w:bCs/>
          <w:szCs w:val="21"/>
          <w:highlight w:val="none"/>
        </w:rPr>
        <w:t>负责人（</w:t>
      </w:r>
      <w:r>
        <w:rPr>
          <w:rFonts w:hint="eastAsia" w:ascii="宋体" w:hAnsi="宋体" w:cs="宋体"/>
          <w:bCs/>
          <w:szCs w:val="21"/>
          <w:highlight w:val="none"/>
          <w:lang w:val="en-US" w:eastAsia="zh-CN"/>
        </w:rPr>
        <w:t>4</w:t>
      </w:r>
      <w:r>
        <w:rPr>
          <w:rFonts w:hint="eastAsia" w:ascii="宋体" w:hAnsi="宋体" w:cs="宋体"/>
          <w:bCs/>
          <w:szCs w:val="21"/>
          <w:highlight w:val="none"/>
        </w:rPr>
        <w:t>分）</w:t>
      </w:r>
    </w:p>
    <w:p w14:paraId="0F6E855C">
      <w:pPr>
        <w:snapToGrid w:val="0"/>
        <w:spacing w:line="400" w:lineRule="exact"/>
        <w:ind w:firstLine="420" w:firstLineChars="200"/>
        <w:rPr>
          <w:rFonts w:hint="eastAsia" w:ascii="宋体" w:hAnsi="宋体" w:cs="宋体"/>
          <w:szCs w:val="21"/>
          <w:highlight w:val="none"/>
        </w:rPr>
      </w:pPr>
      <w:r>
        <w:rPr>
          <w:rFonts w:hint="eastAsia" w:ascii="宋体" w:hAnsi="宋体" w:cs="宋体"/>
          <w:szCs w:val="21"/>
          <w:highlight w:val="none"/>
        </w:rPr>
        <w:t>具有</w:t>
      </w:r>
      <w:r>
        <w:rPr>
          <w:rFonts w:hint="eastAsia" w:ascii="宋体" w:hAnsi="宋体" w:cs="宋体"/>
          <w:szCs w:val="21"/>
          <w:highlight w:val="none"/>
          <w:lang w:eastAsia="zh-CN"/>
        </w:rPr>
        <w:t>电气</w:t>
      </w:r>
      <w:r>
        <w:rPr>
          <w:rFonts w:hint="eastAsia" w:ascii="宋体" w:hAnsi="宋体" w:cs="宋体"/>
          <w:szCs w:val="21"/>
          <w:highlight w:val="none"/>
        </w:rPr>
        <w:t>高级工程师职称的得</w:t>
      </w:r>
      <w:r>
        <w:rPr>
          <w:rFonts w:hint="eastAsia" w:ascii="宋体" w:hAnsi="宋体" w:cs="宋体"/>
          <w:szCs w:val="21"/>
          <w:highlight w:val="none"/>
          <w:lang w:val="en-US" w:eastAsia="zh-CN"/>
        </w:rPr>
        <w:t>4</w:t>
      </w:r>
      <w:r>
        <w:rPr>
          <w:rFonts w:hint="eastAsia" w:ascii="宋体" w:hAnsi="宋体" w:cs="宋体"/>
          <w:szCs w:val="21"/>
          <w:highlight w:val="none"/>
        </w:rPr>
        <w:t>分，此项满分</w:t>
      </w:r>
      <w:r>
        <w:rPr>
          <w:rFonts w:hint="eastAsia" w:ascii="宋体" w:hAnsi="宋体" w:cs="宋体"/>
          <w:szCs w:val="21"/>
          <w:highlight w:val="none"/>
          <w:lang w:val="en-US" w:eastAsia="zh-CN"/>
        </w:rPr>
        <w:t>4</w:t>
      </w:r>
      <w:r>
        <w:rPr>
          <w:rFonts w:hint="eastAsia" w:ascii="宋体" w:hAnsi="宋体" w:cs="宋体"/>
          <w:szCs w:val="21"/>
          <w:highlight w:val="none"/>
        </w:rPr>
        <w:t>分。</w:t>
      </w:r>
    </w:p>
    <w:p w14:paraId="0B9A9C0A">
      <w:pPr>
        <w:snapToGrid w:val="0"/>
        <w:spacing w:line="400" w:lineRule="exact"/>
        <w:ind w:firstLine="420" w:firstLineChars="200"/>
        <w:rPr>
          <w:rFonts w:hint="eastAsia" w:ascii="宋体" w:hAnsi="宋体" w:eastAsia="宋体" w:cs="宋体"/>
          <w:szCs w:val="21"/>
          <w:highlight w:val="none"/>
          <w:lang w:eastAsia="zh-CN"/>
        </w:rPr>
      </w:pPr>
      <w:r>
        <w:rPr>
          <w:rFonts w:hint="eastAsia" w:hAnsi="宋体" w:cs="宋体"/>
          <w:b/>
          <w:szCs w:val="21"/>
          <w:highlight w:val="none"/>
        </w:rPr>
        <w:t>备注：</w:t>
      </w:r>
      <w:r>
        <w:rPr>
          <w:rFonts w:hint="eastAsia" w:ascii="宋体" w:hAnsi="宋体"/>
          <w:b/>
          <w:bCs/>
          <w:szCs w:val="21"/>
          <w:highlight w:val="none"/>
        </w:rPr>
        <w:t>需提供人员名单、2</w:t>
      </w:r>
      <w:r>
        <w:rPr>
          <w:rFonts w:ascii="宋体" w:hAnsi="宋体"/>
          <w:b/>
          <w:bCs/>
          <w:szCs w:val="21"/>
          <w:highlight w:val="none"/>
        </w:rPr>
        <w:t>02</w:t>
      </w:r>
      <w:r>
        <w:rPr>
          <w:rFonts w:hint="eastAsia" w:ascii="宋体" w:hAnsi="宋体"/>
          <w:b/>
          <w:bCs/>
          <w:szCs w:val="21"/>
          <w:highlight w:val="none"/>
          <w:lang w:val="en-US" w:eastAsia="zh-CN"/>
        </w:rPr>
        <w:t>6</w:t>
      </w:r>
      <w:r>
        <w:rPr>
          <w:rFonts w:hint="eastAsia" w:ascii="宋体" w:hAnsi="宋体"/>
          <w:b/>
          <w:bCs/>
          <w:szCs w:val="21"/>
          <w:highlight w:val="none"/>
        </w:rPr>
        <w:t>年1月</w:t>
      </w:r>
      <w:r>
        <w:rPr>
          <w:rFonts w:ascii="宋体" w:hAnsi="宋体"/>
          <w:b/>
          <w:bCs/>
          <w:szCs w:val="21"/>
          <w:highlight w:val="none"/>
        </w:rPr>
        <w:t>以</w:t>
      </w:r>
      <w:r>
        <w:rPr>
          <w:rFonts w:hint="eastAsia" w:ascii="宋体" w:hAnsi="宋体"/>
          <w:b/>
          <w:bCs/>
          <w:szCs w:val="21"/>
          <w:highlight w:val="none"/>
        </w:rPr>
        <w:t>来竞标</w:t>
      </w:r>
      <w:r>
        <w:rPr>
          <w:rFonts w:ascii="宋体" w:hAnsi="宋体"/>
          <w:b/>
          <w:bCs/>
          <w:szCs w:val="21"/>
          <w:highlight w:val="none"/>
        </w:rPr>
        <w:t>人为</w:t>
      </w:r>
      <w:r>
        <w:rPr>
          <w:rFonts w:hint="eastAsia" w:ascii="宋体" w:hAnsi="宋体"/>
          <w:b/>
          <w:bCs/>
          <w:szCs w:val="21"/>
          <w:highlight w:val="none"/>
        </w:rPr>
        <w:t>工作人</w:t>
      </w:r>
      <w:r>
        <w:rPr>
          <w:rFonts w:ascii="宋体" w:hAnsi="宋体"/>
          <w:b/>
          <w:bCs/>
          <w:szCs w:val="21"/>
          <w:highlight w:val="none"/>
        </w:rPr>
        <w:t>员缴纳</w:t>
      </w:r>
      <w:r>
        <w:rPr>
          <w:rFonts w:hint="eastAsia" w:ascii="宋体" w:hAnsi="宋体"/>
          <w:b/>
          <w:bCs/>
          <w:szCs w:val="21"/>
          <w:highlight w:val="none"/>
        </w:rPr>
        <w:t>的任意</w:t>
      </w:r>
      <w:r>
        <w:rPr>
          <w:rFonts w:ascii="宋体" w:hAnsi="宋体"/>
          <w:b/>
          <w:bCs/>
          <w:szCs w:val="21"/>
          <w:highlight w:val="none"/>
        </w:rPr>
        <w:t>3</w:t>
      </w:r>
      <w:r>
        <w:rPr>
          <w:rFonts w:hint="eastAsia" w:ascii="宋体" w:hAnsi="宋体"/>
          <w:b/>
          <w:bCs/>
          <w:szCs w:val="21"/>
          <w:highlight w:val="none"/>
        </w:rPr>
        <w:t>个月的社保证明或者有效期内的劳动合同（</w:t>
      </w:r>
      <w:r>
        <w:rPr>
          <w:rFonts w:ascii="宋体" w:hAnsi="宋体"/>
          <w:b/>
          <w:bCs/>
          <w:szCs w:val="21"/>
          <w:highlight w:val="none"/>
        </w:rPr>
        <w:t>协议）</w:t>
      </w:r>
      <w:r>
        <w:rPr>
          <w:rFonts w:hint="eastAsia" w:ascii="宋体" w:hAnsi="宋体"/>
          <w:b/>
          <w:bCs/>
          <w:szCs w:val="21"/>
          <w:highlight w:val="none"/>
        </w:rPr>
        <w:t>、</w:t>
      </w:r>
      <w:r>
        <w:rPr>
          <w:rFonts w:hint="eastAsia" w:ascii="宋体" w:hAnsi="宋体" w:cs="宋体"/>
          <w:b/>
          <w:bCs/>
          <w:szCs w:val="21"/>
          <w:highlight w:val="none"/>
          <w:lang w:eastAsia="zh-CN"/>
        </w:rPr>
        <w:t>电气</w:t>
      </w:r>
      <w:r>
        <w:rPr>
          <w:rFonts w:hint="eastAsia" w:ascii="宋体" w:hAnsi="宋体" w:cs="宋体"/>
          <w:b/>
          <w:bCs/>
          <w:szCs w:val="21"/>
          <w:highlight w:val="none"/>
        </w:rPr>
        <w:t>高级工程师职称</w:t>
      </w:r>
      <w:r>
        <w:rPr>
          <w:rFonts w:hint="eastAsia" w:ascii="宋体" w:hAnsi="宋体" w:cs="宋体"/>
          <w:b/>
          <w:bCs/>
          <w:szCs w:val="21"/>
          <w:highlight w:val="none"/>
          <w:lang w:eastAsia="zh-CN"/>
        </w:rPr>
        <w:t>。</w:t>
      </w:r>
    </w:p>
    <w:p w14:paraId="21E40088">
      <w:pPr>
        <w:snapToGrid w:val="0"/>
        <w:spacing w:line="400" w:lineRule="exact"/>
        <w:ind w:firstLine="420" w:firstLineChars="200"/>
        <w:rPr>
          <w:rFonts w:hint="eastAsia" w:ascii="宋体" w:hAnsi="宋体" w:cs="宋体"/>
          <w:bCs/>
          <w:szCs w:val="21"/>
        </w:rPr>
      </w:pPr>
      <w:r>
        <w:rPr>
          <w:rFonts w:hint="eastAsia" w:ascii="宋体" w:hAnsi="宋体" w:cs="宋体"/>
          <w:bCs/>
          <w:szCs w:val="21"/>
        </w:rPr>
        <w:t>（</w:t>
      </w:r>
      <w:r>
        <w:rPr>
          <w:rFonts w:hint="eastAsia" w:ascii="宋体" w:hAnsi="宋体" w:cs="宋体"/>
          <w:bCs/>
          <w:szCs w:val="21"/>
          <w:lang w:val="en-US" w:eastAsia="zh-CN"/>
        </w:rPr>
        <w:t>2</w:t>
      </w:r>
      <w:r>
        <w:rPr>
          <w:rFonts w:hint="eastAsia" w:ascii="宋体" w:hAnsi="宋体" w:cs="宋体"/>
          <w:bCs/>
          <w:szCs w:val="21"/>
        </w:rPr>
        <w:t>）</w:t>
      </w:r>
      <w:r>
        <w:rPr>
          <w:rFonts w:hint="eastAsia" w:ascii="宋体" w:hAnsi="宋体" w:cs="宋体"/>
          <w:szCs w:val="21"/>
        </w:rPr>
        <w:t>维保人员（10分）</w:t>
      </w:r>
    </w:p>
    <w:p w14:paraId="3DF37E35">
      <w:pPr>
        <w:snapToGrid w:val="0"/>
        <w:spacing w:line="400" w:lineRule="exact"/>
        <w:ind w:firstLine="420" w:firstLineChars="200"/>
        <w:rPr>
          <w:rFonts w:hint="eastAsia" w:ascii="宋体" w:hAnsi="宋体" w:cs="宋体"/>
          <w:bCs/>
          <w:szCs w:val="21"/>
        </w:rPr>
      </w:pPr>
      <w:r>
        <w:rPr>
          <w:rFonts w:hint="eastAsia" w:ascii="宋体" w:hAnsi="宋体" w:cs="宋体"/>
          <w:szCs w:val="21"/>
        </w:rPr>
        <w:t>在满足本</w:t>
      </w:r>
      <w:r>
        <w:rPr>
          <w:rFonts w:hint="eastAsia" w:ascii="宋体" w:hAnsi="宋体" w:cs="宋体"/>
          <w:bCs/>
          <w:szCs w:val="21"/>
        </w:rPr>
        <w:t>项目</w:t>
      </w:r>
      <w:r>
        <w:rPr>
          <w:rFonts w:hint="eastAsia" w:ascii="宋体" w:hAnsi="宋体" w:cs="宋体"/>
          <w:szCs w:val="21"/>
        </w:rPr>
        <w:t>配置</w:t>
      </w:r>
      <w:r>
        <w:rPr>
          <w:rFonts w:hint="eastAsia" w:ascii="宋体" w:hAnsi="宋体" w:cs="宋体"/>
          <w:szCs w:val="21"/>
          <w:lang w:val="en-US" w:eastAsia="zh-CN"/>
        </w:rPr>
        <w:t>4</w:t>
      </w:r>
      <w:r>
        <w:rPr>
          <w:rFonts w:hint="eastAsia" w:ascii="宋体" w:hAnsi="宋体" w:cs="宋体"/>
          <w:szCs w:val="21"/>
          <w:lang w:eastAsia="zh-CN"/>
        </w:rPr>
        <w:t>（服务要求技术人员不少于</w:t>
      </w:r>
      <w:r>
        <w:rPr>
          <w:rFonts w:hint="eastAsia" w:ascii="宋体" w:hAnsi="宋体" w:cs="宋体"/>
          <w:szCs w:val="21"/>
          <w:lang w:val="en-US" w:eastAsia="zh-CN"/>
        </w:rPr>
        <w:t>4人，此处的2人是否有其他考虑？</w:t>
      </w:r>
      <w:r>
        <w:rPr>
          <w:rFonts w:hint="eastAsia" w:ascii="宋体" w:hAnsi="宋体" w:cs="宋体"/>
          <w:szCs w:val="21"/>
          <w:lang w:eastAsia="zh-CN"/>
        </w:rPr>
        <w:t>）</w:t>
      </w:r>
      <w:r>
        <w:rPr>
          <w:rFonts w:hint="eastAsia" w:ascii="宋体" w:hAnsi="宋体" w:cs="宋体"/>
          <w:szCs w:val="21"/>
        </w:rPr>
        <w:t>名维保人员的基础上，</w:t>
      </w:r>
      <w:r>
        <w:rPr>
          <w:rFonts w:hint="eastAsia" w:ascii="宋体" w:hAnsi="宋体" w:cs="宋体"/>
          <w:bCs/>
          <w:szCs w:val="21"/>
        </w:rPr>
        <w:t>每增加1人得5分，此项满分10分。</w:t>
      </w:r>
    </w:p>
    <w:p w14:paraId="1680B958">
      <w:pPr>
        <w:spacing w:line="400" w:lineRule="atLeast"/>
        <w:ind w:firstLine="420" w:firstLineChars="200"/>
        <w:rPr>
          <w:rFonts w:hint="eastAsia" w:ascii="宋体" w:hAnsi="宋体" w:cs="宋体"/>
          <w:szCs w:val="21"/>
        </w:rPr>
      </w:pPr>
      <w:r>
        <w:rPr>
          <w:rFonts w:hint="eastAsia" w:hAnsi="宋体" w:cs="宋体"/>
          <w:b/>
          <w:szCs w:val="21"/>
        </w:rPr>
        <w:t>备注：</w:t>
      </w:r>
      <w:r>
        <w:rPr>
          <w:rFonts w:hint="eastAsia" w:ascii="宋体" w:hAnsi="宋体"/>
          <w:b/>
          <w:bCs/>
          <w:szCs w:val="21"/>
        </w:rPr>
        <w:t>需提供人员名单、2</w:t>
      </w:r>
      <w:r>
        <w:rPr>
          <w:rFonts w:ascii="宋体" w:hAnsi="宋体"/>
          <w:b/>
          <w:bCs/>
          <w:szCs w:val="21"/>
        </w:rPr>
        <w:t>02</w:t>
      </w:r>
      <w:r>
        <w:rPr>
          <w:rFonts w:hint="eastAsia" w:ascii="宋体" w:hAnsi="宋体"/>
          <w:b/>
          <w:bCs/>
          <w:szCs w:val="21"/>
          <w:lang w:val="en-US" w:eastAsia="zh-CN"/>
        </w:rPr>
        <w:t>6</w:t>
      </w:r>
      <w:r>
        <w:rPr>
          <w:rFonts w:hint="eastAsia" w:ascii="宋体" w:hAnsi="宋体"/>
          <w:b/>
          <w:bCs/>
          <w:szCs w:val="21"/>
        </w:rPr>
        <w:t>年1月</w:t>
      </w:r>
      <w:r>
        <w:rPr>
          <w:rFonts w:ascii="宋体" w:hAnsi="宋体"/>
          <w:b/>
          <w:bCs/>
          <w:szCs w:val="21"/>
        </w:rPr>
        <w:t>以</w:t>
      </w:r>
      <w:r>
        <w:rPr>
          <w:rFonts w:hint="eastAsia" w:ascii="宋体" w:hAnsi="宋体"/>
          <w:b/>
          <w:bCs/>
          <w:szCs w:val="21"/>
        </w:rPr>
        <w:t>来竞标</w:t>
      </w:r>
      <w:r>
        <w:rPr>
          <w:rFonts w:ascii="宋体" w:hAnsi="宋体"/>
          <w:b/>
          <w:bCs/>
          <w:szCs w:val="21"/>
        </w:rPr>
        <w:t>人为</w:t>
      </w:r>
      <w:r>
        <w:rPr>
          <w:rFonts w:hint="eastAsia" w:ascii="宋体" w:hAnsi="宋体"/>
          <w:b/>
          <w:bCs/>
          <w:szCs w:val="21"/>
        </w:rPr>
        <w:t>工作人</w:t>
      </w:r>
      <w:r>
        <w:rPr>
          <w:rFonts w:ascii="宋体" w:hAnsi="宋体"/>
          <w:b/>
          <w:bCs/>
          <w:szCs w:val="21"/>
        </w:rPr>
        <w:t>员缴纳</w:t>
      </w:r>
      <w:r>
        <w:rPr>
          <w:rFonts w:hint="eastAsia" w:ascii="宋体" w:hAnsi="宋体"/>
          <w:b/>
          <w:bCs/>
          <w:szCs w:val="21"/>
        </w:rPr>
        <w:t>的任意</w:t>
      </w:r>
      <w:r>
        <w:rPr>
          <w:rFonts w:ascii="宋体" w:hAnsi="宋体"/>
          <w:b/>
          <w:bCs/>
          <w:szCs w:val="21"/>
        </w:rPr>
        <w:t>3</w:t>
      </w:r>
      <w:r>
        <w:rPr>
          <w:rFonts w:hint="eastAsia" w:ascii="宋体" w:hAnsi="宋体"/>
          <w:b/>
          <w:bCs/>
          <w:szCs w:val="21"/>
        </w:rPr>
        <w:t>个月的社保证明或者有效期内的劳动合同（</w:t>
      </w:r>
      <w:r>
        <w:rPr>
          <w:rFonts w:ascii="宋体" w:hAnsi="宋体"/>
          <w:b/>
          <w:bCs/>
          <w:szCs w:val="21"/>
        </w:rPr>
        <w:t>协议）</w:t>
      </w:r>
      <w:r>
        <w:rPr>
          <w:rFonts w:hint="eastAsia" w:ascii="宋体" w:hAnsi="宋体"/>
          <w:b/>
          <w:bCs/>
          <w:szCs w:val="21"/>
        </w:rPr>
        <w:t>、</w:t>
      </w:r>
      <w:r>
        <w:rPr>
          <w:rFonts w:hint="eastAsia" w:ascii="宋体" w:hAnsi="宋体" w:eastAsia="宋体" w:cs="宋体"/>
          <w:b/>
          <w:bCs/>
          <w:sz w:val="21"/>
          <w:szCs w:val="21"/>
          <w:highlight w:val="none"/>
        </w:rPr>
        <w:t>特种作业操作证（高压电工</w:t>
      </w:r>
      <w:r>
        <w:rPr>
          <w:rFonts w:hint="eastAsia" w:ascii="宋体" w:hAnsi="宋体" w:eastAsia="宋体" w:cs="宋体"/>
          <w:b/>
          <w:bCs/>
          <w:sz w:val="21"/>
          <w:szCs w:val="21"/>
          <w:highlight w:val="none"/>
          <w:lang w:eastAsia="zh-CN"/>
        </w:rPr>
        <w:t>作业类</w:t>
      </w:r>
      <w:r>
        <w:rPr>
          <w:rFonts w:hint="eastAsia" w:ascii="宋体" w:hAnsi="宋体" w:eastAsia="宋体" w:cs="宋体"/>
          <w:b/>
          <w:bCs/>
          <w:sz w:val="21"/>
          <w:szCs w:val="21"/>
          <w:highlight w:val="none"/>
        </w:rPr>
        <w:t>）</w:t>
      </w:r>
      <w:r>
        <w:rPr>
          <w:rFonts w:hint="eastAsia" w:ascii="宋体" w:hAnsi="宋体" w:eastAsia="宋体" w:cs="宋体"/>
          <w:b/>
          <w:bCs/>
          <w:sz w:val="21"/>
          <w:szCs w:val="21"/>
          <w:highlight w:val="none"/>
          <w:lang w:eastAsia="zh-CN"/>
        </w:rPr>
        <w:t>或</w:t>
      </w:r>
      <w:r>
        <w:rPr>
          <w:rFonts w:hint="eastAsia" w:ascii="宋体" w:hAnsi="宋体" w:eastAsia="宋体" w:cs="宋体"/>
          <w:b/>
          <w:bCs/>
          <w:sz w:val="21"/>
          <w:szCs w:val="21"/>
          <w:highlight w:val="none"/>
        </w:rPr>
        <w:t>电工进网作业许可证</w:t>
      </w:r>
      <w:r>
        <w:rPr>
          <w:rFonts w:hint="eastAsia" w:ascii="宋体" w:hAnsi="宋体" w:cs="宋体"/>
          <w:b/>
          <w:bCs/>
          <w:szCs w:val="21"/>
          <w:highlight w:val="none"/>
        </w:rPr>
        <w:commentReference w:id="11"/>
      </w:r>
      <w:r>
        <w:rPr>
          <w:rFonts w:hint="eastAsia" w:ascii="宋体" w:hAnsi="宋体" w:cs="宋体"/>
          <w:b/>
          <w:bCs/>
          <w:szCs w:val="21"/>
          <w:highlight w:val="none"/>
        </w:rPr>
        <w:commentReference w:id="12"/>
      </w:r>
      <w:r>
        <w:rPr>
          <w:rFonts w:hint="eastAsia" w:ascii="宋体" w:hAnsi="宋体" w:cs="宋体"/>
          <w:b/>
          <w:bCs/>
          <w:szCs w:val="21"/>
        </w:rPr>
        <w:t>。</w:t>
      </w:r>
    </w:p>
    <w:p w14:paraId="668FAB8D">
      <w:pPr>
        <w:autoSpaceDE/>
        <w:autoSpaceDN/>
        <w:spacing w:line="400" w:lineRule="atLeast"/>
        <w:ind w:firstLine="420" w:firstLineChars="200"/>
        <w:rPr>
          <w:rFonts w:hint="eastAsia" w:ascii="宋体" w:hAnsi="宋体" w:cs="宋体"/>
          <w:color w:val="000000"/>
          <w:szCs w:val="21"/>
        </w:rPr>
      </w:pPr>
      <w:r>
        <w:rPr>
          <w:rFonts w:hint="eastAsia" w:ascii="宋体" w:hAnsi="宋体"/>
          <w:b/>
          <w:bCs/>
          <w:szCs w:val="21"/>
        </w:rPr>
        <w:t>未提供以上内容，不得分。</w:t>
      </w:r>
    </w:p>
    <w:p w14:paraId="56398C92">
      <w:pPr>
        <w:spacing w:line="400" w:lineRule="exact"/>
        <w:ind w:firstLine="420" w:firstLineChars="200"/>
        <w:rPr>
          <w:rFonts w:ascii="宋体" w:hAnsi="宋体"/>
          <w:b/>
          <w:bCs/>
          <w:szCs w:val="20"/>
        </w:rPr>
      </w:pPr>
      <w:r>
        <w:rPr>
          <w:rFonts w:hint="eastAsia" w:ascii="宋体" w:hAnsi="宋体"/>
          <w:b/>
          <w:bCs/>
          <w:szCs w:val="20"/>
        </w:rPr>
        <w:t>三、商务分……………………………………………………………………………………………20分</w:t>
      </w:r>
    </w:p>
    <w:p w14:paraId="3152CED2">
      <w:pPr>
        <w:spacing w:line="400" w:lineRule="exact"/>
        <w:ind w:firstLine="420" w:firstLineChars="200"/>
        <w:rPr>
          <w:rFonts w:hint="eastAsia"/>
        </w:rPr>
      </w:pPr>
      <w:r>
        <w:rPr>
          <w:rFonts w:hint="eastAsia"/>
          <w:lang w:val="en-US" w:eastAsia="zh-CN"/>
        </w:rPr>
        <w:t>1.</w:t>
      </w:r>
      <w:r>
        <w:rPr>
          <w:rFonts w:hint="eastAsia"/>
        </w:rPr>
        <w:t>供应商自2023年6月1日（以合同签订或生效时间为准）以来承接</w:t>
      </w:r>
      <w:r>
        <w:rPr>
          <w:rFonts w:hint="eastAsia" w:ascii="宋体" w:hAnsi="宋体" w:cs="宋体"/>
          <w:bCs/>
          <w:szCs w:val="21"/>
        </w:rPr>
        <w:t>类似配电运维</w:t>
      </w:r>
      <w:r>
        <w:rPr>
          <w:rFonts w:hint="eastAsia" w:ascii="宋体" w:hAnsi="宋体" w:cs="宋体"/>
          <w:bCs/>
          <w:color w:val="000000"/>
          <w:szCs w:val="21"/>
        </w:rPr>
        <w:t>业绩的</w:t>
      </w:r>
      <w:r>
        <w:rPr>
          <w:rFonts w:hint="eastAsia"/>
        </w:rPr>
        <w:t>，每个业绩得4分；此项满分20分。</w:t>
      </w:r>
    </w:p>
    <w:p w14:paraId="1052673A">
      <w:pPr>
        <w:spacing w:line="400" w:lineRule="exact"/>
        <w:ind w:firstLine="420" w:firstLineChars="200"/>
        <w:rPr>
          <w:rFonts w:hint="eastAsia" w:eastAsia="宋体"/>
          <w:lang w:eastAsia="zh-CN"/>
        </w:rPr>
      </w:pPr>
      <w:r>
        <w:rPr>
          <w:rFonts w:hint="eastAsia"/>
          <w:lang w:eastAsia="zh-CN"/>
        </w:rPr>
        <w:t>备注：</w:t>
      </w:r>
      <w:r>
        <w:rPr>
          <w:rFonts w:hint="eastAsia" w:ascii="宋体" w:hAnsi="宋体"/>
          <w:b/>
          <w:bCs/>
          <w:szCs w:val="21"/>
        </w:rPr>
        <w:t>需提供上述类似项目业绩的合同或者中标（成交）通知书复印件并加盖投标人公章。未提供本项内容的，得 0 分</w:t>
      </w:r>
      <w:r>
        <w:rPr>
          <w:rFonts w:hint="eastAsia" w:ascii="宋体" w:hAnsi="宋体"/>
          <w:b/>
          <w:bCs/>
          <w:szCs w:val="21"/>
          <w:lang w:eastAsia="zh-CN"/>
        </w:rPr>
        <w:t>。</w:t>
      </w:r>
    </w:p>
    <w:p w14:paraId="4A37B858">
      <w:pPr>
        <w:spacing w:line="400" w:lineRule="exact"/>
        <w:ind w:firstLine="420" w:firstLineChars="200"/>
        <w:rPr>
          <w:rFonts w:ascii="宋体" w:hAnsi="宋体"/>
          <w:b/>
          <w:bCs/>
          <w:szCs w:val="20"/>
        </w:rPr>
      </w:pPr>
      <w:r>
        <w:rPr>
          <w:rFonts w:hint="eastAsia" w:ascii="宋体" w:hAnsi="宋体"/>
          <w:b/>
          <w:bCs/>
          <w:szCs w:val="20"/>
        </w:rPr>
        <w:t>三、总得分=1+2+3</w:t>
      </w:r>
    </w:p>
    <w:p w14:paraId="31A8F7C8">
      <w:pPr>
        <w:spacing w:line="400" w:lineRule="exact"/>
        <w:ind w:firstLine="420" w:firstLineChars="200"/>
        <w:rPr>
          <w:rFonts w:ascii="宋体" w:hAnsi="宋体"/>
          <w:szCs w:val="20"/>
        </w:rPr>
      </w:pPr>
      <w:r>
        <w:rPr>
          <w:rFonts w:hint="eastAsia" w:ascii="宋体" w:hAnsi="宋体"/>
          <w:szCs w:val="20"/>
        </w:rPr>
        <w:t>四、成交标准：</w:t>
      </w:r>
    </w:p>
    <w:p w14:paraId="54EFFC34">
      <w:pPr>
        <w:spacing w:line="400" w:lineRule="exact"/>
        <w:ind w:firstLine="420" w:firstLineChars="200"/>
        <w:jc w:val="left"/>
        <w:textAlignment w:val="baseline"/>
        <w:rPr>
          <w:rFonts w:ascii="宋体" w:hAnsi="宋体"/>
          <w:sz w:val="20"/>
          <w:szCs w:val="21"/>
        </w:rPr>
      </w:pPr>
      <w:r>
        <w:rPr>
          <w:rFonts w:hint="eastAsia" w:ascii="宋体" w:hAnsi="宋体"/>
          <w:szCs w:val="20"/>
        </w:rPr>
        <w:t>1、</w:t>
      </w:r>
      <w:r>
        <w:rPr>
          <w:rFonts w:hint="eastAsia" w:ascii="宋体" w:hAnsi="宋体"/>
          <w:bCs/>
          <w:szCs w:val="20"/>
        </w:rPr>
        <w:t>评审小组</w:t>
      </w:r>
      <w:r>
        <w:rPr>
          <w:rFonts w:hint="eastAsia" w:ascii="宋体" w:hAnsi="宋体"/>
          <w:szCs w:val="21"/>
        </w:rPr>
        <w:t>应当根据</w:t>
      </w:r>
      <w:r>
        <w:rPr>
          <w:rFonts w:hint="eastAsia" w:ascii="宋体" w:hAnsi="宋体"/>
          <w:bCs/>
          <w:szCs w:val="21"/>
        </w:rPr>
        <w:t>综合</w:t>
      </w:r>
      <w:r>
        <w:rPr>
          <w:rFonts w:hint="eastAsia" w:ascii="宋体" w:hAnsi="宋体"/>
          <w:szCs w:val="21"/>
        </w:rPr>
        <w:t>评分情况，按照评审得分由高到低顺序推荐3名成交候选供应商，并编写评审报告。评审得分相同的，按照报价由低到高的顺序推荐。评审得分且报价相同的，按照技术指标优劣顺序推荐。</w:t>
      </w:r>
      <w:r>
        <w:rPr>
          <w:rFonts w:hint="eastAsia" w:ascii="宋体" w:hAnsi="宋体"/>
          <w:bCs/>
          <w:szCs w:val="21"/>
        </w:rPr>
        <w:t>综合评分第一名的为第一成交候选人，排名第二的为第二成交候选人，以此类推。</w:t>
      </w:r>
    </w:p>
    <w:p w14:paraId="6E36CF69">
      <w:pPr>
        <w:spacing w:line="360" w:lineRule="exact"/>
        <w:ind w:firstLine="420" w:firstLineChars="200"/>
        <w:rPr>
          <w:rFonts w:hAnsi="宋体"/>
          <w:bCs/>
        </w:rPr>
      </w:pPr>
      <w:r>
        <w:rPr>
          <w:rFonts w:hint="eastAsia" w:hAnsi="宋体"/>
          <w:bCs/>
        </w:rPr>
        <w:t>2、评审小组认为，某供应商的报价明显不合理或者低于成本，有可能影响服务质量和不能诚信履约的，应当要求其在规定的期限内提供书面文件予以解释说明，并提交相关证明材料。供应不能合理说明或者不能提供相关证明材料的，视作该供应商以低于成本报价响应，其响应无效。</w:t>
      </w:r>
    </w:p>
    <w:p w14:paraId="16CC5E27">
      <w:pPr>
        <w:rPr>
          <w:rFonts w:ascii="宋体" w:hAnsi="宋体"/>
          <w:szCs w:val="20"/>
        </w:rPr>
      </w:pPr>
    </w:p>
    <w:p w14:paraId="5C294795">
      <w:pPr>
        <w:rPr>
          <w:rFonts w:ascii="宋体" w:hAnsi="宋体"/>
          <w:szCs w:val="20"/>
        </w:rPr>
      </w:pPr>
    </w:p>
    <w:p w14:paraId="3ABFFEAD">
      <w:pPr>
        <w:pStyle w:val="21"/>
        <w:ind w:firstLine="210"/>
        <w:rPr>
          <w:szCs w:val="20"/>
        </w:rPr>
      </w:pPr>
    </w:p>
    <w:p w14:paraId="6C602D8C">
      <w:pPr>
        <w:pStyle w:val="21"/>
        <w:ind w:firstLine="210"/>
        <w:rPr>
          <w:szCs w:val="20"/>
        </w:rPr>
      </w:pPr>
    </w:p>
    <w:p w14:paraId="705858D9">
      <w:pPr>
        <w:pStyle w:val="21"/>
        <w:ind w:firstLine="210"/>
        <w:rPr>
          <w:szCs w:val="20"/>
        </w:rPr>
      </w:pPr>
    </w:p>
    <w:p w14:paraId="4940A4CD">
      <w:pPr>
        <w:pStyle w:val="21"/>
        <w:ind w:firstLine="210"/>
        <w:rPr>
          <w:szCs w:val="20"/>
        </w:rPr>
      </w:pPr>
    </w:p>
    <w:p w14:paraId="1A56E233">
      <w:pPr>
        <w:pStyle w:val="21"/>
        <w:ind w:firstLine="210"/>
        <w:rPr>
          <w:szCs w:val="20"/>
        </w:rPr>
      </w:pPr>
    </w:p>
    <w:p w14:paraId="2ABE55CA">
      <w:pPr>
        <w:pStyle w:val="21"/>
        <w:ind w:firstLine="0" w:firstLineChars="0"/>
        <w:rPr>
          <w:szCs w:val="20"/>
        </w:rPr>
      </w:pPr>
    </w:p>
    <w:p w14:paraId="018CE9A4">
      <w:pPr>
        <w:pStyle w:val="21"/>
        <w:ind w:firstLine="0" w:firstLineChars="0"/>
        <w:rPr>
          <w:szCs w:val="20"/>
        </w:rPr>
      </w:pPr>
    </w:p>
    <w:p w14:paraId="6E442BB2">
      <w:pPr>
        <w:pStyle w:val="21"/>
        <w:ind w:firstLine="0" w:firstLineChars="0"/>
        <w:rPr>
          <w:szCs w:val="20"/>
        </w:rPr>
      </w:pPr>
    </w:p>
    <w:p w14:paraId="63EDE329">
      <w:pPr>
        <w:pStyle w:val="21"/>
        <w:ind w:firstLine="0" w:firstLineChars="0"/>
        <w:rPr>
          <w:szCs w:val="20"/>
        </w:rPr>
      </w:pPr>
    </w:p>
    <w:p w14:paraId="402A4A1B">
      <w:pPr>
        <w:pStyle w:val="5"/>
        <w:spacing w:line="400" w:lineRule="exact"/>
        <w:jc w:val="center"/>
      </w:pPr>
      <w:r>
        <w:rPr>
          <w:rFonts w:hint="eastAsia"/>
        </w:rPr>
        <w:t>第四章 响应文件及格式</w:t>
      </w:r>
    </w:p>
    <w:p w14:paraId="4F5262BE">
      <w:pPr>
        <w:spacing w:line="600" w:lineRule="exact"/>
        <w:jc w:val="center"/>
        <w:rPr>
          <w:rFonts w:ascii="宋体" w:hAnsi="宋体"/>
          <w:b/>
          <w:sz w:val="44"/>
          <w:szCs w:val="44"/>
        </w:rPr>
      </w:pPr>
    </w:p>
    <w:p w14:paraId="3CD1B621">
      <w:pPr>
        <w:spacing w:line="600" w:lineRule="exact"/>
        <w:jc w:val="center"/>
        <w:rPr>
          <w:rFonts w:ascii="宋体" w:hAnsi="宋体"/>
          <w:b/>
          <w:sz w:val="44"/>
          <w:szCs w:val="44"/>
        </w:rPr>
      </w:pPr>
      <w:r>
        <w:rPr>
          <w:rFonts w:ascii="宋体" w:hAnsi="宋体"/>
          <w:b/>
          <w:sz w:val="44"/>
          <w:szCs w:val="44"/>
        </w:rPr>
        <w:t>目  录</w:t>
      </w:r>
    </w:p>
    <w:p w14:paraId="260AE019">
      <w:pPr>
        <w:spacing w:line="360" w:lineRule="exact"/>
        <w:ind w:firstLine="420" w:firstLineChars="200"/>
        <w:rPr>
          <w:rFonts w:ascii="宋体" w:hAnsi="宋体"/>
          <w:szCs w:val="21"/>
        </w:rPr>
      </w:pPr>
      <w:r>
        <w:rPr>
          <w:rFonts w:hint="eastAsia" w:ascii="宋体" w:hAnsi="宋体"/>
          <w:szCs w:val="21"/>
        </w:rPr>
        <w:t>一、报价表</w:t>
      </w:r>
      <w:r>
        <w:rPr>
          <w:rFonts w:hint="eastAsia" w:ascii="宋体" w:hAnsi="宋体"/>
          <w:b/>
          <w:szCs w:val="21"/>
        </w:rPr>
        <w:t>（必须提供）（格式后附）</w:t>
      </w:r>
      <w:r>
        <w:rPr>
          <w:rFonts w:hint="eastAsia" w:ascii="宋体" w:hAnsi="宋体"/>
          <w:szCs w:val="21"/>
        </w:rPr>
        <w:t>…………………………………………………………………</w:t>
      </w:r>
    </w:p>
    <w:p w14:paraId="73B45AF8">
      <w:pPr>
        <w:spacing w:line="360" w:lineRule="exact"/>
        <w:ind w:firstLine="420" w:firstLineChars="200"/>
        <w:rPr>
          <w:rFonts w:ascii="宋体" w:hAnsi="宋体"/>
          <w:szCs w:val="21"/>
        </w:rPr>
      </w:pPr>
      <w:r>
        <w:rPr>
          <w:rFonts w:hint="eastAsia" w:ascii="宋体" w:hAnsi="宋体"/>
          <w:szCs w:val="21"/>
        </w:rPr>
        <w:t>二、声明书</w:t>
      </w:r>
      <w:r>
        <w:rPr>
          <w:rFonts w:hint="eastAsia" w:ascii="宋体" w:hAnsi="宋体"/>
          <w:b/>
          <w:szCs w:val="21"/>
        </w:rPr>
        <w:t>（必须提供）（格式后附）</w:t>
      </w:r>
      <w:r>
        <w:rPr>
          <w:rFonts w:hint="eastAsia" w:ascii="宋体" w:hAnsi="宋体"/>
          <w:szCs w:val="21"/>
        </w:rPr>
        <w:t>…………………………………………………………………</w:t>
      </w:r>
    </w:p>
    <w:p w14:paraId="5B77298A">
      <w:pPr>
        <w:spacing w:line="360" w:lineRule="exact"/>
        <w:ind w:firstLine="420" w:firstLineChars="200"/>
        <w:rPr>
          <w:rFonts w:ascii="宋体" w:hAnsi="宋体"/>
          <w:szCs w:val="21"/>
        </w:rPr>
      </w:pPr>
      <w:r>
        <w:rPr>
          <w:rFonts w:hint="eastAsia" w:ascii="宋体" w:hAnsi="宋体"/>
          <w:szCs w:val="21"/>
        </w:rPr>
        <w:t>三、技术及商务响应及偏离情况说明表</w:t>
      </w:r>
      <w:r>
        <w:rPr>
          <w:rFonts w:hint="eastAsia" w:ascii="宋体" w:hAnsi="宋体"/>
          <w:b/>
          <w:szCs w:val="21"/>
        </w:rPr>
        <w:t>（必须提供）（格式后附）</w:t>
      </w:r>
      <w:r>
        <w:rPr>
          <w:rFonts w:hint="eastAsia" w:ascii="宋体" w:hAnsi="宋体"/>
          <w:szCs w:val="21"/>
        </w:rPr>
        <w:t>……………………………………</w:t>
      </w:r>
    </w:p>
    <w:p w14:paraId="0877548C">
      <w:pPr>
        <w:spacing w:line="360" w:lineRule="exact"/>
        <w:ind w:firstLine="420" w:firstLineChars="200"/>
        <w:rPr>
          <w:rFonts w:ascii="宋体" w:hAnsi="宋体"/>
          <w:szCs w:val="21"/>
        </w:rPr>
      </w:pPr>
      <w:r>
        <w:rPr>
          <w:rFonts w:hint="eastAsia" w:ascii="宋体" w:hAnsi="宋体"/>
          <w:szCs w:val="21"/>
        </w:rPr>
        <w:t>四、</w:t>
      </w:r>
      <w:r>
        <w:rPr>
          <w:rFonts w:hint="eastAsia" w:ascii="宋体" w:hAnsi="宋体" w:cs="宋体"/>
          <w:szCs w:val="21"/>
        </w:rPr>
        <w:t>供应商为法人或者其他组织的提供其营业执照等证明文件（如营业执照或者事业单位法人证书或者执业许可证或者登记证书等），供应商为自然人的提供其身份证复印件；</w:t>
      </w:r>
      <w:r>
        <w:rPr>
          <w:rFonts w:hint="eastAsia" w:ascii="宋体" w:hAnsi="宋体"/>
          <w:b/>
          <w:szCs w:val="21"/>
        </w:rPr>
        <w:t>（必须提供）（格式后附）</w:t>
      </w:r>
      <w:r>
        <w:rPr>
          <w:rFonts w:hint="eastAsia" w:ascii="宋体" w:hAnsi="宋体"/>
          <w:szCs w:val="21"/>
        </w:rPr>
        <w:t>…</w:t>
      </w:r>
    </w:p>
    <w:p w14:paraId="398397B4">
      <w:pPr>
        <w:spacing w:line="360" w:lineRule="exact"/>
        <w:ind w:firstLine="420" w:firstLineChars="200"/>
        <w:rPr>
          <w:rFonts w:ascii="宋体" w:hAnsi="宋体"/>
          <w:szCs w:val="21"/>
        </w:rPr>
      </w:pPr>
      <w:r>
        <w:rPr>
          <w:rFonts w:hint="eastAsia" w:ascii="宋体" w:hAnsi="宋体"/>
          <w:szCs w:val="21"/>
        </w:rPr>
        <w:t>五、法定代表人身份证复印件，委托代理时还须提供法定代表人授权委托书原件及被授权人身份证复印件（</w:t>
      </w:r>
      <w:r>
        <w:rPr>
          <w:rFonts w:hint="eastAsia" w:ascii="宋体" w:hAnsi="宋体"/>
          <w:b/>
          <w:szCs w:val="21"/>
        </w:rPr>
        <w:t>除自然人竞标外必须提供</w:t>
      </w:r>
      <w:r>
        <w:rPr>
          <w:rFonts w:hint="eastAsia" w:ascii="宋体" w:hAnsi="宋体"/>
          <w:szCs w:val="21"/>
        </w:rPr>
        <w:t>）………………………………</w:t>
      </w:r>
    </w:p>
    <w:p w14:paraId="728E9A78">
      <w:pPr>
        <w:spacing w:line="440" w:lineRule="exact"/>
        <w:ind w:firstLine="420" w:firstLineChars="200"/>
        <w:textAlignment w:val="baseline"/>
        <w:rPr>
          <w:rFonts w:ascii="宋体" w:hAnsi="宋体"/>
          <w:szCs w:val="21"/>
        </w:rPr>
      </w:pPr>
      <w:r>
        <w:rPr>
          <w:rFonts w:hint="eastAsia" w:ascii="宋体" w:hAnsi="宋体"/>
          <w:szCs w:val="21"/>
        </w:rPr>
        <w:t>六、</w:t>
      </w:r>
      <w:r>
        <w:rPr>
          <w:rFonts w:hint="eastAsia" w:ascii="宋体" w:hAnsi="宋体" w:cs="宋体"/>
          <w:szCs w:val="21"/>
        </w:rPr>
        <w:t>供应商依法缴纳税收的相关材料（</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6</w:t>
      </w:r>
      <w:r>
        <w:rPr>
          <w:rFonts w:hint="eastAsia" w:ascii="宋体" w:hAnsi="宋体" w:cs="宋体"/>
          <w:szCs w:val="21"/>
        </w:rPr>
        <w:t>月内连续3个月的依法缴纳税收的凭据复印件；</w:t>
      </w:r>
      <w:r>
        <w:rPr>
          <w:rFonts w:hint="eastAsia" w:ascii="宋体" w:hAnsi="宋体"/>
          <w:szCs w:val="21"/>
        </w:rPr>
        <w:t>依法免税的，必须提供相应文件证明其依法免税。</w:t>
      </w:r>
      <w:r>
        <w:rPr>
          <w:rFonts w:hint="eastAsia" w:ascii="宋体" w:hAnsi="宋体" w:cs="宋体"/>
          <w:szCs w:val="21"/>
        </w:rPr>
        <w:t>从</w:t>
      </w:r>
      <w:r>
        <w:rPr>
          <w:rFonts w:ascii="宋体" w:hAnsi="宋体"/>
          <w:szCs w:val="21"/>
        </w:rPr>
        <w:t>成立</w:t>
      </w:r>
      <w:r>
        <w:rPr>
          <w:rFonts w:hint="eastAsia" w:ascii="宋体" w:hAnsi="宋体"/>
          <w:szCs w:val="21"/>
        </w:rPr>
        <w:t>之日起</w:t>
      </w:r>
      <w:r>
        <w:rPr>
          <w:rFonts w:hint="eastAsia" w:ascii="宋体" w:hAnsi="宋体" w:cs="宋体"/>
          <w:szCs w:val="21"/>
        </w:rPr>
        <w:t>到响应文件提交截止时间止不足要求月数的，只需提供从</w:t>
      </w:r>
      <w:r>
        <w:rPr>
          <w:rFonts w:ascii="宋体" w:hAnsi="宋体"/>
          <w:szCs w:val="21"/>
        </w:rPr>
        <w:t>成立</w:t>
      </w:r>
      <w:r>
        <w:rPr>
          <w:rFonts w:hint="eastAsia" w:ascii="宋体" w:hAnsi="宋体"/>
          <w:szCs w:val="21"/>
        </w:rPr>
        <w:t>之日起</w:t>
      </w:r>
      <w:r>
        <w:rPr>
          <w:rFonts w:hint="eastAsia" w:ascii="宋体" w:hAnsi="宋体" w:cs="宋体"/>
          <w:szCs w:val="21"/>
        </w:rPr>
        <w:t>的依法缴纳税收</w:t>
      </w:r>
      <w:r>
        <w:rPr>
          <w:rFonts w:hint="eastAsia" w:ascii="宋体" w:hAnsi="宋体"/>
          <w:szCs w:val="21"/>
        </w:rPr>
        <w:t>相应证明文件</w:t>
      </w:r>
      <w:r>
        <w:rPr>
          <w:rFonts w:hint="eastAsia" w:ascii="宋体" w:hAnsi="宋体" w:cs="宋体"/>
          <w:szCs w:val="21"/>
        </w:rPr>
        <w:t>）</w:t>
      </w:r>
      <w:r>
        <w:rPr>
          <w:rFonts w:hint="eastAsia" w:ascii="宋体" w:hAnsi="宋体"/>
          <w:szCs w:val="21"/>
        </w:rPr>
        <w:t>（格式自拟，复印件）</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p>
    <w:p w14:paraId="2255E47A">
      <w:pPr>
        <w:spacing w:line="440" w:lineRule="exact"/>
        <w:ind w:firstLine="420" w:firstLineChars="200"/>
        <w:textAlignment w:val="baseline"/>
        <w:rPr>
          <w:rFonts w:ascii="宋体" w:hAnsi="宋体"/>
          <w:szCs w:val="21"/>
        </w:rPr>
      </w:pPr>
      <w:r>
        <w:rPr>
          <w:rFonts w:hint="eastAsia" w:ascii="宋体" w:hAnsi="宋体"/>
          <w:szCs w:val="21"/>
        </w:rPr>
        <w:t>七、</w:t>
      </w:r>
      <w:r>
        <w:rPr>
          <w:rFonts w:hint="eastAsia" w:ascii="宋体" w:hAnsi="宋体" w:cs="宋体"/>
          <w:szCs w:val="21"/>
        </w:rPr>
        <w:t>供应商依法缴纳社会保障资金的相关材料[</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6</w:t>
      </w:r>
      <w:r>
        <w:rPr>
          <w:rFonts w:hint="eastAsia" w:ascii="宋体" w:hAnsi="宋体" w:cs="宋体"/>
          <w:szCs w:val="21"/>
        </w:rPr>
        <w:t>月内连续3个月的依法缴纳社会保障资金的缴费凭证（专用收据或者社会保险缴纳清单）复印件；</w:t>
      </w:r>
      <w:r>
        <w:rPr>
          <w:rFonts w:hint="eastAsia" w:ascii="宋体" w:hAnsi="宋体"/>
          <w:szCs w:val="21"/>
        </w:rPr>
        <w:t>依法不需要缴纳社会保障资金的，必须提供相应文件证明不需要缴纳社会保障资金。</w:t>
      </w:r>
      <w:r>
        <w:rPr>
          <w:rFonts w:hint="eastAsia" w:ascii="宋体" w:hAnsi="宋体" w:cs="宋体"/>
          <w:szCs w:val="21"/>
        </w:rPr>
        <w:t>从</w:t>
      </w:r>
      <w:r>
        <w:rPr>
          <w:rFonts w:ascii="宋体" w:hAnsi="宋体"/>
          <w:szCs w:val="21"/>
        </w:rPr>
        <w:t>成立</w:t>
      </w:r>
      <w:r>
        <w:rPr>
          <w:rFonts w:hint="eastAsia" w:ascii="宋体" w:hAnsi="宋体"/>
          <w:szCs w:val="21"/>
        </w:rPr>
        <w:t>之日起</w:t>
      </w:r>
      <w:r>
        <w:rPr>
          <w:rFonts w:hint="eastAsia" w:ascii="宋体" w:hAnsi="宋体" w:cs="宋体"/>
          <w:szCs w:val="21"/>
        </w:rPr>
        <w:t>到响应文件提交截止时间止不足要求月数的只需提供从</w:t>
      </w:r>
      <w:r>
        <w:rPr>
          <w:rFonts w:ascii="宋体" w:hAnsi="宋体"/>
          <w:szCs w:val="21"/>
        </w:rPr>
        <w:t>成立</w:t>
      </w:r>
      <w:r>
        <w:rPr>
          <w:rFonts w:hint="eastAsia" w:ascii="宋体" w:hAnsi="宋体"/>
          <w:szCs w:val="21"/>
        </w:rPr>
        <w:t>之日起</w:t>
      </w:r>
      <w:r>
        <w:rPr>
          <w:rFonts w:hint="eastAsia" w:ascii="宋体" w:hAnsi="宋体" w:cs="宋体"/>
          <w:szCs w:val="21"/>
        </w:rPr>
        <w:t>的依法缴纳社会保障资金的</w:t>
      </w:r>
      <w:r>
        <w:rPr>
          <w:rFonts w:hint="eastAsia" w:ascii="宋体" w:hAnsi="宋体"/>
          <w:szCs w:val="21"/>
        </w:rPr>
        <w:t>相应证明文件</w:t>
      </w:r>
      <w:r>
        <w:rPr>
          <w:rFonts w:hint="eastAsia" w:ascii="宋体" w:hAnsi="宋体" w:cs="宋体"/>
          <w:szCs w:val="21"/>
        </w:rPr>
        <w:t>]；</w:t>
      </w:r>
      <w:r>
        <w:rPr>
          <w:rFonts w:hint="eastAsia" w:ascii="宋体" w:hAnsi="宋体"/>
          <w:szCs w:val="21"/>
        </w:rPr>
        <w:t>（格式自拟，复印件）</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2F0FCFD6">
      <w:pPr>
        <w:spacing w:line="440" w:lineRule="exact"/>
        <w:ind w:firstLine="420" w:firstLineChars="200"/>
        <w:textAlignment w:val="baseline"/>
        <w:rPr>
          <w:rFonts w:hint="eastAsia" w:ascii="宋体" w:hAnsi="宋体"/>
          <w:szCs w:val="21"/>
        </w:rPr>
      </w:pPr>
      <w:r>
        <w:rPr>
          <w:rFonts w:hint="eastAsia" w:ascii="宋体" w:hAnsi="宋体"/>
          <w:szCs w:val="21"/>
        </w:rPr>
        <w:t>八、供应商直接控股、管理关系信息表</w:t>
      </w:r>
      <w:r>
        <w:rPr>
          <w:rFonts w:hint="eastAsia" w:ascii="宋体" w:hAnsi="宋体"/>
          <w:b/>
          <w:szCs w:val="21"/>
        </w:rPr>
        <w:t>（格式后附）</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43971261">
      <w:pPr>
        <w:spacing w:line="440" w:lineRule="exact"/>
        <w:ind w:firstLine="420" w:firstLineChars="200"/>
        <w:textAlignment w:val="baseline"/>
        <w:rPr>
          <w:rFonts w:hint="eastAsia" w:eastAsia="宋体"/>
          <w:lang w:val="en-US" w:eastAsia="zh-CN"/>
        </w:rPr>
      </w:pPr>
      <w:r>
        <w:rPr>
          <w:rFonts w:hint="eastAsia" w:hAnsi="宋体"/>
          <w:szCs w:val="21"/>
          <w:lang w:val="en-US" w:eastAsia="zh-CN"/>
        </w:rPr>
        <w:t>九、本项目特定资格要求</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4E593501">
      <w:pPr>
        <w:spacing w:line="360" w:lineRule="exact"/>
        <w:ind w:firstLine="420" w:firstLineChars="200"/>
        <w:rPr>
          <w:rFonts w:ascii="宋体" w:hAnsi="宋体"/>
          <w:szCs w:val="21"/>
        </w:rPr>
      </w:pPr>
      <w:r>
        <w:rPr>
          <w:rFonts w:hint="eastAsia" w:ascii="宋体" w:hAnsi="宋体"/>
          <w:szCs w:val="21"/>
          <w:lang w:eastAsia="zh-CN"/>
        </w:rPr>
        <w:t>十</w:t>
      </w:r>
      <w:r>
        <w:rPr>
          <w:rFonts w:hint="eastAsia" w:ascii="宋体" w:hAnsi="宋体"/>
          <w:szCs w:val="21"/>
        </w:rPr>
        <w:t>、</w:t>
      </w:r>
      <w:r>
        <w:rPr>
          <w:rFonts w:hint="eastAsia"/>
        </w:rPr>
        <w:t>采购</w:t>
      </w:r>
      <w:r>
        <w:rPr>
          <w:rFonts w:hint="eastAsia" w:ascii="宋体" w:hAnsi="宋体"/>
          <w:szCs w:val="21"/>
        </w:rPr>
        <w:t>文件列明的其他资料，如业绩、方案等</w:t>
      </w:r>
      <w:r>
        <w:rPr>
          <w:rFonts w:hint="eastAsia" w:ascii="宋体" w:hAnsi="宋体"/>
          <w:b/>
          <w:szCs w:val="21"/>
        </w:rPr>
        <w:t>（如有，请提供）</w:t>
      </w:r>
      <w:r>
        <w:rPr>
          <w:rFonts w:hint="eastAsia" w:ascii="宋体" w:hAnsi="宋体"/>
          <w:szCs w:val="21"/>
        </w:rPr>
        <w:t>…………</w:t>
      </w:r>
    </w:p>
    <w:p w14:paraId="7A6C2C70">
      <w:pPr>
        <w:snapToGrid w:val="0"/>
        <w:spacing w:line="440" w:lineRule="exact"/>
        <w:ind w:firstLine="420" w:firstLineChars="200"/>
        <w:jc w:val="left"/>
        <w:textAlignment w:val="baseline"/>
        <w:rPr>
          <w:rFonts w:ascii="宋体" w:hAnsi="宋体" w:cs="宋体"/>
          <w:b/>
          <w:szCs w:val="21"/>
        </w:rPr>
      </w:pPr>
    </w:p>
    <w:p w14:paraId="05F521AC">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注：</w:t>
      </w:r>
    </w:p>
    <w:p w14:paraId="6FAB8D3E">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1.以上标明“必须提供”的材料属于资格证明文件，如不提供的，响应文件按无效响应处理。</w:t>
      </w:r>
    </w:p>
    <w:p w14:paraId="113E2BCD">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2.以上标明“必须提供”的材料属于复印件的，必须加盖供应商公章，否则响应文件按无效响应处理。</w:t>
      </w:r>
    </w:p>
    <w:p w14:paraId="1BA5DCBF">
      <w:pPr>
        <w:spacing w:line="360" w:lineRule="auto"/>
        <w:ind w:left="240"/>
        <w:jc w:val="left"/>
        <w:rPr>
          <w:rFonts w:hint="eastAsia" w:ascii="宋体" w:hAnsi="宋体"/>
          <w:b/>
          <w:sz w:val="24"/>
        </w:rPr>
      </w:pPr>
      <w:r>
        <w:br w:type="page"/>
      </w:r>
      <w:r>
        <w:rPr>
          <w:rFonts w:hint="eastAsia" w:ascii="宋体" w:hAnsi="宋体"/>
          <w:b/>
          <w:sz w:val="24"/>
        </w:rPr>
        <w:t>一、报价表（格式）</w:t>
      </w:r>
    </w:p>
    <w:p w14:paraId="117AEA7D">
      <w:pPr>
        <w:pStyle w:val="2"/>
        <w:jc w:val="center"/>
        <w:rPr>
          <w:rFonts w:hint="eastAsia" w:ascii="宋体" w:hAnsi="宋体" w:eastAsia="宋体"/>
          <w:b/>
          <w:sz w:val="36"/>
          <w:szCs w:val="24"/>
          <w:lang w:eastAsia="zh-CN"/>
        </w:rPr>
      </w:pPr>
      <w:r>
        <w:rPr>
          <w:rFonts w:hint="eastAsia" w:hAnsi="宋体"/>
          <w:b/>
          <w:sz w:val="36"/>
          <w:szCs w:val="24"/>
          <w:lang w:eastAsia="zh-CN"/>
        </w:rPr>
        <w:t>南宁市卫生学校设备维保子项1配电系统运维项目</w:t>
      </w:r>
    </w:p>
    <w:tbl>
      <w:tblPr>
        <w:tblStyle w:val="23"/>
        <w:tblW w:w="101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18"/>
        <w:gridCol w:w="1190"/>
        <w:gridCol w:w="1216"/>
        <w:gridCol w:w="2140"/>
        <w:gridCol w:w="968"/>
        <w:gridCol w:w="963"/>
        <w:gridCol w:w="2059"/>
      </w:tblGrid>
      <w:tr w14:paraId="17101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restart"/>
            <w:tcBorders>
              <w:top w:val="single" w:color="auto" w:sz="4" w:space="0"/>
              <w:left w:val="single" w:color="auto" w:sz="4" w:space="0"/>
              <w:bottom w:val="single" w:color="auto" w:sz="4" w:space="0"/>
              <w:right w:val="single" w:color="auto" w:sz="4" w:space="0"/>
            </w:tcBorders>
            <w:noWrap w:val="0"/>
            <w:vAlign w:val="center"/>
          </w:tcPr>
          <w:p w14:paraId="46C77269">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一、设备年度维保巡检目录</w:t>
            </w:r>
          </w:p>
        </w:tc>
        <w:tc>
          <w:tcPr>
            <w:tcW w:w="8536" w:type="dxa"/>
            <w:gridSpan w:val="6"/>
            <w:tcBorders>
              <w:top w:val="single" w:color="auto" w:sz="4" w:space="0"/>
              <w:left w:val="single" w:color="auto" w:sz="4" w:space="0"/>
              <w:bottom w:val="single" w:color="auto" w:sz="4" w:space="0"/>
              <w:right w:val="single" w:color="auto" w:sz="4" w:space="0"/>
            </w:tcBorders>
            <w:noWrap w:val="0"/>
            <w:vAlign w:val="center"/>
          </w:tcPr>
          <w:p w14:paraId="2AAFA12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相思湖校区</w:t>
            </w:r>
          </w:p>
        </w:tc>
      </w:tr>
      <w:tr w14:paraId="79C50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47BF5F02">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405B328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4E4E6D0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设备名称</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457CD64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规格</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73686E2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6A79837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4A300E19">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报价小计（元）</w:t>
            </w:r>
          </w:p>
        </w:tc>
      </w:tr>
      <w:tr w14:paraId="1F620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1F8F4E76">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14:paraId="4813CD5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43E43BB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变压器</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1CE0E42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500KVA</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09DAE3E">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340A558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495D515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53F25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26BD5F75">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6140B0C3">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6C437021">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355E833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630KVA</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8AA40C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6142D52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34B7F1D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4680B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74B77064">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45512EB1">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56ABED0E">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247C4602">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800KVA</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30C645B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0368270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4A5A159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18E00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2FF91584">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38FC0DA2">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5D29C899">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1AA75F8E">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1000KVA</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695C716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3019856E">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1EB7756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0D3AF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02DF6C8A">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4DB4B986">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2DA24F70">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6BCC5019">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1250KVA</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3254D98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422B58C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388AF13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5B3C4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253EC620">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14:paraId="43E7446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447E8E1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配电柜</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07A8785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高压柜</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B8D61E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0D12D06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49</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6B7A047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6233A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36822BC6">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380BC530">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4A3669BA">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5763DAB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低压柜</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F2C316F">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70A24A4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84</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6C39649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68680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03CED78B">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14:paraId="128E2C7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5A17216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高压柜继电保护</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48227E8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温超保护</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63FD72E">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15A6C97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1F486F2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1724D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7CFA705E">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44D38421">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445047D6">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7626FA7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速断保护</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018E728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6CC425C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3D37D72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330C6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510B2E57">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0D044167">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22E55179">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3B7E6E4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零序保护</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7113FC2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46B649C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4F8D1AD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6C9D0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092A7850">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4E2370E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0797BE32">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出柜电缆</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7A279FA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电力电缆</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C76B4BA">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条</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3121603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0FD04A1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334DF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437CC5B1">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3DE3B4F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7240B5C2">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自备电源</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27D2BFD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蓄电池系统</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FC3232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7BAF785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0784C1D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4E7EB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0E520747">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14:paraId="13DF5F49">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5CAC7122">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接地装置</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02BC81C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接地极</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0B69DA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根</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29BF8EA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78E6F05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3B76E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117D417B">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0B4E95D3">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2B1B71D2">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0FC7701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接地网</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40FEDA6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网</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64B6582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1FA13C9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2859E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4FEFE684">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8536" w:type="dxa"/>
            <w:gridSpan w:val="6"/>
            <w:tcBorders>
              <w:top w:val="single" w:color="auto" w:sz="4" w:space="0"/>
              <w:left w:val="single" w:color="auto" w:sz="4" w:space="0"/>
              <w:bottom w:val="single" w:color="auto" w:sz="4" w:space="0"/>
              <w:right w:val="single" w:color="auto" w:sz="4" w:space="0"/>
            </w:tcBorders>
            <w:noWrap w:val="0"/>
            <w:vAlign w:val="center"/>
          </w:tcPr>
          <w:p w14:paraId="1BC3130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黎塘校区</w:t>
            </w:r>
          </w:p>
        </w:tc>
      </w:tr>
      <w:tr w14:paraId="29F4B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1E98A54C">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7EC22CD9">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742A905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设备名称</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3901C5F9">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规格</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350B54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217A8F1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2436292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报价小计（元）</w:t>
            </w:r>
          </w:p>
        </w:tc>
      </w:tr>
      <w:tr w14:paraId="6C8CB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09D3DBF5">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14:paraId="444DAE3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40CFF78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变压器</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59A13EDF">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800KVA</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5D1124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3AF5A9D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0A83CB2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281C3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2144BDCE">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2C0B75BC">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02E36A86">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03C310F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160KVA</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8283C0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5B419A7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7820B86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31D6C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7B47156F">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14:paraId="000636EF">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3AAAA24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配电柜</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7F9C9CD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高压柜</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4F2F2833">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48A5D68C">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64DBF2B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6D85C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15D8FF2D">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56ABBF55">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37CF5BB6">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66E8AF7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低压柜</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0540947F">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531DAF4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7FEB8B9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58D2C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76866D05">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3383A41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1301DA0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出柜电缆</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316EAF08">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电力电缆</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CE4586E">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条</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55A5336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5E115EC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4379A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09D6CB5A">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restart"/>
            <w:tcBorders>
              <w:top w:val="single" w:color="auto" w:sz="4" w:space="0"/>
              <w:left w:val="single" w:color="auto" w:sz="4" w:space="0"/>
              <w:bottom w:val="single" w:color="auto" w:sz="4" w:space="0"/>
              <w:right w:val="single" w:color="auto" w:sz="4" w:space="0"/>
            </w:tcBorders>
            <w:noWrap w:val="0"/>
            <w:vAlign w:val="center"/>
          </w:tcPr>
          <w:p w14:paraId="0738B04A">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026F1F9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接地装置</w:t>
            </w:r>
          </w:p>
        </w:tc>
        <w:tc>
          <w:tcPr>
            <w:tcW w:w="2140" w:type="dxa"/>
            <w:tcBorders>
              <w:top w:val="single" w:color="auto" w:sz="4" w:space="0"/>
              <w:left w:val="single" w:color="auto" w:sz="4" w:space="0"/>
              <w:bottom w:val="single" w:color="auto" w:sz="4" w:space="0"/>
              <w:right w:val="single" w:color="auto" w:sz="4" w:space="0"/>
            </w:tcBorders>
            <w:noWrap w:val="0"/>
            <w:vAlign w:val="center"/>
          </w:tcPr>
          <w:p w14:paraId="7236143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接地极</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629B7DC7">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根</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7B63142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6508688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65676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single" w:color="auto" w:sz="4" w:space="0"/>
              <w:right w:val="single" w:color="auto" w:sz="4" w:space="0"/>
            </w:tcBorders>
            <w:noWrap w:val="0"/>
            <w:vAlign w:val="center"/>
          </w:tcPr>
          <w:p w14:paraId="39A49565">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vMerge w:val="continue"/>
            <w:tcBorders>
              <w:top w:val="single" w:color="auto" w:sz="4" w:space="0"/>
              <w:left w:val="single" w:color="auto" w:sz="4" w:space="0"/>
              <w:bottom w:val="single" w:color="auto" w:sz="4" w:space="0"/>
              <w:right w:val="single" w:color="auto" w:sz="4" w:space="0"/>
            </w:tcBorders>
            <w:noWrap w:val="0"/>
            <w:vAlign w:val="center"/>
          </w:tcPr>
          <w:p w14:paraId="1AE93B41">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311EC334">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rPr>
            </w:pPr>
          </w:p>
        </w:tc>
        <w:tc>
          <w:tcPr>
            <w:tcW w:w="2140" w:type="dxa"/>
            <w:tcBorders>
              <w:top w:val="single" w:color="auto" w:sz="4" w:space="0"/>
              <w:left w:val="single" w:color="auto" w:sz="4" w:space="0"/>
              <w:bottom w:val="single" w:color="auto" w:sz="4" w:space="0"/>
              <w:right w:val="single" w:color="auto" w:sz="4" w:space="0"/>
            </w:tcBorders>
            <w:noWrap w:val="0"/>
            <w:vAlign w:val="center"/>
          </w:tcPr>
          <w:p w14:paraId="1F633E52">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接地网</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0E1866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网</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154B38F1">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7A2B9D9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p>
        </w:tc>
      </w:tr>
      <w:tr w14:paraId="43034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auto" w:sz="4" w:space="0"/>
              <w:left w:val="single" w:color="auto" w:sz="4" w:space="0"/>
              <w:bottom w:val="nil"/>
              <w:right w:val="single" w:color="000000" w:sz="4" w:space="0"/>
            </w:tcBorders>
            <w:noWrap w:val="0"/>
            <w:vAlign w:val="center"/>
          </w:tcPr>
          <w:p w14:paraId="3DE0FD7F">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8536" w:type="dxa"/>
            <w:gridSpan w:val="6"/>
            <w:tcBorders>
              <w:top w:val="single" w:color="auto" w:sz="4" w:space="0"/>
              <w:left w:val="single" w:color="000000" w:sz="4" w:space="0"/>
              <w:bottom w:val="single" w:color="000000" w:sz="4" w:space="0"/>
              <w:right w:val="single" w:color="000000" w:sz="4" w:space="0"/>
            </w:tcBorders>
            <w:noWrap w:val="0"/>
            <w:vAlign w:val="center"/>
          </w:tcPr>
          <w:p w14:paraId="0FA1D54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安全工器具年度定期检测</w:t>
            </w:r>
          </w:p>
        </w:tc>
      </w:tr>
      <w:tr w14:paraId="2875B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02184553">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4703895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1D61688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设备名称</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6D8B51AF">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规格</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10ED8886">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47A27E4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465CD74">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报价小计（元）</w:t>
            </w:r>
          </w:p>
        </w:tc>
      </w:tr>
      <w:tr w14:paraId="7CA74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6F2D481C">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4702C6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18940D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高压绝缘手套</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14DC5F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耐压12KV</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128FD9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688468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A094C9C">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Theme="minorEastAsia" w:hAnsiTheme="minorEastAsia" w:eastAsiaTheme="minorEastAsia" w:cstheme="minorEastAsia"/>
                <w:i w:val="0"/>
                <w:iCs w:val="0"/>
                <w:color w:val="000000"/>
                <w:sz w:val="21"/>
                <w:szCs w:val="21"/>
                <w:u w:val="none"/>
              </w:rPr>
            </w:pPr>
          </w:p>
        </w:tc>
      </w:tr>
      <w:tr w14:paraId="1BC1E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23272D59">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719D98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6FC06A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高压绝缘鞋</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18EF3F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耐压20KV</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439142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01BD32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3944259">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Theme="minorEastAsia" w:hAnsiTheme="minorEastAsia" w:eastAsiaTheme="minorEastAsia" w:cstheme="minorEastAsia"/>
                <w:i w:val="0"/>
                <w:iCs w:val="0"/>
                <w:color w:val="000000"/>
                <w:sz w:val="21"/>
                <w:szCs w:val="21"/>
                <w:u w:val="none"/>
              </w:rPr>
            </w:pPr>
          </w:p>
        </w:tc>
      </w:tr>
      <w:tr w14:paraId="7E29F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27D2BADD">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4B58BD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4C6E15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高压验电器</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2E6184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10KV</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1EF2FF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6B7BDD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623CF092">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Theme="minorEastAsia" w:hAnsiTheme="minorEastAsia" w:eastAsiaTheme="minorEastAsia" w:cstheme="minorEastAsia"/>
                <w:i w:val="0"/>
                <w:iCs w:val="0"/>
                <w:color w:val="000000"/>
                <w:sz w:val="21"/>
                <w:szCs w:val="21"/>
                <w:u w:val="none"/>
              </w:rPr>
            </w:pPr>
          </w:p>
        </w:tc>
      </w:tr>
      <w:tr w14:paraId="135F6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681BEA86">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6A65CE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2AEE8C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低压验电器</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40E12A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0.4KV</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760774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28AAB0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3B49795">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Theme="minorEastAsia" w:hAnsiTheme="minorEastAsia" w:eastAsiaTheme="minorEastAsia" w:cstheme="minorEastAsia"/>
                <w:i w:val="0"/>
                <w:iCs w:val="0"/>
                <w:color w:val="000000"/>
                <w:sz w:val="21"/>
                <w:szCs w:val="21"/>
                <w:u w:val="none"/>
              </w:rPr>
            </w:pPr>
          </w:p>
        </w:tc>
      </w:tr>
      <w:tr w14:paraId="642F8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318" w:type="dxa"/>
            <w:vMerge w:val="continue"/>
            <w:tcBorders>
              <w:top w:val="single" w:color="000000" w:sz="4" w:space="0"/>
              <w:left w:val="single" w:color="auto" w:sz="4" w:space="0"/>
              <w:bottom w:val="nil"/>
              <w:right w:val="single" w:color="000000" w:sz="4" w:space="0"/>
            </w:tcBorders>
            <w:noWrap w:val="0"/>
            <w:vAlign w:val="center"/>
          </w:tcPr>
          <w:p w14:paraId="556FCA92">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000000" w:sz="4" w:space="0"/>
              <w:left w:val="single" w:color="000000" w:sz="4" w:space="0"/>
              <w:bottom w:val="single" w:color="000000" w:sz="4" w:space="0"/>
              <w:right w:val="single" w:color="000000" w:sz="4" w:space="0"/>
            </w:tcBorders>
            <w:noWrap w:val="0"/>
            <w:vAlign w:val="center"/>
          </w:tcPr>
          <w:p w14:paraId="062086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2FA217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绝缘操作棒</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56D975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10KV</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73786D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14:paraId="129361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893C1F1">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Theme="minorEastAsia" w:hAnsiTheme="minorEastAsia" w:eastAsiaTheme="minorEastAsia" w:cstheme="minorEastAsia"/>
                <w:i w:val="0"/>
                <w:iCs w:val="0"/>
                <w:color w:val="000000"/>
                <w:sz w:val="21"/>
                <w:szCs w:val="21"/>
                <w:u w:val="none"/>
              </w:rPr>
            </w:pPr>
          </w:p>
        </w:tc>
      </w:tr>
      <w:tr w14:paraId="76EFB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3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2BA1E92">
            <w:pPr>
              <w:keepNext w:val="0"/>
              <w:keepLines w:val="0"/>
              <w:pageBreakBefore w:val="0"/>
              <w:widowControl/>
              <w:suppressLineNumbers w:val="0"/>
              <w:kinsoku/>
              <w:wordWrap/>
              <w:overflowPunct/>
              <w:topLinePunct w:val="0"/>
              <w:autoSpaceDE/>
              <w:autoSpaceDN/>
              <w:bidi w:val="0"/>
              <w:spacing w:line="520" w:lineRule="exact"/>
              <w:jc w:val="lef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二、设备年度试验目录（预防性试验每年一次）</w:t>
            </w:r>
          </w:p>
        </w:tc>
        <w:tc>
          <w:tcPr>
            <w:tcW w:w="1190" w:type="dxa"/>
            <w:tcBorders>
              <w:top w:val="single" w:color="000000" w:sz="4" w:space="0"/>
              <w:left w:val="single" w:color="000000" w:sz="4" w:space="0"/>
              <w:bottom w:val="single" w:color="auto" w:sz="4" w:space="0"/>
              <w:right w:val="single" w:color="000000" w:sz="4" w:space="0"/>
            </w:tcBorders>
            <w:noWrap w:val="0"/>
            <w:vAlign w:val="center"/>
          </w:tcPr>
          <w:p w14:paraId="7BE55C40">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4324" w:type="dxa"/>
            <w:gridSpan w:val="3"/>
            <w:tcBorders>
              <w:top w:val="single" w:color="000000" w:sz="4" w:space="0"/>
              <w:left w:val="single" w:color="000000" w:sz="4" w:space="0"/>
              <w:bottom w:val="single" w:color="auto" w:sz="4" w:space="0"/>
              <w:right w:val="single" w:color="000000" w:sz="4" w:space="0"/>
            </w:tcBorders>
            <w:noWrap w:val="0"/>
            <w:vAlign w:val="center"/>
          </w:tcPr>
          <w:p w14:paraId="579DE2C9">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服务需求</w:t>
            </w:r>
          </w:p>
        </w:tc>
        <w:tc>
          <w:tcPr>
            <w:tcW w:w="963" w:type="dxa"/>
            <w:tcBorders>
              <w:top w:val="single" w:color="000000" w:sz="4" w:space="0"/>
              <w:left w:val="single" w:color="000000" w:sz="4" w:space="0"/>
              <w:bottom w:val="single" w:color="auto" w:sz="4" w:space="0"/>
              <w:right w:val="single" w:color="000000" w:sz="4" w:space="0"/>
            </w:tcBorders>
            <w:noWrap w:val="0"/>
            <w:vAlign w:val="center"/>
          </w:tcPr>
          <w:p w14:paraId="3B18649B">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w:t>
            </w:r>
          </w:p>
        </w:tc>
        <w:tc>
          <w:tcPr>
            <w:tcW w:w="2059" w:type="dxa"/>
            <w:tcBorders>
              <w:top w:val="single" w:color="000000" w:sz="4" w:space="0"/>
              <w:left w:val="single" w:color="000000" w:sz="4" w:space="0"/>
              <w:bottom w:val="single" w:color="auto" w:sz="4" w:space="0"/>
              <w:right w:val="single" w:color="000000" w:sz="4" w:space="0"/>
            </w:tcBorders>
            <w:noWrap w:val="0"/>
            <w:vAlign w:val="center"/>
          </w:tcPr>
          <w:p w14:paraId="44D33095">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报价小计（元）</w:t>
            </w:r>
          </w:p>
        </w:tc>
      </w:tr>
      <w:tr w14:paraId="2BF03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2" w:hRule="atLeast"/>
          <w:jc w:val="center"/>
        </w:trPr>
        <w:tc>
          <w:tcPr>
            <w:tcW w:w="1318" w:type="dxa"/>
            <w:vMerge w:val="continue"/>
            <w:tcBorders>
              <w:top w:val="single" w:color="000000" w:sz="4" w:space="0"/>
              <w:left w:val="single" w:color="000000" w:sz="4" w:space="0"/>
              <w:bottom w:val="single" w:color="000000" w:sz="4" w:space="0"/>
              <w:right w:val="single" w:color="auto" w:sz="4" w:space="0"/>
            </w:tcBorders>
            <w:noWrap w:val="0"/>
            <w:vAlign w:val="center"/>
          </w:tcPr>
          <w:p w14:paraId="49A29CE2">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b/>
                <w:bCs/>
                <w:i w:val="0"/>
                <w:iCs w:val="0"/>
                <w:color w:val="000000"/>
                <w:sz w:val="21"/>
                <w:szCs w:val="21"/>
                <w:u w:val="none"/>
              </w:rPr>
            </w:pPr>
          </w:p>
        </w:tc>
        <w:tc>
          <w:tcPr>
            <w:tcW w:w="1190" w:type="dxa"/>
            <w:tcBorders>
              <w:top w:val="single" w:color="auto" w:sz="4" w:space="0"/>
              <w:left w:val="single" w:color="auto" w:sz="4" w:space="0"/>
              <w:bottom w:val="single" w:color="auto" w:sz="4" w:space="0"/>
              <w:right w:val="single" w:color="auto" w:sz="4" w:space="0"/>
            </w:tcBorders>
            <w:noWrap w:val="0"/>
            <w:vAlign w:val="center"/>
          </w:tcPr>
          <w:p w14:paraId="1E03B90D">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4324" w:type="dxa"/>
            <w:gridSpan w:val="3"/>
            <w:tcBorders>
              <w:top w:val="single" w:color="auto" w:sz="4" w:space="0"/>
              <w:left w:val="single" w:color="auto" w:sz="4" w:space="0"/>
              <w:bottom w:val="single" w:color="auto" w:sz="4" w:space="0"/>
              <w:right w:val="single" w:color="auto" w:sz="4" w:space="0"/>
            </w:tcBorders>
            <w:noWrap w:val="0"/>
            <w:vAlign w:val="top"/>
          </w:tcPr>
          <w:p w14:paraId="77F6B52D">
            <w:pPr>
              <w:bidi w:val="0"/>
              <w:rPr>
                <w:rFonts w:hint="eastAsia"/>
                <w:lang w:val="en-US" w:eastAsia="zh-CN"/>
              </w:rPr>
            </w:pPr>
            <w:r>
              <w:rPr>
                <w:rFonts w:hint="eastAsia" w:asciiTheme="minorEastAsia" w:hAnsiTheme="minorEastAsia" w:eastAsiaTheme="minorEastAsia" w:cstheme="minorEastAsia"/>
                <w:i w:val="0"/>
                <w:iCs w:val="0"/>
                <w:color w:val="000000"/>
                <w:kern w:val="0"/>
                <w:szCs w:val="21"/>
                <w:u w:val="none"/>
                <w:lang w:val="en-US" w:eastAsia="zh-CN" w:bidi="ar"/>
              </w:rPr>
              <w:t>1.</w:t>
            </w:r>
            <w:r>
              <w:rPr>
                <w:rFonts w:hint="eastAsia"/>
                <w:lang w:val="en-US" w:eastAsia="zh-CN"/>
              </w:rPr>
              <w:t>每月一次对服务范围内的配电设备进行日常巡视（运维人员两人一组，严格按规程共同作业），及时排查电气设备缺陷，将配电系统的不安全因素消除或控制在萌芽状态。</w:t>
            </w:r>
            <w:r>
              <w:rPr>
                <w:rFonts w:hint="eastAsia"/>
                <w:lang w:val="en-US" w:eastAsia="zh-CN"/>
              </w:rPr>
              <w:br w:type="textWrapping"/>
            </w:r>
            <w:r>
              <w:rPr>
                <w:rFonts w:hint="eastAsia"/>
                <w:lang w:val="en-US" w:eastAsia="zh-CN"/>
              </w:rPr>
              <w:t>2.全天候24小时受理配电系统报故障处理，接报相思湖校区配电系统故障2小时内（黎塘校区3个小时内）、人员、车辆、机具协同到场，快速处置故障，高效复电。</w:t>
            </w:r>
            <w:r>
              <w:rPr>
                <w:rFonts w:hint="eastAsia"/>
                <w:lang w:val="en-US" w:eastAsia="zh-CN"/>
              </w:rPr>
              <w:br w:type="textWrapping"/>
            </w:r>
            <w:r>
              <w:rPr>
                <w:rFonts w:hint="eastAsia"/>
                <w:lang w:val="en-US" w:eastAsia="zh-CN"/>
              </w:rPr>
              <w:t>3.免人工费和故障检测费（大额材料费、土建费和涉及的大型施工机具费等由客户负责）为服务范围内的配电设备进行抢修、检修工作，减少因设备故障造成的损失。对设备零部件如果不超过500元（含）的进行免费更换。</w:t>
            </w:r>
            <w:r>
              <w:rPr>
                <w:rFonts w:hint="eastAsia"/>
                <w:lang w:val="en-US" w:eastAsia="zh-CN"/>
              </w:rPr>
              <w:br w:type="textWrapping"/>
            </w:r>
            <w:r>
              <w:rPr>
                <w:rFonts w:hint="eastAsia"/>
                <w:lang w:val="en-US" w:eastAsia="zh-CN"/>
              </w:rPr>
              <w:t>3.根据学校需求，提供校内大型活动（校运会、考试等）提供免费值班保供电服务。</w:t>
            </w:r>
          </w:p>
          <w:p w14:paraId="521296FC">
            <w:pPr>
              <w:bidi w:val="0"/>
              <w:rPr>
                <w:rFonts w:hint="eastAsia"/>
                <w:lang w:val="en-US" w:eastAsia="zh-CN"/>
              </w:rPr>
            </w:pPr>
            <w:r>
              <w:rPr>
                <w:rFonts w:hint="eastAsia"/>
                <w:lang w:val="en-US" w:eastAsia="zh-CN"/>
              </w:rPr>
              <w:t>4.合同期内</w:t>
            </w:r>
            <w:r>
              <w:rPr>
                <w:rFonts w:hint="eastAsia"/>
                <w:lang w:eastAsia="zh-CN"/>
              </w:rPr>
              <w:t>服务商</w:t>
            </w:r>
            <w:r>
              <w:rPr>
                <w:rFonts w:hint="eastAsia"/>
                <w:lang w:val="en-US" w:eastAsia="zh-CN"/>
              </w:rPr>
              <w:t>配合或指导采购单位年内不少于2次配电房室内、外现场应急演练。</w:t>
            </w:r>
          </w:p>
          <w:p w14:paraId="4525BDDA">
            <w:pPr>
              <w:bidi w:val="0"/>
              <w:rPr>
                <w:rFonts w:hint="eastAsia" w:asciiTheme="minorEastAsia" w:hAnsiTheme="minorEastAsia" w:eastAsiaTheme="minorEastAsia" w:cstheme="minorEastAsia"/>
                <w:szCs w:val="21"/>
                <w:lang w:val="en-US" w:eastAsia="zh-CN"/>
              </w:rPr>
            </w:pPr>
            <w:r>
              <w:rPr>
                <w:rFonts w:hint="eastAsia"/>
                <w:lang w:val="en-US" w:eastAsia="zh-CN"/>
              </w:rPr>
              <w:t>5.合同期内做一次周期性测试试验，年度内提交报告。</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3444DC62">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6B8DD552">
            <w:pPr>
              <w:keepNext w:val="0"/>
              <w:keepLines w:val="0"/>
              <w:pageBreakBefore w:val="0"/>
              <w:kinsoku/>
              <w:wordWrap/>
              <w:overflowPunct/>
              <w:topLinePunct w:val="0"/>
              <w:autoSpaceDE/>
              <w:autoSpaceDN/>
              <w:bidi w:val="0"/>
              <w:spacing w:line="520" w:lineRule="exact"/>
              <w:jc w:val="center"/>
              <w:rPr>
                <w:rFonts w:hint="eastAsia" w:asciiTheme="minorEastAsia" w:hAnsiTheme="minorEastAsia" w:eastAsiaTheme="minorEastAsia" w:cstheme="minorEastAsia"/>
                <w:i w:val="0"/>
                <w:iCs w:val="0"/>
                <w:color w:val="000000"/>
                <w:sz w:val="21"/>
                <w:szCs w:val="21"/>
                <w:u w:val="none"/>
                <w:lang w:val="en-US" w:eastAsia="zh-CN"/>
              </w:rPr>
            </w:pPr>
          </w:p>
        </w:tc>
      </w:tr>
      <w:tr w14:paraId="751CA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9854" w:type="dxa"/>
            <w:gridSpan w:val="7"/>
            <w:tcBorders>
              <w:top w:val="single" w:color="000000" w:sz="4" w:space="0"/>
              <w:left w:val="single" w:color="000000" w:sz="4" w:space="0"/>
              <w:bottom w:val="single" w:color="000000" w:sz="4" w:space="0"/>
              <w:right w:val="single" w:color="000000" w:sz="4" w:space="0"/>
            </w:tcBorders>
            <w:noWrap w:val="0"/>
            <w:vAlign w:val="center"/>
          </w:tcPr>
          <w:p w14:paraId="2EA8265E">
            <w:pPr>
              <w:keepNext w:val="0"/>
              <w:keepLines w:val="0"/>
              <w:pageBreakBefore w:val="0"/>
              <w:widowControl/>
              <w:suppressLineNumbers w:val="0"/>
              <w:kinsoku/>
              <w:wordWrap/>
              <w:overflowPunct/>
              <w:topLinePunct w:val="0"/>
              <w:autoSpaceDE/>
              <w:autoSpaceDN/>
              <w:bidi w:val="0"/>
              <w:spacing w:line="520" w:lineRule="exact"/>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报价合计金额大写：__________________________（小写：¥___________元）</w:t>
            </w:r>
          </w:p>
        </w:tc>
      </w:tr>
    </w:tbl>
    <w:p w14:paraId="368690DE">
      <w:pPr>
        <w:snapToGrid w:val="0"/>
        <w:spacing w:line="340" w:lineRule="exact"/>
        <w:rPr>
          <w:rFonts w:ascii="宋体" w:hAnsi="宋体"/>
          <w:szCs w:val="21"/>
        </w:rPr>
      </w:pPr>
      <w:r>
        <w:rPr>
          <w:rFonts w:hint="eastAsia" w:ascii="宋体" w:hAnsi="宋体"/>
          <w:szCs w:val="21"/>
        </w:rPr>
        <w:t>说明：</w:t>
      </w:r>
    </w:p>
    <w:p w14:paraId="77B83C93">
      <w:pPr>
        <w:snapToGrid w:val="0"/>
        <w:spacing w:line="340" w:lineRule="exact"/>
        <w:rPr>
          <w:rFonts w:ascii="宋体" w:hAnsi="宋体"/>
          <w:szCs w:val="21"/>
        </w:rPr>
      </w:pPr>
      <w:r>
        <w:rPr>
          <w:rFonts w:hint="eastAsia" w:ascii="宋体" w:hAnsi="宋体"/>
          <w:szCs w:val="21"/>
        </w:rPr>
        <w:t>1.所有价格均用人民币表示，单位为元，精确到个位数。</w:t>
      </w:r>
    </w:p>
    <w:p w14:paraId="6331E2B9">
      <w:pPr>
        <w:snapToGrid w:val="0"/>
        <w:spacing w:line="340" w:lineRule="exact"/>
        <w:rPr>
          <w:rFonts w:ascii="宋体" w:hAnsi="宋体"/>
          <w:szCs w:val="21"/>
        </w:rPr>
      </w:pPr>
      <w:r>
        <w:rPr>
          <w:rFonts w:hint="eastAsia" w:ascii="宋体" w:hAnsi="宋体"/>
          <w:szCs w:val="21"/>
        </w:rPr>
        <w:t>2.本项目报价采用一次报价、本次报价为最终报价。</w:t>
      </w:r>
    </w:p>
    <w:p w14:paraId="611044E5">
      <w:pPr>
        <w:pStyle w:val="3"/>
        <w:spacing w:line="340" w:lineRule="exact"/>
        <w:rPr>
          <w:rFonts w:hAnsi="宋体"/>
          <w:szCs w:val="21"/>
        </w:rPr>
      </w:pPr>
    </w:p>
    <w:p w14:paraId="6F0A8CE4">
      <w:pPr>
        <w:pStyle w:val="3"/>
        <w:spacing w:line="340" w:lineRule="exact"/>
        <w:rPr>
          <w:rFonts w:hAnsi="宋体"/>
          <w:szCs w:val="21"/>
        </w:rPr>
      </w:pPr>
      <w:r>
        <w:rPr>
          <w:rFonts w:hint="eastAsia" w:hAnsi="宋体"/>
          <w:szCs w:val="21"/>
        </w:rPr>
        <w:t>法定代表人或委托代理人（签字）：</w:t>
      </w:r>
      <w:r>
        <w:rPr>
          <w:rFonts w:hint="eastAsia" w:hAnsi="宋体"/>
          <w:szCs w:val="21"/>
          <w:u w:val="single"/>
        </w:rPr>
        <w:t xml:space="preserve">                  </w:t>
      </w:r>
    </w:p>
    <w:p w14:paraId="5DD8165D">
      <w:pPr>
        <w:pStyle w:val="3"/>
        <w:spacing w:line="340" w:lineRule="exact"/>
        <w:rPr>
          <w:rFonts w:hAnsi="宋体"/>
          <w:szCs w:val="21"/>
        </w:rPr>
      </w:pPr>
      <w:r>
        <w:rPr>
          <w:rFonts w:hint="eastAsia" w:hAnsi="宋体"/>
          <w:szCs w:val="21"/>
        </w:rPr>
        <w:t>供应商名称（盖章）：</w:t>
      </w:r>
      <w:r>
        <w:rPr>
          <w:rFonts w:hint="eastAsia" w:hAnsi="宋体"/>
          <w:szCs w:val="21"/>
          <w:u w:val="single"/>
        </w:rPr>
        <w:t xml:space="preserve">                              </w:t>
      </w:r>
    </w:p>
    <w:p w14:paraId="5F63D376">
      <w:pPr>
        <w:pStyle w:val="21"/>
        <w:spacing w:after="0" w:line="340" w:lineRule="exact"/>
        <w:ind w:firstLine="0" w:firstLineChars="0"/>
        <w:rPr>
          <w:rFonts w:eastAsia="宋体"/>
          <w:szCs w:val="21"/>
        </w:rPr>
      </w:pPr>
      <w:r>
        <w:rPr>
          <w:rFonts w:hint="eastAsia" w:eastAsia="宋体"/>
          <w:szCs w:val="21"/>
        </w:rPr>
        <w:t xml:space="preserve">日期：     年     月    日 </w:t>
      </w:r>
    </w:p>
    <w:p w14:paraId="70786E62">
      <w:pPr>
        <w:spacing w:line="360" w:lineRule="auto"/>
        <w:jc w:val="left"/>
        <w:rPr>
          <w:rFonts w:ascii="宋体" w:hAnsi="宋体"/>
          <w:b/>
          <w:sz w:val="24"/>
        </w:rPr>
      </w:pPr>
    </w:p>
    <w:p w14:paraId="2FF4F89A">
      <w:pPr>
        <w:spacing w:line="360" w:lineRule="auto"/>
        <w:jc w:val="left"/>
        <w:rPr>
          <w:rFonts w:ascii="宋体" w:hAnsi="宋体"/>
          <w:b/>
          <w:sz w:val="24"/>
        </w:rPr>
      </w:pPr>
      <w:r>
        <w:rPr>
          <w:rFonts w:hint="eastAsia" w:ascii="宋体" w:hAnsi="宋体"/>
          <w:b/>
          <w:sz w:val="24"/>
        </w:rPr>
        <w:t>二、声明书（格式）</w:t>
      </w:r>
    </w:p>
    <w:p w14:paraId="04A0C968">
      <w:pPr>
        <w:spacing w:line="360" w:lineRule="auto"/>
        <w:jc w:val="center"/>
        <w:rPr>
          <w:rFonts w:ascii="宋体" w:hAnsi="宋体"/>
          <w:b/>
          <w:sz w:val="32"/>
          <w:szCs w:val="32"/>
        </w:rPr>
      </w:pPr>
      <w:r>
        <w:rPr>
          <w:rFonts w:hint="eastAsia" w:ascii="宋体" w:hAnsi="宋体"/>
          <w:b/>
          <w:sz w:val="32"/>
          <w:szCs w:val="32"/>
        </w:rPr>
        <w:t>声明书</w:t>
      </w:r>
    </w:p>
    <w:p w14:paraId="235C9E4E">
      <w:pPr>
        <w:spacing w:line="320" w:lineRule="exact"/>
        <w:jc w:val="center"/>
        <w:rPr>
          <w:rFonts w:ascii="宋体" w:hAnsi="宋体"/>
          <w:sz w:val="24"/>
          <w:szCs w:val="20"/>
        </w:rPr>
      </w:pPr>
    </w:p>
    <w:p w14:paraId="03578167">
      <w:pPr>
        <w:spacing w:line="360" w:lineRule="auto"/>
        <w:contextualSpacing/>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：（招标采购单位）</w:t>
      </w:r>
    </w:p>
    <w:p w14:paraId="24080C64">
      <w:pPr>
        <w:spacing w:line="360" w:lineRule="auto"/>
        <w:contextualSpacing/>
        <w:rPr>
          <w:rFonts w:ascii="宋体" w:hAnsi="宋体"/>
          <w:szCs w:val="21"/>
          <w:u w:val="single"/>
        </w:rPr>
      </w:pPr>
      <w:r>
        <w:rPr>
          <w:rFonts w:hint="eastAsia" w:ascii="宋体" w:hAnsi="宋体"/>
          <w:szCs w:val="21"/>
          <w:u w:val="single"/>
        </w:rPr>
        <w:t>（供应商名称）</w:t>
      </w:r>
      <w:r>
        <w:rPr>
          <w:rFonts w:hint="eastAsia" w:ascii="宋体" w:hAnsi="宋体"/>
          <w:szCs w:val="21"/>
        </w:rPr>
        <w:t>系中华人民共和国合法供应商，经营地址</w:t>
      </w:r>
      <w:r>
        <w:rPr>
          <w:rFonts w:hint="eastAsia" w:ascii="宋体" w:hAnsi="宋体"/>
          <w:szCs w:val="21"/>
          <w:u w:val="single"/>
        </w:rPr>
        <w:t xml:space="preserve">                              </w:t>
      </w:r>
      <w:r>
        <w:rPr>
          <w:rFonts w:hint="eastAsia" w:ascii="宋体" w:hAnsi="宋体"/>
          <w:szCs w:val="21"/>
        </w:rPr>
        <w:t>。</w:t>
      </w:r>
    </w:p>
    <w:p w14:paraId="5FF35E12">
      <w:pPr>
        <w:spacing w:line="360" w:lineRule="auto"/>
        <w:contextualSpacing/>
        <w:rPr>
          <w:rFonts w:ascii="宋体" w:hAnsi="宋体"/>
          <w:szCs w:val="21"/>
        </w:rPr>
      </w:pPr>
      <w:r>
        <w:rPr>
          <w:rFonts w:hint="eastAsia" w:ascii="宋体" w:hAnsi="宋体"/>
          <w:szCs w:val="21"/>
        </w:rPr>
        <w:t>我方愿意参加贵方组织的</w:t>
      </w:r>
      <w:r>
        <w:rPr>
          <w:rFonts w:hint="eastAsia" w:ascii="宋体" w:hAnsi="宋体"/>
          <w:szCs w:val="21"/>
          <w:u w:val="single"/>
        </w:rPr>
        <w:t>（项目名称）</w:t>
      </w:r>
      <w:r>
        <w:rPr>
          <w:rFonts w:hint="eastAsia" w:ascii="宋体" w:hAnsi="宋体"/>
          <w:szCs w:val="21"/>
        </w:rPr>
        <w:t>项目的竞标，为便于贵方公正、择优地确定成交供应商及其竞标产品和服务，我方就本次竞标有关事项郑重声明如下：</w:t>
      </w:r>
    </w:p>
    <w:p w14:paraId="0CF7382B">
      <w:pPr>
        <w:spacing w:line="360" w:lineRule="auto"/>
        <w:contextualSpacing/>
        <w:rPr>
          <w:rFonts w:ascii="宋体" w:hAnsi="宋体"/>
          <w:szCs w:val="21"/>
        </w:rPr>
      </w:pPr>
      <w:r>
        <w:rPr>
          <w:rFonts w:hint="eastAsia" w:ascii="宋体" w:hAnsi="宋体"/>
          <w:szCs w:val="21"/>
        </w:rPr>
        <w:t>1.我方向贵方提交的所有响应文件、资料都是准确的和真实的。</w:t>
      </w:r>
    </w:p>
    <w:p w14:paraId="6D3FF6F8">
      <w:pPr>
        <w:spacing w:line="360" w:lineRule="auto"/>
        <w:contextualSpacing/>
        <w:rPr>
          <w:rFonts w:ascii="宋体" w:hAnsi="宋体"/>
          <w:szCs w:val="21"/>
        </w:rPr>
      </w:pPr>
      <w:r>
        <w:rPr>
          <w:rFonts w:hint="eastAsia" w:ascii="宋体" w:hAnsi="宋体"/>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D575D21">
      <w:pPr>
        <w:spacing w:line="360" w:lineRule="auto"/>
        <w:contextualSpacing/>
        <w:rPr>
          <w:rFonts w:ascii="宋体" w:hAnsi="宋体"/>
          <w:szCs w:val="21"/>
        </w:rPr>
      </w:pPr>
      <w:r>
        <w:rPr>
          <w:rFonts w:hint="eastAsia" w:ascii="宋体" w:hAnsi="宋体"/>
          <w:szCs w:val="21"/>
        </w:rPr>
        <w:t>3.在此，我方宣布同意如下：</w:t>
      </w:r>
    </w:p>
    <w:p w14:paraId="7E37722C">
      <w:pPr>
        <w:spacing w:line="360" w:lineRule="auto"/>
        <w:contextualSpacing/>
        <w:rPr>
          <w:rFonts w:ascii="宋体" w:hAnsi="宋体"/>
          <w:szCs w:val="21"/>
        </w:rPr>
      </w:pPr>
      <w:r>
        <w:rPr>
          <w:rFonts w:hint="eastAsia" w:ascii="宋体" w:hAnsi="宋体"/>
          <w:szCs w:val="21"/>
        </w:rPr>
        <w:t>（1）将按采购文件的约定履行合同责任和义务；</w:t>
      </w:r>
    </w:p>
    <w:p w14:paraId="026E1CF6">
      <w:pPr>
        <w:spacing w:line="360" w:lineRule="auto"/>
        <w:contextualSpacing/>
        <w:rPr>
          <w:rFonts w:ascii="宋体" w:hAnsi="宋体"/>
          <w:szCs w:val="21"/>
        </w:rPr>
      </w:pPr>
      <w:r>
        <w:rPr>
          <w:rFonts w:hint="eastAsia" w:ascii="宋体" w:hAnsi="宋体"/>
          <w:szCs w:val="21"/>
        </w:rPr>
        <w:t>（2）已详细审查全部响应文件，包括补遗文件（如有）；</w:t>
      </w:r>
    </w:p>
    <w:p w14:paraId="710A5C5F">
      <w:pPr>
        <w:spacing w:line="360" w:lineRule="auto"/>
        <w:contextualSpacing/>
        <w:rPr>
          <w:rFonts w:ascii="宋体" w:hAnsi="宋体"/>
          <w:szCs w:val="21"/>
        </w:rPr>
      </w:pPr>
      <w:r>
        <w:rPr>
          <w:rFonts w:hint="eastAsia" w:ascii="宋体" w:hAnsi="宋体"/>
          <w:szCs w:val="21"/>
        </w:rPr>
        <w:t>（3）同意提供按照贵方可能要求的与项目有关的一切数据或资料；</w:t>
      </w:r>
    </w:p>
    <w:p w14:paraId="29B00E1D">
      <w:pPr>
        <w:spacing w:line="360" w:lineRule="auto"/>
        <w:contextualSpacing/>
        <w:rPr>
          <w:rFonts w:ascii="宋体" w:hAnsi="宋体"/>
          <w:szCs w:val="21"/>
        </w:rPr>
      </w:pPr>
      <w:r>
        <w:rPr>
          <w:rFonts w:hint="eastAsia" w:ascii="宋体" w:hAnsi="宋体"/>
          <w:szCs w:val="21"/>
        </w:rPr>
        <w:t>（4）响应采购文件规定的竞标有效期。</w:t>
      </w:r>
    </w:p>
    <w:p w14:paraId="7204A88F">
      <w:pPr>
        <w:spacing w:line="360" w:lineRule="auto"/>
        <w:contextualSpacing/>
        <w:rPr>
          <w:rFonts w:ascii="宋体" w:hAnsi="宋体"/>
          <w:szCs w:val="21"/>
        </w:rPr>
      </w:pPr>
      <w:r>
        <w:rPr>
          <w:rFonts w:hint="eastAsia" w:ascii="宋体" w:hAnsi="宋体"/>
          <w:szCs w:val="21"/>
        </w:rPr>
        <w:t>4.我方承诺:</w:t>
      </w:r>
    </w:p>
    <w:p w14:paraId="616A2995">
      <w:pPr>
        <w:spacing w:line="360" w:lineRule="auto"/>
        <w:contextualSpacing/>
        <w:rPr>
          <w:rFonts w:ascii="宋体" w:hAnsi="宋体"/>
          <w:szCs w:val="21"/>
        </w:rPr>
      </w:pPr>
      <w:r>
        <w:rPr>
          <w:rFonts w:hint="eastAsia" w:ascii="宋体" w:hAnsi="宋体"/>
          <w:szCs w:val="21"/>
        </w:rPr>
        <w:t>（1）我公司符合《中华人民共和国政府采购法》第二十二条规定：</w:t>
      </w:r>
    </w:p>
    <w:p w14:paraId="76DA8A25">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具有独立承担民事责任的能力；</w:t>
      </w:r>
    </w:p>
    <w:p w14:paraId="3D12A0F8">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具有良好的商业信誉和健全的财务会计制度；</w:t>
      </w:r>
    </w:p>
    <w:p w14:paraId="11373C81">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具有履行合同所必需的设备和专业技术能力；</w:t>
      </w:r>
    </w:p>
    <w:p w14:paraId="765A80D7">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有依法缴纳税收和社会保障资金的良好记录；</w:t>
      </w:r>
    </w:p>
    <w:p w14:paraId="269A216A">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参加采购活动前三年内，在经营活动中没有重大违法记录；</w:t>
      </w:r>
    </w:p>
    <w:p w14:paraId="1DB4445D">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6 \* GB3 \* MERGEFORMAT </w:instrText>
      </w:r>
      <w:r>
        <w:rPr>
          <w:rFonts w:hint="eastAsia" w:ascii="宋体" w:hAnsi="宋体"/>
          <w:szCs w:val="21"/>
        </w:rPr>
        <w:fldChar w:fldCharType="separate"/>
      </w:r>
      <w:r>
        <w:rPr>
          <w:rFonts w:hint="eastAsia" w:ascii="宋体" w:hAnsi="宋体"/>
          <w:szCs w:val="21"/>
        </w:rPr>
        <w:t>⑥</w:t>
      </w:r>
      <w:r>
        <w:rPr>
          <w:rFonts w:hint="eastAsia" w:ascii="宋体" w:hAnsi="宋体"/>
          <w:szCs w:val="21"/>
        </w:rPr>
        <w:fldChar w:fldCharType="end"/>
      </w:r>
      <w:r>
        <w:rPr>
          <w:rFonts w:hint="eastAsia" w:ascii="宋体" w:hAnsi="宋体"/>
          <w:szCs w:val="21"/>
        </w:rPr>
        <w:t>法律、行政法规规定的其他条件。</w:t>
      </w:r>
    </w:p>
    <w:p w14:paraId="323093DF">
      <w:pPr>
        <w:spacing w:line="360" w:lineRule="auto"/>
        <w:contextualSpacing/>
        <w:rPr>
          <w:rFonts w:ascii="宋体" w:hAnsi="宋体"/>
          <w:szCs w:val="21"/>
        </w:rPr>
      </w:pPr>
      <w:r>
        <w:rPr>
          <w:rFonts w:hint="eastAsia" w:ascii="宋体" w:hAnsi="宋体"/>
          <w:szCs w:val="21"/>
        </w:rPr>
        <w:t>（2）我公司无下列相互串通投标的情形：</w:t>
      </w:r>
    </w:p>
    <w:p w14:paraId="3B66DA3A">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不同投标人的投标文件由同一单位或者个人编制；或不同投标人报名的IP地址一致的；</w:t>
      </w:r>
    </w:p>
    <w:p w14:paraId="55C99F59">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不同投标人委托同一单位或者个人办理投标事宜；</w:t>
      </w:r>
    </w:p>
    <w:p w14:paraId="3BFB260D">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不同的投标人的投标文件载明的项目管理员为同一个人；</w:t>
      </w:r>
    </w:p>
    <w:p w14:paraId="632100F7">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不同投标人的投标文件异常一致或投标报价呈规律性差异；</w:t>
      </w:r>
    </w:p>
    <w:p w14:paraId="2B69E514">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不同投标人的投标文件相互混装。</w:t>
      </w:r>
    </w:p>
    <w:p w14:paraId="5DAED5CB">
      <w:pPr>
        <w:spacing w:line="360" w:lineRule="auto"/>
        <w:contextualSpacing/>
        <w:rPr>
          <w:rFonts w:ascii="宋体" w:hAnsi="宋体"/>
          <w:szCs w:val="21"/>
        </w:rPr>
      </w:pPr>
      <w:r>
        <w:rPr>
          <w:rFonts w:hint="eastAsia" w:ascii="宋体" w:hAnsi="宋体"/>
          <w:szCs w:val="21"/>
        </w:rPr>
        <w:t>（3）我公司承诺无下列恶意串通的情形：</w:t>
      </w:r>
    </w:p>
    <w:p w14:paraId="3703B19B">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供应商直接或者间接从采购人处获得其他供应商的相关信息并修改其投标文件或者响应文件；</w:t>
      </w:r>
    </w:p>
    <w:p w14:paraId="2D4C1103">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供应商按照采购人的授意撤换、修改投标文件或者响应文件；</w:t>
      </w:r>
    </w:p>
    <w:p w14:paraId="12A63E25">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供应商之间协商报价、技术方案等投标文件或者响应文件的实质性内容；</w:t>
      </w:r>
    </w:p>
    <w:p w14:paraId="0EF4A14C">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属于同一集团、协会、商会等组织成员的供应商按照该组织要求协同参加采购活动；</w:t>
      </w:r>
    </w:p>
    <w:p w14:paraId="0DD136C1">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供应商之间事先约定一致抬高或者压低投标报价,或者在招标项目中事先约定轮流以高价位或者低价位中标,或者事先约定由某一特定供应商中标,然后再参加投标；</w:t>
      </w:r>
    </w:p>
    <w:p w14:paraId="05C39195">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6 \* GB3 \* MERGEFORMAT </w:instrText>
      </w:r>
      <w:r>
        <w:rPr>
          <w:rFonts w:hint="eastAsia" w:ascii="宋体" w:hAnsi="宋体"/>
          <w:szCs w:val="21"/>
        </w:rPr>
        <w:fldChar w:fldCharType="separate"/>
      </w:r>
      <w:r>
        <w:rPr>
          <w:rFonts w:hint="eastAsia" w:ascii="宋体" w:hAnsi="宋体"/>
          <w:szCs w:val="21"/>
        </w:rPr>
        <w:t>⑥</w:t>
      </w:r>
      <w:r>
        <w:rPr>
          <w:rFonts w:hint="eastAsia" w:ascii="宋体" w:hAnsi="宋体"/>
          <w:szCs w:val="21"/>
        </w:rPr>
        <w:fldChar w:fldCharType="end"/>
      </w:r>
      <w:r>
        <w:rPr>
          <w:rFonts w:hint="eastAsia" w:ascii="宋体" w:hAnsi="宋体"/>
          <w:szCs w:val="21"/>
        </w:rPr>
        <w:t>供应商之间商定部分供应商放弃参加采购活动或者放弃中标；</w:t>
      </w:r>
    </w:p>
    <w:p w14:paraId="7A719AF7">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7 \* GB3 \* MERGEFORMAT </w:instrText>
      </w:r>
      <w:r>
        <w:rPr>
          <w:rFonts w:hint="eastAsia" w:ascii="宋体" w:hAnsi="宋体"/>
          <w:szCs w:val="21"/>
        </w:rPr>
        <w:fldChar w:fldCharType="separate"/>
      </w:r>
      <w:r>
        <w:rPr>
          <w:rFonts w:hint="eastAsia" w:ascii="宋体" w:hAnsi="宋体"/>
          <w:szCs w:val="21"/>
        </w:rPr>
        <w:t>⑦</w:t>
      </w:r>
      <w:r>
        <w:rPr>
          <w:rFonts w:hint="eastAsia" w:ascii="宋体" w:hAnsi="宋体"/>
          <w:szCs w:val="21"/>
        </w:rPr>
        <w:fldChar w:fldCharType="end"/>
      </w:r>
      <w:r>
        <w:rPr>
          <w:rFonts w:hint="eastAsia" w:ascii="宋体" w:hAnsi="宋体"/>
          <w:szCs w:val="21"/>
        </w:rPr>
        <w:t>供应商与采购人之间、供应商相互之间，为谋求特定供应商中标或者排斥其他供应商的其他串通行为。</w:t>
      </w:r>
    </w:p>
    <w:p w14:paraId="1A5C6FBD">
      <w:pPr>
        <w:spacing w:line="360" w:lineRule="auto"/>
        <w:contextualSpacing/>
        <w:rPr>
          <w:rFonts w:ascii="宋体" w:hAnsi="宋体"/>
          <w:szCs w:val="21"/>
        </w:rPr>
      </w:pPr>
      <w:r>
        <w:rPr>
          <w:rFonts w:hint="eastAsia" w:ascii="宋体" w:hAnsi="宋体"/>
          <w:szCs w:val="21"/>
        </w:rPr>
        <w:t>5.我方在此声明：</w:t>
      </w:r>
    </w:p>
    <w:p w14:paraId="054BDFD7">
      <w:pPr>
        <w:spacing w:line="360" w:lineRule="auto"/>
        <w:contextualSpacing/>
        <w:rPr>
          <w:rFonts w:ascii="宋体" w:hAnsi="宋体"/>
          <w:szCs w:val="21"/>
        </w:rPr>
      </w:pPr>
      <w:r>
        <w:rPr>
          <w:rFonts w:hint="eastAsia" w:ascii="宋体" w:hAnsi="宋体"/>
          <w:szCs w:val="21"/>
        </w:rPr>
        <w:t>（1）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AC2E372">
      <w:pPr>
        <w:tabs>
          <w:tab w:val="left" w:pos="7200"/>
        </w:tabs>
        <w:spacing w:line="360" w:lineRule="auto"/>
        <w:rPr>
          <w:rFonts w:hAnsi="宋体"/>
          <w:szCs w:val="21"/>
        </w:rPr>
      </w:pPr>
      <w:r>
        <w:rPr>
          <w:rFonts w:hint="eastAsia" w:hAnsi="宋体"/>
          <w:szCs w:val="21"/>
        </w:rPr>
        <w:t>（2）在“信用中国”和“中国政府采购网”网站我方未被列入失信被执行人、重大税收违法案件当事人名单、政府采购严重违法失信行为记录名单。</w:t>
      </w:r>
    </w:p>
    <w:p w14:paraId="6BA1C4E9">
      <w:pPr>
        <w:snapToGrid w:val="0"/>
        <w:spacing w:before="156" w:after="50"/>
        <w:ind w:firstLine="470" w:firstLineChars="196"/>
        <w:jc w:val="left"/>
        <w:rPr>
          <w:rFonts w:ascii="宋体" w:hAnsi="宋体"/>
          <w:b/>
          <w:sz w:val="24"/>
        </w:rPr>
      </w:pPr>
      <w:r>
        <w:rPr>
          <w:rFonts w:hint="eastAsia" w:ascii="宋体" w:hAnsi="宋体"/>
          <w:b/>
          <w:sz w:val="24"/>
        </w:rPr>
        <w:t>以上情形一经核查属实，我方愿意承担一切后果，并不再寻求任何旨在减轻或免除法律责任的辩解。</w:t>
      </w:r>
    </w:p>
    <w:p w14:paraId="13B2C0F7">
      <w:pPr>
        <w:spacing w:line="360" w:lineRule="auto"/>
        <w:contextualSpacing/>
        <w:rPr>
          <w:rFonts w:ascii="宋体" w:hAnsi="宋体"/>
          <w:kern w:val="0"/>
          <w:szCs w:val="21"/>
        </w:rPr>
      </w:pPr>
      <w:r>
        <w:rPr>
          <w:rFonts w:hint="eastAsia" w:ascii="宋体" w:hAnsi="宋体"/>
          <w:kern w:val="0"/>
          <w:szCs w:val="21"/>
        </w:rPr>
        <w:t>6.与本投标有关的一切正式往来信函请寄：</w:t>
      </w:r>
      <w:r>
        <w:rPr>
          <w:rFonts w:hint="eastAsia" w:ascii="宋体" w:hAnsi="宋体"/>
          <w:kern w:val="0"/>
          <w:szCs w:val="21"/>
          <w:u w:val="single"/>
        </w:rPr>
        <w:t xml:space="preserve">                  </w:t>
      </w:r>
      <w:r>
        <w:rPr>
          <w:rFonts w:hint="eastAsia" w:ascii="宋体" w:hAnsi="宋体"/>
          <w:kern w:val="0"/>
          <w:szCs w:val="21"/>
        </w:rPr>
        <w:t>邮政编号：</w:t>
      </w:r>
      <w:r>
        <w:rPr>
          <w:rFonts w:hint="eastAsia" w:ascii="宋体" w:hAnsi="宋体"/>
          <w:kern w:val="0"/>
          <w:szCs w:val="21"/>
          <w:u w:val="single"/>
        </w:rPr>
        <w:t xml:space="preserve">    </w:t>
      </w:r>
    </w:p>
    <w:p w14:paraId="6978C473">
      <w:pPr>
        <w:spacing w:line="360" w:lineRule="auto"/>
        <w:contextualSpacing/>
        <w:rPr>
          <w:rFonts w:ascii="宋体" w:hAnsi="宋体"/>
          <w:kern w:val="0"/>
          <w:szCs w:val="21"/>
        </w:rPr>
      </w:pPr>
      <w:r>
        <w:rPr>
          <w:rFonts w:hint="eastAsia" w:ascii="宋体" w:hAnsi="宋体"/>
          <w:kern w:val="0"/>
          <w:szCs w:val="21"/>
        </w:rPr>
        <w:t>电话/传真：</w:t>
      </w:r>
      <w:r>
        <w:rPr>
          <w:rFonts w:hint="eastAsia" w:ascii="宋体" w:hAnsi="宋体"/>
          <w:kern w:val="0"/>
          <w:szCs w:val="21"/>
          <w:u w:val="single"/>
        </w:rPr>
        <w:t xml:space="preserve">                        </w:t>
      </w:r>
      <w:r>
        <w:rPr>
          <w:rFonts w:hint="eastAsia" w:ascii="宋体" w:hAnsi="宋体"/>
          <w:kern w:val="0"/>
          <w:szCs w:val="21"/>
        </w:rPr>
        <w:t xml:space="preserve"> 电子函件：</w:t>
      </w:r>
      <w:r>
        <w:rPr>
          <w:rFonts w:hint="eastAsia" w:ascii="宋体" w:hAnsi="宋体"/>
          <w:kern w:val="0"/>
          <w:szCs w:val="21"/>
          <w:u w:val="single"/>
        </w:rPr>
        <w:t xml:space="preserve">             </w:t>
      </w:r>
      <w:r>
        <w:rPr>
          <w:rFonts w:hint="eastAsia" w:ascii="宋体" w:hAnsi="宋体"/>
          <w:kern w:val="0"/>
          <w:szCs w:val="21"/>
        </w:rPr>
        <w:t xml:space="preserve">    </w:t>
      </w:r>
    </w:p>
    <w:p w14:paraId="403C5B6F">
      <w:pPr>
        <w:tabs>
          <w:tab w:val="left" w:pos="939"/>
        </w:tabs>
        <w:spacing w:line="360" w:lineRule="auto"/>
        <w:ind w:left="140" w:leftChars="67"/>
        <w:contextualSpacing/>
        <w:rPr>
          <w:rFonts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帐号/行号：</w:t>
      </w:r>
      <w:r>
        <w:rPr>
          <w:rFonts w:hint="eastAsia" w:ascii="宋体" w:hAnsi="宋体"/>
          <w:szCs w:val="21"/>
          <w:u w:val="single"/>
        </w:rPr>
        <w:t xml:space="preserve">           </w:t>
      </w:r>
    </w:p>
    <w:p w14:paraId="7958EF0B">
      <w:pPr>
        <w:tabs>
          <w:tab w:val="left" w:pos="939"/>
        </w:tabs>
        <w:spacing w:line="360" w:lineRule="auto"/>
        <w:ind w:left="140" w:leftChars="67"/>
        <w:contextualSpacing/>
        <w:rPr>
          <w:rFonts w:ascii="宋体" w:hAnsi="宋体"/>
          <w:szCs w:val="21"/>
        </w:rPr>
      </w:pPr>
      <w:r>
        <w:rPr>
          <w:rFonts w:hint="eastAsia" w:ascii="宋体" w:hAnsi="宋体"/>
          <w:szCs w:val="21"/>
        </w:rPr>
        <w:t>7.以上事项如有虚假或隐瞒，我方愿意承担一切后果，并不再寻求任何旨在减轻或免除法律责任的辩解。</w:t>
      </w:r>
    </w:p>
    <w:p w14:paraId="60EED9DE">
      <w:pPr>
        <w:tabs>
          <w:tab w:val="left" w:pos="939"/>
        </w:tabs>
        <w:spacing w:line="360" w:lineRule="auto"/>
        <w:ind w:left="140" w:leftChars="67"/>
        <w:contextualSpacing/>
        <w:rPr>
          <w:rFonts w:ascii="宋体" w:hAnsi="宋体"/>
          <w:szCs w:val="21"/>
        </w:rPr>
      </w:pPr>
      <w:r>
        <w:rPr>
          <w:rFonts w:hint="eastAsia" w:ascii="宋体" w:hAnsi="宋体"/>
          <w:szCs w:val="21"/>
        </w:rPr>
        <w:t>特此承诺。</w:t>
      </w:r>
    </w:p>
    <w:p w14:paraId="7D71A53E">
      <w:pPr>
        <w:tabs>
          <w:tab w:val="left" w:pos="939"/>
        </w:tabs>
        <w:spacing w:line="360" w:lineRule="auto"/>
        <w:ind w:left="140" w:leftChars="67"/>
        <w:contextualSpacing/>
        <w:rPr>
          <w:rFonts w:ascii="宋体" w:hAnsi="宋体"/>
          <w:szCs w:val="21"/>
        </w:rPr>
      </w:pPr>
    </w:p>
    <w:p w14:paraId="5F356655">
      <w:pPr>
        <w:spacing w:line="360" w:lineRule="auto"/>
        <w:rPr>
          <w:rFonts w:ascii="宋体" w:hAnsi="宋体"/>
        </w:rPr>
      </w:pPr>
      <w:r>
        <w:rPr>
          <w:rFonts w:hint="eastAsia" w:ascii="宋体" w:hAnsi="宋体"/>
        </w:rPr>
        <w:t>法定代表人（负责人或自然人）（签字）：</w:t>
      </w:r>
      <w:r>
        <w:rPr>
          <w:rFonts w:hint="eastAsia" w:ascii="宋体" w:hAnsi="宋体"/>
          <w:u w:val="single"/>
        </w:rPr>
        <w:t xml:space="preserve">           </w:t>
      </w:r>
      <w:r>
        <w:rPr>
          <w:rFonts w:hint="eastAsia" w:ascii="宋体" w:hAnsi="宋体"/>
        </w:rPr>
        <w:t xml:space="preserve">                                     </w:t>
      </w:r>
    </w:p>
    <w:p w14:paraId="5918C198">
      <w:pPr>
        <w:spacing w:line="360" w:lineRule="auto"/>
        <w:rPr>
          <w:rFonts w:ascii="宋体" w:hAnsi="宋体"/>
        </w:rPr>
      </w:pPr>
      <w:r>
        <w:rPr>
          <w:rFonts w:hint="eastAsia" w:ascii="宋体" w:hAnsi="宋体"/>
        </w:rPr>
        <w:t>供应商（盖公章）：</w:t>
      </w:r>
      <w:r>
        <w:rPr>
          <w:rFonts w:hint="eastAsia" w:ascii="宋体" w:hAnsi="宋体"/>
          <w:u w:val="single"/>
        </w:rPr>
        <w:t xml:space="preserve">                               </w:t>
      </w:r>
      <w:r>
        <w:rPr>
          <w:rFonts w:hint="eastAsia" w:ascii="宋体" w:hAnsi="宋体"/>
        </w:rPr>
        <w:t xml:space="preserve">       </w:t>
      </w:r>
      <w:r>
        <w:rPr>
          <w:rFonts w:hint="eastAsia" w:ascii="宋体" w:hAnsi="宋体"/>
          <w:szCs w:val="21"/>
        </w:rPr>
        <w:t xml:space="preserve">    </w:t>
      </w:r>
    </w:p>
    <w:p w14:paraId="763CF8DB">
      <w:pPr>
        <w:spacing w:line="360" w:lineRule="auto"/>
        <w:ind w:right="482"/>
        <w:contextualSpacing/>
        <w:jc w:val="center"/>
        <w:rPr>
          <w:rFonts w:ascii="宋体" w:hAnsi="宋体"/>
          <w:szCs w:val="21"/>
        </w:rPr>
      </w:pPr>
      <w:r>
        <w:rPr>
          <w:rFonts w:hint="eastAsia" w:ascii="宋体" w:hAnsi="宋体"/>
          <w:szCs w:val="21"/>
        </w:rPr>
        <w:t xml:space="preserve">                                                        </w:t>
      </w:r>
      <w:r>
        <w:rPr>
          <w:rFonts w:hint="eastAsia" w:ascii="宋体" w:hAnsi="宋体"/>
        </w:rPr>
        <w:t xml:space="preserve"> 年    月    日 </w:t>
      </w:r>
    </w:p>
    <w:p w14:paraId="6DFB7EED">
      <w:pPr>
        <w:snapToGrid w:val="0"/>
        <w:spacing w:before="156" w:after="50"/>
        <w:ind w:left="420"/>
        <w:jc w:val="center"/>
        <w:rPr>
          <w:rFonts w:ascii="宋体" w:hAnsi="宋体"/>
          <w:b/>
          <w:sz w:val="24"/>
        </w:rPr>
      </w:pPr>
    </w:p>
    <w:p w14:paraId="5CD777D7">
      <w:pPr>
        <w:spacing w:line="400" w:lineRule="exact"/>
        <w:rPr>
          <w:rFonts w:ascii="宋体" w:hAnsi="宋体"/>
          <w:sz w:val="28"/>
          <w:szCs w:val="28"/>
        </w:rPr>
      </w:pPr>
      <w:r>
        <w:rPr>
          <w:rFonts w:hint="eastAsia" w:ascii="宋体" w:hAnsi="宋体"/>
          <w:sz w:val="28"/>
          <w:szCs w:val="28"/>
        </w:rPr>
        <w:t xml:space="preserve">  </w:t>
      </w:r>
    </w:p>
    <w:p w14:paraId="74A049C3">
      <w:pPr>
        <w:spacing w:line="400" w:lineRule="exact"/>
        <w:rPr>
          <w:rFonts w:ascii="宋体" w:hAnsi="宋体"/>
          <w:sz w:val="28"/>
          <w:szCs w:val="28"/>
        </w:rPr>
      </w:pPr>
    </w:p>
    <w:p w14:paraId="566A09F3">
      <w:pPr>
        <w:spacing w:line="400" w:lineRule="exact"/>
        <w:rPr>
          <w:rFonts w:hint="eastAsia" w:ascii="宋体" w:hAnsi="宋体"/>
          <w:b/>
          <w:sz w:val="24"/>
        </w:rPr>
      </w:pPr>
    </w:p>
    <w:p w14:paraId="26E6C27C">
      <w:pPr>
        <w:spacing w:line="400" w:lineRule="exact"/>
        <w:rPr>
          <w:rFonts w:ascii="宋体" w:hAnsi="宋体"/>
          <w:b/>
          <w:sz w:val="24"/>
        </w:rPr>
      </w:pPr>
      <w:r>
        <w:rPr>
          <w:rFonts w:hint="eastAsia" w:ascii="宋体" w:hAnsi="宋体"/>
          <w:b/>
          <w:sz w:val="24"/>
        </w:rPr>
        <w:t>三、响应及偏离情况说明表（格式）</w:t>
      </w:r>
    </w:p>
    <w:p w14:paraId="3AC5889B">
      <w:pPr>
        <w:spacing w:line="400" w:lineRule="exact"/>
        <w:rPr>
          <w:rFonts w:ascii="宋体" w:hAnsi="宋体"/>
          <w:b/>
          <w:sz w:val="32"/>
          <w:szCs w:val="32"/>
        </w:rPr>
      </w:pPr>
    </w:p>
    <w:p w14:paraId="58F031F3">
      <w:pPr>
        <w:spacing w:line="400" w:lineRule="exact"/>
        <w:jc w:val="center"/>
        <w:rPr>
          <w:rFonts w:ascii="宋体" w:hAnsi="宋体"/>
          <w:b/>
          <w:sz w:val="36"/>
          <w:szCs w:val="36"/>
        </w:rPr>
      </w:pPr>
      <w:r>
        <w:rPr>
          <w:rFonts w:hint="eastAsia" w:ascii="宋体" w:hAnsi="宋体"/>
          <w:b/>
          <w:sz w:val="36"/>
          <w:szCs w:val="36"/>
        </w:rPr>
        <w:t>响应及偏离情况说明表</w:t>
      </w:r>
    </w:p>
    <w:p w14:paraId="4E555658">
      <w:pPr>
        <w:pStyle w:val="9"/>
        <w:spacing w:line="400" w:lineRule="exact"/>
        <w:ind w:firstLine="606" w:firstLineChars="300"/>
        <w:rPr>
          <w:rFonts w:hAnsi="宋体"/>
          <w:sz w:val="21"/>
          <w:szCs w:val="21"/>
        </w:rPr>
      </w:pPr>
    </w:p>
    <w:p w14:paraId="53A3263E">
      <w:pPr>
        <w:pStyle w:val="9"/>
        <w:spacing w:line="400" w:lineRule="exact"/>
        <w:ind w:firstLine="606" w:firstLineChars="300"/>
        <w:rPr>
          <w:rFonts w:hAnsi="宋体"/>
          <w:sz w:val="21"/>
          <w:szCs w:val="21"/>
        </w:rPr>
      </w:pPr>
      <w:r>
        <w:rPr>
          <w:rFonts w:hint="eastAsia" w:hAnsi="宋体"/>
          <w:sz w:val="21"/>
          <w:szCs w:val="21"/>
        </w:rPr>
        <w:t>请逐条对应本项目采购文件第二章“服务需求一览表”中的“</w:t>
      </w:r>
      <w:r>
        <w:rPr>
          <w:rFonts w:hint="eastAsia" w:hAnsi="宋体"/>
          <w:kern w:val="0"/>
          <w:sz w:val="21"/>
          <w:szCs w:val="21"/>
        </w:rPr>
        <w:t>服务内容、范围及要求”等内容</w:t>
      </w:r>
      <w:r>
        <w:rPr>
          <w:rFonts w:hint="eastAsia" w:hAnsi="宋体"/>
          <w:sz w:val="21"/>
          <w:szCs w:val="21"/>
        </w:rPr>
        <w:t>认真填写该表。“偏离情况”一栏选择“正偏离”、“负偏离”或“无偏离”进行填写。</w:t>
      </w:r>
    </w:p>
    <w:p w14:paraId="5F4BFC61">
      <w:pPr>
        <w:spacing w:line="400" w:lineRule="exact"/>
        <w:rPr>
          <w:rFonts w:ascii="宋体" w:hAnsi="宋体"/>
          <w:szCs w:val="21"/>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075F95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0F16CEA7">
            <w:pPr>
              <w:snapToGrid w:val="0"/>
              <w:spacing w:line="400" w:lineRule="exact"/>
              <w:jc w:val="center"/>
              <w:outlineLvl w:val="0"/>
              <w:rPr>
                <w:rFonts w:ascii="宋体" w:hAnsi="宋体"/>
                <w:szCs w:val="21"/>
              </w:rPr>
            </w:pPr>
            <w:bookmarkStart w:id="6" w:name="_Toc30065"/>
            <w:bookmarkStart w:id="7" w:name="_Toc173211900"/>
            <w:bookmarkStart w:id="8" w:name="_Toc31215"/>
            <w:bookmarkStart w:id="9" w:name="_Toc9474"/>
            <w:bookmarkStart w:id="10" w:name="_Toc254970729"/>
            <w:bookmarkStart w:id="11" w:name="_Toc66377101"/>
            <w:bookmarkStart w:id="12" w:name="_Toc4675"/>
            <w:bookmarkStart w:id="13" w:name="_Toc173066401"/>
            <w:bookmarkStart w:id="14" w:name="_Toc254970588"/>
            <w:r>
              <w:rPr>
                <w:rFonts w:hint="eastAsia" w:ascii="宋体" w:hAnsi="宋体"/>
                <w:szCs w:val="21"/>
              </w:rPr>
              <w:t>序号</w:t>
            </w:r>
            <w:bookmarkEnd w:id="6"/>
            <w:bookmarkEnd w:id="7"/>
            <w:bookmarkEnd w:id="8"/>
            <w:bookmarkEnd w:id="9"/>
            <w:bookmarkEnd w:id="10"/>
            <w:bookmarkEnd w:id="11"/>
            <w:bookmarkEnd w:id="12"/>
            <w:bookmarkEnd w:id="13"/>
            <w:bookmarkEnd w:id="14"/>
          </w:p>
        </w:tc>
        <w:tc>
          <w:tcPr>
            <w:tcW w:w="3483" w:type="dxa"/>
            <w:vAlign w:val="center"/>
          </w:tcPr>
          <w:p w14:paraId="5CF0E5B6">
            <w:pPr>
              <w:snapToGrid w:val="0"/>
              <w:spacing w:line="400" w:lineRule="exact"/>
              <w:jc w:val="center"/>
              <w:outlineLvl w:val="0"/>
              <w:rPr>
                <w:rFonts w:ascii="宋体" w:hAnsi="宋体"/>
                <w:szCs w:val="21"/>
              </w:rPr>
            </w:pPr>
            <w:bookmarkStart w:id="15" w:name="_Toc173066402"/>
            <w:bookmarkStart w:id="16" w:name="_Toc14333"/>
            <w:bookmarkStart w:id="17" w:name="_Toc20462"/>
            <w:bookmarkStart w:id="18" w:name="_Toc254970589"/>
            <w:bookmarkStart w:id="19" w:name="_Toc173211901"/>
            <w:bookmarkStart w:id="20" w:name="_Toc21191"/>
            <w:bookmarkStart w:id="21" w:name="_Toc28242"/>
            <w:bookmarkStart w:id="22" w:name="_Toc254970730"/>
            <w:bookmarkStart w:id="23" w:name="_Toc66377102"/>
            <w:r>
              <w:rPr>
                <w:rFonts w:hint="eastAsia" w:ascii="宋体" w:hAnsi="宋体"/>
                <w:szCs w:val="21"/>
              </w:rPr>
              <w:t>采购文件中的要求</w:t>
            </w:r>
            <w:bookmarkEnd w:id="15"/>
            <w:bookmarkEnd w:id="16"/>
            <w:bookmarkEnd w:id="17"/>
            <w:bookmarkEnd w:id="18"/>
            <w:bookmarkEnd w:id="19"/>
            <w:bookmarkEnd w:id="20"/>
            <w:bookmarkEnd w:id="21"/>
            <w:bookmarkEnd w:id="22"/>
            <w:bookmarkEnd w:id="23"/>
          </w:p>
        </w:tc>
        <w:tc>
          <w:tcPr>
            <w:tcW w:w="2514" w:type="dxa"/>
            <w:vAlign w:val="center"/>
          </w:tcPr>
          <w:p w14:paraId="0C035991">
            <w:pPr>
              <w:snapToGrid w:val="0"/>
              <w:spacing w:line="400" w:lineRule="exact"/>
              <w:jc w:val="center"/>
              <w:outlineLvl w:val="0"/>
              <w:rPr>
                <w:rFonts w:ascii="宋体" w:hAnsi="宋体"/>
                <w:szCs w:val="21"/>
              </w:rPr>
            </w:pPr>
            <w:bookmarkStart w:id="24" w:name="_Toc254970731"/>
            <w:bookmarkStart w:id="25" w:name="_Toc66377103"/>
            <w:bookmarkStart w:id="26" w:name="_Toc173211902"/>
            <w:bookmarkStart w:id="27" w:name="_Toc17539"/>
            <w:bookmarkStart w:id="28" w:name="_Toc12746"/>
            <w:bookmarkStart w:id="29" w:name="_Toc254970590"/>
            <w:bookmarkStart w:id="30" w:name="_Toc29566"/>
            <w:bookmarkStart w:id="31" w:name="_Toc26272"/>
            <w:bookmarkStart w:id="32" w:name="_Toc173066403"/>
            <w:r>
              <w:rPr>
                <w:rFonts w:hint="eastAsia" w:ascii="宋体" w:hAnsi="宋体"/>
                <w:szCs w:val="21"/>
              </w:rPr>
              <w:t>响应文件具体响应</w:t>
            </w:r>
            <w:bookmarkEnd w:id="24"/>
            <w:bookmarkEnd w:id="25"/>
            <w:bookmarkEnd w:id="26"/>
            <w:bookmarkEnd w:id="27"/>
            <w:bookmarkEnd w:id="28"/>
            <w:bookmarkEnd w:id="29"/>
            <w:bookmarkEnd w:id="30"/>
            <w:bookmarkEnd w:id="31"/>
            <w:bookmarkEnd w:id="32"/>
          </w:p>
        </w:tc>
        <w:tc>
          <w:tcPr>
            <w:tcW w:w="1571" w:type="dxa"/>
            <w:vAlign w:val="center"/>
          </w:tcPr>
          <w:p w14:paraId="2FF1B1A8">
            <w:pPr>
              <w:snapToGrid w:val="0"/>
              <w:spacing w:line="400" w:lineRule="exact"/>
              <w:jc w:val="center"/>
              <w:outlineLvl w:val="0"/>
              <w:rPr>
                <w:rFonts w:ascii="宋体" w:hAnsi="宋体"/>
                <w:szCs w:val="21"/>
              </w:rPr>
            </w:pPr>
            <w:bookmarkStart w:id="33" w:name="_Toc7045"/>
            <w:bookmarkStart w:id="34" w:name="_Toc173066404"/>
            <w:bookmarkStart w:id="35" w:name="_Toc254970732"/>
            <w:bookmarkStart w:id="36" w:name="_Toc254970591"/>
            <w:bookmarkStart w:id="37" w:name="_Toc173211903"/>
            <w:bookmarkStart w:id="38" w:name="_Toc16085"/>
            <w:bookmarkStart w:id="39" w:name="_Toc30043"/>
            <w:bookmarkStart w:id="40" w:name="_Toc66377104"/>
            <w:bookmarkStart w:id="41" w:name="_Toc11968"/>
            <w:r>
              <w:rPr>
                <w:rFonts w:hint="eastAsia" w:ascii="宋体" w:hAnsi="宋体"/>
                <w:szCs w:val="21"/>
              </w:rPr>
              <w:t>偏离</w:t>
            </w:r>
            <w:bookmarkEnd w:id="33"/>
            <w:bookmarkEnd w:id="34"/>
            <w:bookmarkEnd w:id="35"/>
            <w:bookmarkEnd w:id="36"/>
            <w:bookmarkEnd w:id="37"/>
            <w:bookmarkEnd w:id="38"/>
            <w:bookmarkEnd w:id="39"/>
            <w:bookmarkEnd w:id="40"/>
            <w:bookmarkEnd w:id="41"/>
            <w:r>
              <w:rPr>
                <w:rFonts w:hint="eastAsia" w:ascii="宋体" w:hAnsi="宋体"/>
                <w:szCs w:val="21"/>
              </w:rPr>
              <w:t>情况</w:t>
            </w:r>
          </w:p>
        </w:tc>
        <w:tc>
          <w:tcPr>
            <w:tcW w:w="1396" w:type="dxa"/>
            <w:vAlign w:val="center"/>
          </w:tcPr>
          <w:p w14:paraId="68E333B1">
            <w:pPr>
              <w:snapToGrid w:val="0"/>
              <w:spacing w:line="400" w:lineRule="exact"/>
              <w:jc w:val="center"/>
              <w:outlineLvl w:val="0"/>
              <w:rPr>
                <w:rFonts w:ascii="宋体" w:hAnsi="宋体"/>
                <w:szCs w:val="21"/>
              </w:rPr>
            </w:pPr>
            <w:bookmarkStart w:id="42" w:name="_Toc254970592"/>
            <w:bookmarkStart w:id="43" w:name="_Toc173066405"/>
            <w:bookmarkStart w:id="44" w:name="_Toc17699"/>
            <w:bookmarkStart w:id="45" w:name="_Toc21600"/>
            <w:bookmarkStart w:id="46" w:name="_Toc173211904"/>
            <w:bookmarkStart w:id="47" w:name="_Toc6199"/>
            <w:bookmarkStart w:id="48" w:name="_Toc18083"/>
            <w:bookmarkStart w:id="49" w:name="_Toc254970733"/>
            <w:bookmarkStart w:id="50" w:name="_Toc66377105"/>
            <w:r>
              <w:rPr>
                <w:rFonts w:hint="eastAsia" w:ascii="宋体" w:hAnsi="宋体"/>
                <w:szCs w:val="21"/>
              </w:rPr>
              <w:t>说明</w:t>
            </w:r>
            <w:bookmarkEnd w:id="42"/>
            <w:bookmarkEnd w:id="43"/>
            <w:bookmarkEnd w:id="44"/>
            <w:bookmarkEnd w:id="45"/>
            <w:bookmarkEnd w:id="46"/>
            <w:bookmarkEnd w:id="47"/>
            <w:bookmarkEnd w:id="48"/>
            <w:bookmarkEnd w:id="49"/>
            <w:bookmarkEnd w:id="50"/>
          </w:p>
        </w:tc>
      </w:tr>
      <w:tr w14:paraId="5716D0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31DF12AF">
            <w:pPr>
              <w:snapToGrid w:val="0"/>
              <w:spacing w:line="400" w:lineRule="exact"/>
              <w:jc w:val="center"/>
              <w:outlineLvl w:val="0"/>
              <w:rPr>
                <w:rFonts w:ascii="宋体" w:hAnsi="宋体"/>
                <w:szCs w:val="21"/>
              </w:rPr>
            </w:pPr>
            <w:bookmarkStart w:id="51" w:name="_Toc21677"/>
            <w:bookmarkStart w:id="52" w:name="_Toc17552"/>
            <w:bookmarkStart w:id="53" w:name="_Toc254970734"/>
            <w:bookmarkStart w:id="54" w:name="_Toc28619"/>
            <w:bookmarkStart w:id="55" w:name="_Toc837"/>
            <w:bookmarkStart w:id="56" w:name="_Toc173066406"/>
            <w:bookmarkStart w:id="57" w:name="_Toc254970593"/>
            <w:bookmarkStart w:id="58" w:name="_Toc66377106"/>
            <w:bookmarkStart w:id="59" w:name="_Toc173211905"/>
            <w:r>
              <w:rPr>
                <w:rFonts w:hint="eastAsia" w:ascii="宋体" w:hAnsi="宋体"/>
                <w:szCs w:val="21"/>
              </w:rPr>
              <w:t>1</w:t>
            </w:r>
            <w:bookmarkEnd w:id="51"/>
            <w:bookmarkEnd w:id="52"/>
            <w:bookmarkEnd w:id="53"/>
            <w:bookmarkEnd w:id="54"/>
            <w:bookmarkEnd w:id="55"/>
            <w:bookmarkEnd w:id="56"/>
            <w:bookmarkEnd w:id="57"/>
            <w:bookmarkEnd w:id="58"/>
            <w:bookmarkEnd w:id="59"/>
          </w:p>
        </w:tc>
        <w:tc>
          <w:tcPr>
            <w:tcW w:w="3483" w:type="dxa"/>
            <w:vAlign w:val="center"/>
          </w:tcPr>
          <w:p w14:paraId="1E94456A">
            <w:pPr>
              <w:snapToGrid w:val="0"/>
              <w:spacing w:line="400" w:lineRule="exact"/>
              <w:jc w:val="center"/>
              <w:rPr>
                <w:rFonts w:ascii="宋体" w:hAnsi="宋体"/>
                <w:szCs w:val="21"/>
              </w:rPr>
            </w:pPr>
          </w:p>
        </w:tc>
        <w:tc>
          <w:tcPr>
            <w:tcW w:w="2514" w:type="dxa"/>
            <w:vAlign w:val="center"/>
          </w:tcPr>
          <w:p w14:paraId="25D6BE5B">
            <w:pPr>
              <w:snapToGrid w:val="0"/>
              <w:spacing w:line="400" w:lineRule="exact"/>
              <w:jc w:val="center"/>
              <w:rPr>
                <w:rFonts w:ascii="宋体" w:hAnsi="宋体"/>
                <w:szCs w:val="21"/>
              </w:rPr>
            </w:pPr>
          </w:p>
        </w:tc>
        <w:tc>
          <w:tcPr>
            <w:tcW w:w="1571" w:type="dxa"/>
            <w:vAlign w:val="center"/>
          </w:tcPr>
          <w:p w14:paraId="630A2BB2">
            <w:pPr>
              <w:snapToGrid w:val="0"/>
              <w:spacing w:line="400" w:lineRule="exact"/>
              <w:jc w:val="center"/>
              <w:rPr>
                <w:rFonts w:ascii="宋体" w:hAnsi="宋体"/>
                <w:szCs w:val="21"/>
              </w:rPr>
            </w:pPr>
          </w:p>
        </w:tc>
        <w:tc>
          <w:tcPr>
            <w:tcW w:w="1396" w:type="dxa"/>
            <w:vAlign w:val="center"/>
          </w:tcPr>
          <w:p w14:paraId="550C4CE7">
            <w:pPr>
              <w:snapToGrid w:val="0"/>
              <w:spacing w:line="400" w:lineRule="exact"/>
              <w:jc w:val="center"/>
              <w:rPr>
                <w:rFonts w:ascii="宋体" w:hAnsi="宋体"/>
                <w:szCs w:val="21"/>
              </w:rPr>
            </w:pPr>
          </w:p>
        </w:tc>
      </w:tr>
      <w:tr w14:paraId="6DF258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2C081C6">
            <w:pPr>
              <w:snapToGrid w:val="0"/>
              <w:spacing w:line="400" w:lineRule="exact"/>
              <w:jc w:val="center"/>
              <w:outlineLvl w:val="0"/>
              <w:rPr>
                <w:rFonts w:ascii="宋体" w:hAnsi="宋体"/>
                <w:szCs w:val="21"/>
              </w:rPr>
            </w:pPr>
            <w:bookmarkStart w:id="60" w:name="_Toc26028"/>
            <w:bookmarkStart w:id="61" w:name="_Toc15385"/>
            <w:bookmarkStart w:id="62" w:name="_Toc254970735"/>
            <w:bookmarkStart w:id="63" w:name="_Toc173066407"/>
            <w:bookmarkStart w:id="64" w:name="_Toc254970594"/>
            <w:bookmarkStart w:id="65" w:name="_Toc173211906"/>
            <w:bookmarkStart w:id="66" w:name="_Toc66377107"/>
            <w:bookmarkStart w:id="67" w:name="_Toc4586"/>
            <w:bookmarkStart w:id="68" w:name="_Toc28313"/>
            <w:r>
              <w:rPr>
                <w:rFonts w:hint="eastAsia" w:ascii="宋体" w:hAnsi="宋体"/>
                <w:szCs w:val="21"/>
              </w:rPr>
              <w:t>2</w:t>
            </w:r>
            <w:bookmarkEnd w:id="60"/>
            <w:bookmarkEnd w:id="61"/>
            <w:bookmarkEnd w:id="62"/>
            <w:bookmarkEnd w:id="63"/>
            <w:bookmarkEnd w:id="64"/>
            <w:bookmarkEnd w:id="65"/>
            <w:bookmarkEnd w:id="66"/>
            <w:bookmarkEnd w:id="67"/>
            <w:bookmarkEnd w:id="68"/>
          </w:p>
        </w:tc>
        <w:tc>
          <w:tcPr>
            <w:tcW w:w="3483" w:type="dxa"/>
            <w:vAlign w:val="center"/>
          </w:tcPr>
          <w:p w14:paraId="75597EBF">
            <w:pPr>
              <w:snapToGrid w:val="0"/>
              <w:spacing w:line="400" w:lineRule="exact"/>
              <w:jc w:val="center"/>
              <w:rPr>
                <w:rFonts w:ascii="宋体" w:hAnsi="宋体"/>
                <w:szCs w:val="21"/>
              </w:rPr>
            </w:pPr>
          </w:p>
        </w:tc>
        <w:tc>
          <w:tcPr>
            <w:tcW w:w="2514" w:type="dxa"/>
            <w:vAlign w:val="center"/>
          </w:tcPr>
          <w:p w14:paraId="1AE9473F">
            <w:pPr>
              <w:snapToGrid w:val="0"/>
              <w:spacing w:line="400" w:lineRule="exact"/>
              <w:jc w:val="center"/>
              <w:rPr>
                <w:rFonts w:ascii="宋体" w:hAnsi="宋体"/>
                <w:szCs w:val="21"/>
              </w:rPr>
            </w:pPr>
          </w:p>
        </w:tc>
        <w:tc>
          <w:tcPr>
            <w:tcW w:w="1571" w:type="dxa"/>
            <w:vAlign w:val="center"/>
          </w:tcPr>
          <w:p w14:paraId="7F389C85">
            <w:pPr>
              <w:snapToGrid w:val="0"/>
              <w:spacing w:line="400" w:lineRule="exact"/>
              <w:jc w:val="center"/>
              <w:rPr>
                <w:rFonts w:ascii="宋体" w:hAnsi="宋体"/>
                <w:szCs w:val="21"/>
              </w:rPr>
            </w:pPr>
          </w:p>
        </w:tc>
        <w:tc>
          <w:tcPr>
            <w:tcW w:w="1396" w:type="dxa"/>
            <w:vAlign w:val="center"/>
          </w:tcPr>
          <w:p w14:paraId="482DE149">
            <w:pPr>
              <w:snapToGrid w:val="0"/>
              <w:spacing w:line="400" w:lineRule="exact"/>
              <w:jc w:val="center"/>
              <w:rPr>
                <w:rFonts w:ascii="宋体" w:hAnsi="宋体"/>
                <w:szCs w:val="21"/>
              </w:rPr>
            </w:pPr>
          </w:p>
        </w:tc>
      </w:tr>
      <w:tr w14:paraId="601382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27E90B4">
            <w:pPr>
              <w:snapToGrid w:val="0"/>
              <w:spacing w:line="400" w:lineRule="exact"/>
              <w:jc w:val="center"/>
              <w:outlineLvl w:val="0"/>
              <w:rPr>
                <w:rFonts w:ascii="宋体" w:hAnsi="宋体"/>
                <w:szCs w:val="21"/>
              </w:rPr>
            </w:pPr>
            <w:bookmarkStart w:id="69" w:name="_Toc30564"/>
            <w:bookmarkStart w:id="70" w:name="_Toc254970736"/>
            <w:bookmarkStart w:id="71" w:name="_Toc173066408"/>
            <w:bookmarkStart w:id="72" w:name="_Toc173211907"/>
            <w:bookmarkStart w:id="73" w:name="_Toc16103"/>
            <w:bookmarkStart w:id="74" w:name="_Toc28990"/>
            <w:bookmarkStart w:id="75" w:name="_Toc16172"/>
            <w:bookmarkStart w:id="76" w:name="_Toc66377108"/>
            <w:bookmarkStart w:id="77" w:name="_Toc254970595"/>
            <w:r>
              <w:rPr>
                <w:rFonts w:hint="eastAsia" w:ascii="宋体" w:hAnsi="宋体"/>
                <w:szCs w:val="21"/>
              </w:rPr>
              <w:t>3</w:t>
            </w:r>
            <w:bookmarkEnd w:id="69"/>
            <w:bookmarkEnd w:id="70"/>
            <w:bookmarkEnd w:id="71"/>
            <w:bookmarkEnd w:id="72"/>
            <w:bookmarkEnd w:id="73"/>
            <w:bookmarkEnd w:id="74"/>
            <w:bookmarkEnd w:id="75"/>
            <w:bookmarkEnd w:id="76"/>
            <w:bookmarkEnd w:id="77"/>
          </w:p>
        </w:tc>
        <w:tc>
          <w:tcPr>
            <w:tcW w:w="3483" w:type="dxa"/>
            <w:vAlign w:val="center"/>
          </w:tcPr>
          <w:p w14:paraId="27D63915">
            <w:pPr>
              <w:snapToGrid w:val="0"/>
              <w:spacing w:line="400" w:lineRule="exact"/>
              <w:jc w:val="center"/>
              <w:rPr>
                <w:rFonts w:ascii="宋体" w:hAnsi="宋体"/>
                <w:szCs w:val="21"/>
              </w:rPr>
            </w:pPr>
          </w:p>
        </w:tc>
        <w:tc>
          <w:tcPr>
            <w:tcW w:w="2514" w:type="dxa"/>
            <w:vAlign w:val="center"/>
          </w:tcPr>
          <w:p w14:paraId="150C6DEE">
            <w:pPr>
              <w:snapToGrid w:val="0"/>
              <w:spacing w:line="400" w:lineRule="exact"/>
              <w:jc w:val="center"/>
              <w:rPr>
                <w:rFonts w:ascii="宋体" w:hAnsi="宋体"/>
                <w:szCs w:val="21"/>
              </w:rPr>
            </w:pPr>
          </w:p>
        </w:tc>
        <w:tc>
          <w:tcPr>
            <w:tcW w:w="1571" w:type="dxa"/>
            <w:vAlign w:val="center"/>
          </w:tcPr>
          <w:p w14:paraId="6391D6EB">
            <w:pPr>
              <w:snapToGrid w:val="0"/>
              <w:spacing w:line="400" w:lineRule="exact"/>
              <w:jc w:val="center"/>
              <w:rPr>
                <w:rFonts w:ascii="宋体" w:hAnsi="宋体"/>
                <w:szCs w:val="21"/>
              </w:rPr>
            </w:pPr>
          </w:p>
        </w:tc>
        <w:tc>
          <w:tcPr>
            <w:tcW w:w="1396" w:type="dxa"/>
            <w:vAlign w:val="center"/>
          </w:tcPr>
          <w:p w14:paraId="6F97BFA7">
            <w:pPr>
              <w:snapToGrid w:val="0"/>
              <w:spacing w:line="400" w:lineRule="exact"/>
              <w:jc w:val="center"/>
              <w:rPr>
                <w:rFonts w:ascii="宋体" w:hAnsi="宋体"/>
                <w:szCs w:val="21"/>
              </w:rPr>
            </w:pPr>
          </w:p>
        </w:tc>
      </w:tr>
      <w:tr w14:paraId="479550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056FAB9">
            <w:pPr>
              <w:snapToGrid w:val="0"/>
              <w:spacing w:line="400" w:lineRule="exact"/>
              <w:jc w:val="center"/>
              <w:outlineLvl w:val="0"/>
              <w:rPr>
                <w:rFonts w:ascii="宋体" w:hAnsi="宋体"/>
                <w:szCs w:val="21"/>
              </w:rPr>
            </w:pPr>
            <w:bookmarkStart w:id="78" w:name="_Toc2580"/>
            <w:bookmarkStart w:id="79" w:name="_Toc20199"/>
            <w:bookmarkStart w:id="80" w:name="_Toc66377109"/>
            <w:bookmarkStart w:id="81" w:name="_Toc2236"/>
            <w:bookmarkStart w:id="82" w:name="_Toc12641"/>
            <w:r>
              <w:rPr>
                <w:rFonts w:hint="eastAsia" w:ascii="宋体" w:hAnsi="宋体"/>
                <w:szCs w:val="21"/>
              </w:rPr>
              <w:t>4</w:t>
            </w:r>
            <w:bookmarkEnd w:id="78"/>
            <w:bookmarkEnd w:id="79"/>
            <w:bookmarkEnd w:id="80"/>
            <w:bookmarkEnd w:id="81"/>
            <w:bookmarkEnd w:id="82"/>
          </w:p>
        </w:tc>
        <w:tc>
          <w:tcPr>
            <w:tcW w:w="3483" w:type="dxa"/>
            <w:vAlign w:val="center"/>
          </w:tcPr>
          <w:p w14:paraId="4C33E0A7">
            <w:pPr>
              <w:snapToGrid w:val="0"/>
              <w:spacing w:line="400" w:lineRule="exact"/>
              <w:jc w:val="center"/>
              <w:rPr>
                <w:rFonts w:ascii="宋体" w:hAnsi="宋体"/>
                <w:szCs w:val="21"/>
              </w:rPr>
            </w:pPr>
          </w:p>
        </w:tc>
        <w:tc>
          <w:tcPr>
            <w:tcW w:w="2514" w:type="dxa"/>
            <w:vAlign w:val="center"/>
          </w:tcPr>
          <w:p w14:paraId="11A76934">
            <w:pPr>
              <w:snapToGrid w:val="0"/>
              <w:spacing w:line="400" w:lineRule="exact"/>
              <w:jc w:val="center"/>
              <w:rPr>
                <w:rFonts w:ascii="宋体" w:hAnsi="宋体"/>
                <w:szCs w:val="21"/>
              </w:rPr>
            </w:pPr>
          </w:p>
        </w:tc>
        <w:tc>
          <w:tcPr>
            <w:tcW w:w="1571" w:type="dxa"/>
            <w:vAlign w:val="center"/>
          </w:tcPr>
          <w:p w14:paraId="5878F5CE">
            <w:pPr>
              <w:snapToGrid w:val="0"/>
              <w:spacing w:line="400" w:lineRule="exact"/>
              <w:jc w:val="center"/>
              <w:rPr>
                <w:rFonts w:ascii="宋体" w:hAnsi="宋体"/>
                <w:szCs w:val="21"/>
              </w:rPr>
            </w:pPr>
          </w:p>
        </w:tc>
        <w:tc>
          <w:tcPr>
            <w:tcW w:w="1396" w:type="dxa"/>
            <w:vAlign w:val="center"/>
          </w:tcPr>
          <w:p w14:paraId="4AA04F46">
            <w:pPr>
              <w:snapToGrid w:val="0"/>
              <w:spacing w:line="400" w:lineRule="exact"/>
              <w:jc w:val="center"/>
              <w:rPr>
                <w:rFonts w:ascii="宋体" w:hAnsi="宋体"/>
                <w:szCs w:val="21"/>
              </w:rPr>
            </w:pPr>
          </w:p>
        </w:tc>
      </w:tr>
      <w:tr w14:paraId="007513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46F8A3B0">
            <w:pPr>
              <w:snapToGrid w:val="0"/>
              <w:spacing w:line="400" w:lineRule="exact"/>
              <w:jc w:val="center"/>
              <w:outlineLvl w:val="0"/>
              <w:rPr>
                <w:rFonts w:ascii="宋体" w:hAnsi="宋体"/>
                <w:szCs w:val="21"/>
              </w:rPr>
            </w:pPr>
            <w:bookmarkStart w:id="83" w:name="_Toc31774"/>
            <w:bookmarkStart w:id="84" w:name="_Toc66377110"/>
            <w:bookmarkStart w:id="85" w:name="_Toc10300"/>
            <w:bookmarkStart w:id="86" w:name="_Toc4832"/>
            <w:bookmarkStart w:id="87" w:name="_Toc17272"/>
            <w:r>
              <w:rPr>
                <w:rFonts w:hint="eastAsia" w:ascii="宋体" w:hAnsi="宋体"/>
                <w:szCs w:val="21"/>
              </w:rPr>
              <w:t>5</w:t>
            </w:r>
            <w:bookmarkEnd w:id="83"/>
            <w:bookmarkEnd w:id="84"/>
            <w:bookmarkEnd w:id="85"/>
            <w:bookmarkEnd w:id="86"/>
            <w:bookmarkEnd w:id="87"/>
          </w:p>
        </w:tc>
        <w:tc>
          <w:tcPr>
            <w:tcW w:w="3483" w:type="dxa"/>
            <w:vAlign w:val="center"/>
          </w:tcPr>
          <w:p w14:paraId="73E3C5EE">
            <w:pPr>
              <w:snapToGrid w:val="0"/>
              <w:spacing w:line="400" w:lineRule="exact"/>
              <w:jc w:val="center"/>
              <w:rPr>
                <w:rFonts w:ascii="宋体" w:hAnsi="宋体"/>
                <w:szCs w:val="21"/>
              </w:rPr>
            </w:pPr>
          </w:p>
        </w:tc>
        <w:tc>
          <w:tcPr>
            <w:tcW w:w="2514" w:type="dxa"/>
            <w:vAlign w:val="center"/>
          </w:tcPr>
          <w:p w14:paraId="098FE0A9">
            <w:pPr>
              <w:snapToGrid w:val="0"/>
              <w:spacing w:line="400" w:lineRule="exact"/>
              <w:jc w:val="center"/>
              <w:rPr>
                <w:rFonts w:ascii="宋体" w:hAnsi="宋体"/>
                <w:szCs w:val="21"/>
              </w:rPr>
            </w:pPr>
          </w:p>
        </w:tc>
        <w:tc>
          <w:tcPr>
            <w:tcW w:w="1571" w:type="dxa"/>
            <w:vAlign w:val="center"/>
          </w:tcPr>
          <w:p w14:paraId="5584A6FC">
            <w:pPr>
              <w:snapToGrid w:val="0"/>
              <w:spacing w:line="400" w:lineRule="exact"/>
              <w:jc w:val="center"/>
              <w:rPr>
                <w:rFonts w:ascii="宋体" w:hAnsi="宋体"/>
                <w:szCs w:val="21"/>
              </w:rPr>
            </w:pPr>
          </w:p>
        </w:tc>
        <w:tc>
          <w:tcPr>
            <w:tcW w:w="1396" w:type="dxa"/>
            <w:vAlign w:val="center"/>
          </w:tcPr>
          <w:p w14:paraId="6571EA0F">
            <w:pPr>
              <w:snapToGrid w:val="0"/>
              <w:spacing w:line="400" w:lineRule="exact"/>
              <w:jc w:val="center"/>
              <w:rPr>
                <w:rFonts w:ascii="宋体" w:hAnsi="宋体"/>
                <w:szCs w:val="21"/>
              </w:rPr>
            </w:pPr>
          </w:p>
        </w:tc>
      </w:tr>
      <w:tr w14:paraId="1B5348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0D58E8CA">
            <w:pPr>
              <w:snapToGrid w:val="0"/>
              <w:spacing w:line="400" w:lineRule="exact"/>
              <w:jc w:val="center"/>
              <w:outlineLvl w:val="0"/>
              <w:rPr>
                <w:rFonts w:ascii="宋体" w:hAnsi="宋体"/>
                <w:szCs w:val="21"/>
              </w:rPr>
            </w:pPr>
            <w:bookmarkStart w:id="88" w:name="_Toc12136"/>
            <w:bookmarkStart w:id="89" w:name="_Toc254970602"/>
            <w:bookmarkStart w:id="90" w:name="_Toc173211914"/>
            <w:bookmarkStart w:id="91" w:name="_Toc173066415"/>
            <w:bookmarkStart w:id="92" w:name="_Toc31499"/>
            <w:bookmarkStart w:id="93" w:name="_Toc17802"/>
            <w:bookmarkStart w:id="94" w:name="_Toc254970743"/>
            <w:bookmarkStart w:id="95" w:name="_Toc66377111"/>
            <w:bookmarkStart w:id="96" w:name="_Toc109"/>
            <w:r>
              <w:rPr>
                <w:rFonts w:hint="eastAsia" w:ascii="宋体" w:hAnsi="宋体"/>
                <w:szCs w:val="21"/>
              </w:rPr>
              <w:t>…</w:t>
            </w:r>
            <w:bookmarkEnd w:id="88"/>
            <w:bookmarkEnd w:id="89"/>
            <w:bookmarkEnd w:id="90"/>
            <w:bookmarkEnd w:id="91"/>
            <w:bookmarkEnd w:id="92"/>
            <w:bookmarkEnd w:id="93"/>
            <w:bookmarkEnd w:id="94"/>
            <w:bookmarkEnd w:id="95"/>
            <w:bookmarkEnd w:id="96"/>
          </w:p>
        </w:tc>
        <w:tc>
          <w:tcPr>
            <w:tcW w:w="3483" w:type="dxa"/>
            <w:vAlign w:val="center"/>
          </w:tcPr>
          <w:p w14:paraId="5DA0439F">
            <w:pPr>
              <w:snapToGrid w:val="0"/>
              <w:spacing w:line="400" w:lineRule="exact"/>
              <w:jc w:val="center"/>
              <w:rPr>
                <w:rFonts w:ascii="宋体" w:hAnsi="宋体"/>
                <w:szCs w:val="21"/>
              </w:rPr>
            </w:pPr>
          </w:p>
        </w:tc>
        <w:tc>
          <w:tcPr>
            <w:tcW w:w="2514" w:type="dxa"/>
            <w:vAlign w:val="center"/>
          </w:tcPr>
          <w:p w14:paraId="08F08ACA">
            <w:pPr>
              <w:snapToGrid w:val="0"/>
              <w:spacing w:line="400" w:lineRule="exact"/>
              <w:jc w:val="center"/>
              <w:rPr>
                <w:rFonts w:ascii="宋体" w:hAnsi="宋体"/>
                <w:szCs w:val="21"/>
              </w:rPr>
            </w:pPr>
          </w:p>
        </w:tc>
        <w:tc>
          <w:tcPr>
            <w:tcW w:w="1571" w:type="dxa"/>
            <w:vAlign w:val="center"/>
          </w:tcPr>
          <w:p w14:paraId="2E3F8D43">
            <w:pPr>
              <w:snapToGrid w:val="0"/>
              <w:spacing w:line="400" w:lineRule="exact"/>
              <w:jc w:val="center"/>
              <w:rPr>
                <w:rFonts w:ascii="宋体" w:hAnsi="宋体"/>
                <w:szCs w:val="21"/>
              </w:rPr>
            </w:pPr>
          </w:p>
        </w:tc>
        <w:tc>
          <w:tcPr>
            <w:tcW w:w="1396" w:type="dxa"/>
            <w:vAlign w:val="center"/>
          </w:tcPr>
          <w:p w14:paraId="48CD756F">
            <w:pPr>
              <w:snapToGrid w:val="0"/>
              <w:spacing w:line="400" w:lineRule="exact"/>
              <w:jc w:val="center"/>
              <w:rPr>
                <w:rFonts w:ascii="宋体" w:hAnsi="宋体"/>
                <w:szCs w:val="21"/>
              </w:rPr>
            </w:pPr>
          </w:p>
        </w:tc>
      </w:tr>
    </w:tbl>
    <w:p w14:paraId="51E81A1B">
      <w:pPr>
        <w:snapToGrid w:val="0"/>
        <w:spacing w:line="400" w:lineRule="exact"/>
        <w:rPr>
          <w:rFonts w:ascii="宋体" w:hAnsi="宋体"/>
          <w:szCs w:val="21"/>
        </w:rPr>
      </w:pPr>
    </w:p>
    <w:p w14:paraId="0E4E942D">
      <w:pPr>
        <w:pStyle w:val="9"/>
        <w:spacing w:line="400" w:lineRule="exact"/>
        <w:ind w:firstLine="0"/>
        <w:rPr>
          <w:rFonts w:hAnsi="宋体"/>
          <w:sz w:val="21"/>
          <w:szCs w:val="21"/>
        </w:rPr>
      </w:pPr>
      <w:r>
        <w:rPr>
          <w:rFonts w:hint="eastAsia" w:hAnsi="宋体"/>
          <w:sz w:val="21"/>
          <w:szCs w:val="21"/>
        </w:rPr>
        <w:t>说明：应对采购文件第三章《服务需求一览表》中的“</w:t>
      </w:r>
      <w:r>
        <w:rPr>
          <w:rFonts w:hAnsi="宋体"/>
          <w:sz w:val="21"/>
          <w:szCs w:val="21"/>
        </w:rPr>
        <w:t>服务内容及技术质量要求</w:t>
      </w:r>
      <w:r>
        <w:rPr>
          <w:rFonts w:hint="eastAsia" w:hAnsi="宋体"/>
          <w:sz w:val="21"/>
          <w:szCs w:val="21"/>
        </w:rPr>
        <w:t>”、“商务条款</w:t>
      </w:r>
      <w:r>
        <w:rPr>
          <w:rFonts w:hint="eastAsia" w:hAnsi="宋体"/>
          <w:kern w:val="0"/>
          <w:sz w:val="21"/>
          <w:szCs w:val="21"/>
        </w:rPr>
        <w:t>”</w:t>
      </w:r>
      <w:r>
        <w:rPr>
          <w:rFonts w:hint="eastAsia" w:hAnsi="宋体"/>
          <w:sz w:val="21"/>
          <w:szCs w:val="21"/>
        </w:rPr>
        <w:t>，逐条说明所提供货物和服务已对采购文件做出了实质性的响应，并申明与条文的响应和偏离。特别对有具体参数要求的指标，供应商必须提供所供设备的具体参数值。</w:t>
      </w:r>
    </w:p>
    <w:p w14:paraId="42149067">
      <w:pPr>
        <w:pStyle w:val="3"/>
        <w:spacing w:line="400" w:lineRule="exact"/>
        <w:rPr>
          <w:rFonts w:hAnsi="宋体"/>
          <w:szCs w:val="21"/>
        </w:rPr>
      </w:pPr>
    </w:p>
    <w:p w14:paraId="5051BAD7">
      <w:pPr>
        <w:pStyle w:val="3"/>
        <w:spacing w:line="400" w:lineRule="exact"/>
        <w:rPr>
          <w:rFonts w:hAnsi="宋体"/>
          <w:szCs w:val="21"/>
        </w:rPr>
      </w:pPr>
      <w:r>
        <w:rPr>
          <w:rFonts w:hint="eastAsia" w:hAnsi="宋体"/>
          <w:szCs w:val="21"/>
        </w:rPr>
        <w:t>法定代表人或委托代理人（签字）：</w:t>
      </w:r>
      <w:r>
        <w:rPr>
          <w:rFonts w:hint="eastAsia" w:hAnsi="宋体"/>
          <w:szCs w:val="21"/>
          <w:u w:val="single"/>
        </w:rPr>
        <w:t xml:space="preserve">                  </w:t>
      </w:r>
    </w:p>
    <w:p w14:paraId="34794A42">
      <w:pPr>
        <w:pStyle w:val="3"/>
        <w:spacing w:line="400" w:lineRule="exact"/>
        <w:rPr>
          <w:rFonts w:hAnsi="宋体"/>
          <w:szCs w:val="21"/>
        </w:rPr>
      </w:pPr>
      <w:r>
        <w:rPr>
          <w:rFonts w:hint="eastAsia" w:hAnsi="宋体"/>
          <w:szCs w:val="21"/>
        </w:rPr>
        <w:t>供应商名称（盖章）：</w:t>
      </w:r>
      <w:r>
        <w:rPr>
          <w:rFonts w:hint="eastAsia" w:hAnsi="宋体"/>
          <w:szCs w:val="21"/>
          <w:u w:val="single"/>
        </w:rPr>
        <w:t xml:space="preserve">                              </w:t>
      </w:r>
    </w:p>
    <w:p w14:paraId="21DB5081">
      <w:pPr>
        <w:pStyle w:val="3"/>
        <w:spacing w:line="400" w:lineRule="exact"/>
        <w:rPr>
          <w:rFonts w:hAnsi="宋体"/>
          <w:szCs w:val="21"/>
        </w:rPr>
      </w:pPr>
      <w:r>
        <w:rPr>
          <w:rFonts w:hint="eastAsia" w:hAnsi="宋体"/>
          <w:szCs w:val="21"/>
        </w:rPr>
        <w:t>日期：</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 xml:space="preserve">日 </w:t>
      </w:r>
    </w:p>
    <w:p w14:paraId="76B0A673">
      <w:pPr>
        <w:spacing w:line="400" w:lineRule="exact"/>
        <w:rPr>
          <w:rFonts w:ascii="宋体" w:hAnsi="宋体"/>
          <w:sz w:val="28"/>
          <w:szCs w:val="28"/>
        </w:rPr>
      </w:pPr>
    </w:p>
    <w:p w14:paraId="2A8B1DF1">
      <w:pPr>
        <w:pStyle w:val="9"/>
        <w:spacing w:line="400" w:lineRule="exact"/>
        <w:ind w:firstLine="0"/>
        <w:rPr>
          <w:rFonts w:hAnsi="宋体"/>
          <w:sz w:val="21"/>
          <w:szCs w:val="21"/>
        </w:rPr>
      </w:pPr>
      <w:r>
        <w:rPr>
          <w:rFonts w:hint="eastAsia" w:hAnsi="宋体"/>
          <w:sz w:val="21"/>
          <w:szCs w:val="21"/>
        </w:rPr>
        <w:t>注：⑴投标文件承诺不得直接复制招标文件需求，如果招标文件需求为小于或大于某个数值标准时，招标文件承诺内容应当写明投标货物具体参数具体数值，否则按投标无效处理。</w:t>
      </w:r>
    </w:p>
    <w:p w14:paraId="0EBBC648">
      <w:pPr>
        <w:spacing w:line="400" w:lineRule="exact"/>
        <w:rPr>
          <w:rFonts w:hAnsi="宋体"/>
          <w:szCs w:val="21"/>
        </w:rPr>
      </w:pPr>
      <w:r>
        <w:rPr>
          <w:rFonts w:hint="eastAsia" w:hAnsi="宋体"/>
          <w:szCs w:val="21"/>
        </w:rPr>
        <w:t>⑵投标人应根据招标文件技术要求及投标文件技术响应、对照招标文件要求在“偏离说明”栏注明“正偏离”、“负偏离”或“无偏离”。当投标文件的技术参数低于招标文件要求时，投标人应当如实写明“负偏离”，否则视为虚假应标。</w:t>
      </w:r>
    </w:p>
    <w:p w14:paraId="418F8E14">
      <w:pPr>
        <w:spacing w:line="400" w:lineRule="exact"/>
        <w:ind w:firstLine="480" w:firstLineChars="200"/>
        <w:rPr>
          <w:rFonts w:ascii="宋体" w:hAnsi="宋体"/>
          <w:b/>
          <w:sz w:val="24"/>
        </w:rPr>
      </w:pPr>
    </w:p>
    <w:p w14:paraId="62656C65">
      <w:pPr>
        <w:spacing w:line="400" w:lineRule="exact"/>
        <w:ind w:firstLine="480" w:firstLineChars="200"/>
        <w:rPr>
          <w:rFonts w:ascii="宋体" w:hAnsi="宋体"/>
          <w:b/>
          <w:sz w:val="24"/>
        </w:rPr>
      </w:pPr>
    </w:p>
    <w:p w14:paraId="791F434B">
      <w:pPr>
        <w:spacing w:line="400" w:lineRule="exact"/>
        <w:ind w:firstLine="480" w:firstLineChars="200"/>
        <w:rPr>
          <w:rFonts w:ascii="宋体" w:hAnsi="宋体"/>
          <w:b/>
          <w:sz w:val="24"/>
        </w:rPr>
      </w:pPr>
    </w:p>
    <w:p w14:paraId="4E59F322">
      <w:pPr>
        <w:spacing w:line="400" w:lineRule="exact"/>
        <w:rPr>
          <w:rFonts w:ascii="宋体" w:hAnsi="宋体"/>
          <w:b/>
          <w:sz w:val="24"/>
        </w:rPr>
      </w:pPr>
    </w:p>
    <w:p w14:paraId="47850B7C">
      <w:pPr>
        <w:spacing w:line="400" w:lineRule="exact"/>
        <w:ind w:firstLine="480" w:firstLineChars="200"/>
        <w:rPr>
          <w:rFonts w:ascii="宋体" w:hAnsi="宋体"/>
          <w:b/>
          <w:sz w:val="24"/>
        </w:rPr>
      </w:pPr>
    </w:p>
    <w:p w14:paraId="1B7B51DE">
      <w:pPr>
        <w:spacing w:line="400" w:lineRule="exact"/>
        <w:rPr>
          <w:rFonts w:ascii="宋体" w:hAnsi="宋体"/>
          <w:b/>
          <w:sz w:val="24"/>
        </w:rPr>
      </w:pPr>
    </w:p>
    <w:p w14:paraId="0C933844">
      <w:pPr>
        <w:snapToGrid w:val="0"/>
        <w:spacing w:line="400" w:lineRule="exact"/>
        <w:jc w:val="left"/>
        <w:rPr>
          <w:rFonts w:ascii="宋体" w:hAnsi="宋体"/>
          <w:b/>
          <w:sz w:val="24"/>
        </w:rPr>
      </w:pPr>
      <w:r>
        <w:rPr>
          <w:rFonts w:hint="eastAsia" w:ascii="宋体" w:hAnsi="宋体"/>
          <w:b/>
          <w:sz w:val="24"/>
        </w:rPr>
        <w:t>四、法定代表人授权委托书（格式）</w:t>
      </w:r>
    </w:p>
    <w:p w14:paraId="1A82DB59">
      <w:pPr>
        <w:spacing w:line="400" w:lineRule="exact"/>
        <w:ind w:firstLine="480" w:firstLineChars="200"/>
        <w:rPr>
          <w:rFonts w:ascii="宋体" w:hAnsi="宋体"/>
          <w:b/>
          <w:sz w:val="24"/>
        </w:rPr>
      </w:pPr>
    </w:p>
    <w:p w14:paraId="3542BB30">
      <w:pPr>
        <w:spacing w:line="400" w:lineRule="exact"/>
        <w:rPr>
          <w:rFonts w:ascii="宋体" w:hAnsi="宋体"/>
          <w:sz w:val="28"/>
          <w:szCs w:val="28"/>
        </w:rPr>
      </w:pPr>
    </w:p>
    <w:p w14:paraId="48F1D475">
      <w:pPr>
        <w:snapToGrid w:val="0"/>
        <w:spacing w:line="400" w:lineRule="exact"/>
        <w:jc w:val="center"/>
        <w:rPr>
          <w:rFonts w:ascii="宋体" w:hAnsi="宋体"/>
          <w:b/>
          <w:sz w:val="36"/>
          <w:szCs w:val="36"/>
        </w:rPr>
      </w:pPr>
      <w:r>
        <w:rPr>
          <w:rFonts w:hint="eastAsia" w:ascii="宋体" w:hAnsi="宋体"/>
          <w:b/>
          <w:sz w:val="36"/>
          <w:szCs w:val="36"/>
        </w:rPr>
        <w:t>法定代表人授权委托书</w:t>
      </w:r>
    </w:p>
    <w:p w14:paraId="41E5D567">
      <w:pPr>
        <w:snapToGrid w:val="0"/>
        <w:spacing w:line="400" w:lineRule="exact"/>
        <w:rPr>
          <w:rFonts w:ascii="宋体" w:hAnsi="宋体"/>
          <w:sz w:val="24"/>
        </w:rPr>
      </w:pPr>
    </w:p>
    <w:p w14:paraId="25B01E77">
      <w:pPr>
        <w:snapToGrid w:val="0"/>
        <w:spacing w:line="400" w:lineRule="exact"/>
        <w:rPr>
          <w:rFonts w:ascii="宋体" w:hAnsi="宋体"/>
          <w:sz w:val="24"/>
        </w:rPr>
      </w:pPr>
    </w:p>
    <w:p w14:paraId="2A3DE9B1">
      <w:pPr>
        <w:snapToGrid w:val="0"/>
        <w:spacing w:line="400" w:lineRule="exact"/>
        <w:rPr>
          <w:rFonts w:ascii="宋体" w:hAnsi="宋体"/>
          <w:sz w:val="24"/>
        </w:rPr>
      </w:pPr>
    </w:p>
    <w:p w14:paraId="01FEE22C">
      <w:pPr>
        <w:spacing w:line="400" w:lineRule="exact"/>
        <w:rPr>
          <w:rFonts w:ascii="宋体" w:hAnsi="宋体"/>
          <w:sz w:val="24"/>
          <w:u w:val="single"/>
        </w:rPr>
      </w:pPr>
      <w:r>
        <w:rPr>
          <w:rFonts w:hint="eastAsia" w:ascii="宋体" w:hAnsi="宋体"/>
          <w:sz w:val="24"/>
          <w:u w:val="single"/>
        </w:rPr>
        <w:t>南宁市卫生学校</w:t>
      </w:r>
      <w:r>
        <w:rPr>
          <w:rFonts w:hint="eastAsia" w:ascii="宋体" w:hAnsi="宋体"/>
          <w:sz w:val="24"/>
        </w:rPr>
        <w:t>：</w:t>
      </w:r>
    </w:p>
    <w:p w14:paraId="30A93FAE">
      <w:pPr>
        <w:spacing w:line="400" w:lineRule="exact"/>
        <w:ind w:firstLine="480" w:firstLineChars="200"/>
        <w:rPr>
          <w:rFonts w:ascii="宋体" w:hAnsi="宋体"/>
          <w:sz w:val="24"/>
        </w:rPr>
      </w:pPr>
      <w:r>
        <w:rPr>
          <w:rFonts w:hint="eastAsia" w:ascii="宋体" w:hAnsi="宋体"/>
          <w:sz w:val="24"/>
        </w:rPr>
        <w:t>兹授权</w:t>
      </w:r>
      <w:r>
        <w:rPr>
          <w:rFonts w:hint="eastAsia" w:ascii="宋体" w:hAnsi="宋体"/>
          <w:sz w:val="24"/>
          <w:u w:val="single"/>
        </w:rPr>
        <w:t xml:space="preserve">        </w:t>
      </w:r>
      <w:r>
        <w:rPr>
          <w:rFonts w:hint="eastAsia" w:ascii="宋体" w:hAnsi="宋体"/>
          <w:sz w:val="24"/>
        </w:rPr>
        <w:t>同志为我公司参加贵单位组织的</w:t>
      </w:r>
      <w:r>
        <w:rPr>
          <w:rFonts w:hint="eastAsia" w:ascii="宋体" w:hAnsi="宋体"/>
          <w:sz w:val="24"/>
          <w:u w:val="single"/>
        </w:rPr>
        <w:t xml:space="preserve"> （填写项目名称） </w:t>
      </w:r>
      <w:r>
        <w:rPr>
          <w:rFonts w:hint="eastAsia" w:ascii="宋体" w:hAnsi="宋体"/>
          <w:sz w:val="24"/>
        </w:rPr>
        <w:t>采购活动的代理人，全权代表我公司处理在该项目活动中的一切事宜。代理期限从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日止。 </w:t>
      </w:r>
    </w:p>
    <w:p w14:paraId="18020650">
      <w:pPr>
        <w:spacing w:line="400" w:lineRule="exact"/>
        <w:rPr>
          <w:rFonts w:ascii="宋体" w:hAnsi="宋体"/>
          <w:sz w:val="24"/>
        </w:rPr>
      </w:pPr>
    </w:p>
    <w:p w14:paraId="72B72D2B">
      <w:pPr>
        <w:tabs>
          <w:tab w:val="left" w:pos="7350"/>
        </w:tabs>
        <w:spacing w:line="400" w:lineRule="exact"/>
        <w:rPr>
          <w:rFonts w:ascii="宋体" w:hAnsi="宋体"/>
          <w:sz w:val="24"/>
        </w:rPr>
      </w:pPr>
      <w:r>
        <w:tab/>
      </w:r>
    </w:p>
    <w:p w14:paraId="485C9D58">
      <w:pPr>
        <w:spacing w:line="400" w:lineRule="exact"/>
        <w:ind w:left="474" w:leftChars="226"/>
        <w:rPr>
          <w:rFonts w:ascii="宋体" w:hAnsi="宋体"/>
          <w:sz w:val="24"/>
        </w:rPr>
      </w:pPr>
      <w:r>
        <w:rPr>
          <w:rFonts w:hint="eastAsia" w:ascii="宋体" w:hAnsi="宋体"/>
          <w:sz w:val="24"/>
        </w:rPr>
        <w:t>授权单位（盖章）：</w:t>
      </w:r>
      <w:r>
        <w:rPr>
          <w:rFonts w:hint="eastAsia" w:ascii="宋体" w:hAnsi="宋体"/>
          <w:sz w:val="24"/>
          <w:u w:val="single"/>
        </w:rPr>
        <w:t xml:space="preserve">                       </w:t>
      </w:r>
    </w:p>
    <w:p w14:paraId="0CBF7926">
      <w:pPr>
        <w:spacing w:line="400" w:lineRule="exact"/>
        <w:ind w:left="474" w:leftChars="226"/>
        <w:rPr>
          <w:rFonts w:ascii="宋体" w:hAnsi="宋体"/>
          <w:sz w:val="24"/>
        </w:rPr>
      </w:pPr>
      <w:r>
        <w:rPr>
          <w:rFonts w:hint="eastAsia" w:ascii="宋体" w:hAnsi="宋体"/>
          <w:sz w:val="24"/>
        </w:rPr>
        <w:t>法定代表人（签字）：</w:t>
      </w:r>
      <w:r>
        <w:rPr>
          <w:rFonts w:hint="eastAsia" w:ascii="宋体" w:hAnsi="宋体"/>
          <w:sz w:val="24"/>
          <w:u w:val="single"/>
        </w:rPr>
        <w:t xml:space="preserve">                     </w:t>
      </w:r>
    </w:p>
    <w:p w14:paraId="33A1B4AE">
      <w:pPr>
        <w:spacing w:line="400" w:lineRule="exact"/>
        <w:ind w:left="474" w:leftChars="226"/>
        <w:rPr>
          <w:rFonts w:ascii="宋体" w:hAnsi="宋体"/>
          <w:sz w:val="24"/>
        </w:rPr>
      </w:pPr>
      <w:r>
        <w:rPr>
          <w:rFonts w:hint="eastAsia" w:ascii="宋体" w:hAnsi="宋体"/>
          <w:sz w:val="24"/>
        </w:rPr>
        <w:t>签发日期：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128A944">
      <w:pPr>
        <w:spacing w:line="400" w:lineRule="exact"/>
        <w:rPr>
          <w:rFonts w:ascii="宋体" w:hAnsi="宋体"/>
          <w:sz w:val="24"/>
        </w:rPr>
      </w:pPr>
    </w:p>
    <w:p w14:paraId="23AF022D">
      <w:pPr>
        <w:spacing w:line="400" w:lineRule="exact"/>
        <w:rPr>
          <w:rFonts w:ascii="宋体" w:hAnsi="宋体"/>
          <w:sz w:val="24"/>
        </w:rPr>
      </w:pPr>
    </w:p>
    <w:p w14:paraId="2C8BF6E8">
      <w:pPr>
        <w:spacing w:line="400" w:lineRule="exact"/>
        <w:rPr>
          <w:rFonts w:ascii="宋体" w:hAnsi="宋体"/>
          <w:sz w:val="24"/>
        </w:rPr>
      </w:pPr>
    </w:p>
    <w:p w14:paraId="32DE9623">
      <w:pPr>
        <w:spacing w:line="400" w:lineRule="exact"/>
        <w:rPr>
          <w:rFonts w:ascii="宋体" w:hAnsi="宋体"/>
          <w:sz w:val="24"/>
        </w:rPr>
      </w:pPr>
      <w:r>
        <w:rPr>
          <w:rFonts w:hint="eastAsia" w:ascii="宋体" w:hAnsi="宋体"/>
          <w:sz w:val="24"/>
        </w:rPr>
        <w:t>附：代理人工作单位：</w:t>
      </w:r>
      <w:r>
        <w:rPr>
          <w:rFonts w:hint="eastAsia" w:ascii="宋体" w:hAnsi="宋体"/>
          <w:sz w:val="24"/>
          <w:u w:val="single"/>
        </w:rPr>
        <w:t xml:space="preserve">                           </w:t>
      </w:r>
    </w:p>
    <w:p w14:paraId="1827E8AD">
      <w:pPr>
        <w:spacing w:line="400" w:lineRule="exact"/>
        <w:ind w:firstLine="480" w:firstLineChars="200"/>
        <w:rPr>
          <w:rFonts w:ascii="宋体" w:hAnsi="宋体"/>
          <w:sz w:val="24"/>
        </w:rPr>
      </w:pPr>
      <w:r>
        <w:rPr>
          <w:rFonts w:hint="eastAsia" w:ascii="宋体" w:hAnsi="宋体"/>
          <w:sz w:val="24"/>
        </w:rPr>
        <w:t>职务：</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p>
    <w:p w14:paraId="495626B2">
      <w:pPr>
        <w:snapToGrid w:val="0"/>
        <w:spacing w:line="400" w:lineRule="exact"/>
        <w:ind w:firstLine="480" w:firstLineChars="200"/>
        <w:rPr>
          <w:rFonts w:ascii="宋体" w:hAnsi="宋体"/>
          <w:sz w:val="24"/>
        </w:rPr>
      </w:pPr>
      <w:r>
        <w:rPr>
          <w:rFonts w:hint="eastAsia" w:ascii="宋体" w:hAnsi="宋体"/>
          <w:sz w:val="24"/>
        </w:rPr>
        <w:t>身份证号码：</w:t>
      </w:r>
      <w:r>
        <w:rPr>
          <w:rFonts w:hint="eastAsia" w:ascii="宋体" w:hAnsi="宋体"/>
          <w:sz w:val="24"/>
          <w:u w:val="single"/>
        </w:rPr>
        <w:t xml:space="preserve">                               </w:t>
      </w:r>
    </w:p>
    <w:p w14:paraId="7883A0BC">
      <w:pPr>
        <w:spacing w:line="400" w:lineRule="exact"/>
        <w:ind w:firstLine="420" w:firstLineChars="200"/>
        <w:rPr>
          <w:rFonts w:ascii="宋体" w:hAnsi="宋体"/>
          <w:szCs w:val="21"/>
        </w:rPr>
      </w:pPr>
    </w:p>
    <w:p w14:paraId="75091221">
      <w:pPr>
        <w:spacing w:line="400" w:lineRule="exact"/>
        <w:rPr>
          <w:rFonts w:hAnsi="宋体"/>
          <w:szCs w:val="21"/>
        </w:rPr>
      </w:pPr>
    </w:p>
    <w:p w14:paraId="6B99D91D">
      <w:pPr>
        <w:spacing w:line="400" w:lineRule="exact"/>
        <w:ind w:firstLine="480" w:firstLineChars="200"/>
        <w:rPr>
          <w:rFonts w:ascii="宋体" w:hAnsi="宋体"/>
          <w:b/>
          <w:sz w:val="24"/>
        </w:rPr>
      </w:pPr>
    </w:p>
    <w:p w14:paraId="39781ED4">
      <w:pPr>
        <w:spacing w:line="400" w:lineRule="exact"/>
        <w:ind w:firstLine="480" w:firstLineChars="200"/>
        <w:rPr>
          <w:rFonts w:ascii="宋体" w:hAnsi="宋体"/>
          <w:b/>
          <w:sz w:val="24"/>
        </w:rPr>
      </w:pPr>
    </w:p>
    <w:p w14:paraId="54C82BFC">
      <w:pPr>
        <w:spacing w:line="400" w:lineRule="exact"/>
        <w:ind w:firstLine="480" w:firstLineChars="200"/>
        <w:rPr>
          <w:rFonts w:ascii="宋体" w:hAnsi="宋体"/>
          <w:b/>
          <w:sz w:val="24"/>
        </w:rPr>
      </w:pPr>
    </w:p>
    <w:p w14:paraId="1D26EB28">
      <w:pPr>
        <w:spacing w:line="400" w:lineRule="exact"/>
        <w:rPr>
          <w:rFonts w:ascii="宋体" w:hAnsi="宋体"/>
          <w:b/>
          <w:sz w:val="24"/>
        </w:rPr>
      </w:pPr>
    </w:p>
    <w:p w14:paraId="284D9E6F">
      <w:pPr>
        <w:spacing w:line="400" w:lineRule="exact"/>
        <w:rPr>
          <w:rFonts w:ascii="宋体" w:hAnsi="宋体"/>
          <w:b/>
          <w:sz w:val="24"/>
        </w:rPr>
      </w:pPr>
    </w:p>
    <w:p w14:paraId="6E8C6BC4">
      <w:pPr>
        <w:spacing w:line="400" w:lineRule="exact"/>
        <w:rPr>
          <w:rFonts w:ascii="宋体" w:hAnsi="宋体"/>
          <w:b/>
          <w:sz w:val="24"/>
        </w:rPr>
      </w:pPr>
    </w:p>
    <w:p w14:paraId="208A21EF">
      <w:pPr>
        <w:spacing w:line="400" w:lineRule="exact"/>
        <w:rPr>
          <w:rFonts w:ascii="宋体" w:hAnsi="宋体"/>
          <w:b/>
          <w:sz w:val="24"/>
        </w:rPr>
      </w:pPr>
    </w:p>
    <w:p w14:paraId="02136F86">
      <w:pPr>
        <w:spacing w:line="400" w:lineRule="exact"/>
        <w:rPr>
          <w:rFonts w:ascii="宋体" w:hAnsi="宋体"/>
          <w:b/>
          <w:sz w:val="24"/>
        </w:rPr>
      </w:pPr>
    </w:p>
    <w:p w14:paraId="1B48E9A4">
      <w:pPr>
        <w:spacing w:line="400" w:lineRule="exact"/>
        <w:rPr>
          <w:rFonts w:ascii="宋体" w:hAnsi="宋体"/>
          <w:b/>
          <w:sz w:val="24"/>
        </w:rPr>
      </w:pPr>
    </w:p>
    <w:p w14:paraId="47CAF855">
      <w:pPr>
        <w:spacing w:line="400" w:lineRule="exact"/>
        <w:rPr>
          <w:rFonts w:ascii="宋体" w:hAnsi="宋体"/>
          <w:b/>
          <w:sz w:val="24"/>
        </w:rPr>
      </w:pPr>
    </w:p>
    <w:p w14:paraId="3C5229C5">
      <w:pPr>
        <w:spacing w:line="400" w:lineRule="exact"/>
        <w:rPr>
          <w:rFonts w:ascii="宋体" w:hAnsi="宋体"/>
          <w:b/>
          <w:sz w:val="24"/>
        </w:rPr>
      </w:pPr>
    </w:p>
    <w:p w14:paraId="606C7EE8">
      <w:pPr>
        <w:spacing w:line="400" w:lineRule="exact"/>
        <w:rPr>
          <w:rFonts w:ascii="宋体" w:hAnsi="宋体"/>
          <w:b/>
          <w:sz w:val="24"/>
        </w:rPr>
      </w:pPr>
    </w:p>
    <w:p w14:paraId="4F4B4564">
      <w:pPr>
        <w:spacing w:line="400" w:lineRule="exact"/>
        <w:rPr>
          <w:rFonts w:ascii="宋体" w:hAnsi="宋体"/>
          <w:b/>
          <w:sz w:val="24"/>
        </w:rPr>
      </w:pPr>
      <w:r>
        <w:rPr>
          <w:rFonts w:hint="eastAsia" w:ascii="宋体" w:hAnsi="宋体"/>
          <w:b/>
          <w:sz w:val="24"/>
        </w:rPr>
        <w:t>五、供应商直接控股、管理关系信息表（格式后附）；（必须提供）；</w:t>
      </w:r>
    </w:p>
    <w:p w14:paraId="04A02B3F">
      <w:pPr>
        <w:snapToGrid w:val="0"/>
        <w:spacing w:before="156" w:after="50" w:line="400" w:lineRule="exact"/>
        <w:jc w:val="center"/>
        <w:rPr>
          <w:rFonts w:ascii="Arial Unicode MS" w:hAnsi="Arial Unicode MS" w:eastAsia="Arial Unicode MS"/>
          <w:bCs/>
          <w:sz w:val="32"/>
          <w:szCs w:val="32"/>
        </w:rPr>
      </w:pPr>
    </w:p>
    <w:p w14:paraId="419CFE78">
      <w:pPr>
        <w:snapToGrid w:val="0"/>
        <w:spacing w:before="156" w:after="50" w:line="400" w:lineRule="exact"/>
        <w:jc w:val="center"/>
        <w:rPr>
          <w:rFonts w:ascii="宋体" w:hAnsi="宋体"/>
          <w:b/>
          <w:bCs/>
          <w:sz w:val="32"/>
          <w:szCs w:val="32"/>
        </w:rPr>
      </w:pPr>
      <w:r>
        <w:rPr>
          <w:rFonts w:hint="eastAsia" w:ascii="宋体" w:hAnsi="宋体"/>
          <w:b/>
          <w:bCs/>
          <w:sz w:val="32"/>
          <w:szCs w:val="32"/>
        </w:rPr>
        <w:t>供应商直接控股股东信息表</w:t>
      </w:r>
    </w:p>
    <w:p w14:paraId="369C7382">
      <w:pPr>
        <w:snapToGrid w:val="0"/>
        <w:spacing w:before="50" w:after="156"/>
        <w:jc w:val="center"/>
        <w:rPr>
          <w:rFonts w:ascii="宋体" w:hAnsi="宋体"/>
          <w:b/>
          <w:sz w:val="32"/>
          <w:szCs w:val="32"/>
        </w:rPr>
      </w:pPr>
    </w:p>
    <w:tbl>
      <w:tblPr>
        <w:tblStyle w:val="23"/>
        <w:tblW w:w="0" w:type="auto"/>
        <w:jc w:val="center"/>
        <w:shd w:val="clear" w:color="auto" w:fill="FBFBFB"/>
        <w:tblLayout w:type="fixed"/>
        <w:tblCellMar>
          <w:top w:w="120" w:type="dxa"/>
          <w:left w:w="120" w:type="dxa"/>
          <w:bottom w:w="120" w:type="dxa"/>
          <w:right w:w="120" w:type="dxa"/>
        </w:tblCellMar>
      </w:tblPr>
      <w:tblGrid>
        <w:gridCol w:w="879"/>
        <w:gridCol w:w="2653"/>
        <w:gridCol w:w="1454"/>
        <w:gridCol w:w="4284"/>
        <w:gridCol w:w="870"/>
      </w:tblGrid>
      <w:tr w14:paraId="765F66F8">
        <w:tblPrEx>
          <w:shd w:val="clear" w:color="auto" w:fill="FBFBFB"/>
          <w:tblCellMar>
            <w:top w:w="120" w:type="dxa"/>
            <w:left w:w="120" w:type="dxa"/>
            <w:bottom w:w="120" w:type="dxa"/>
            <w:right w:w="120" w:type="dxa"/>
          </w:tblCellMar>
        </w:tblPrEx>
        <w:trPr>
          <w:trHeight w:val="567" w:hRule="atLeast"/>
          <w:tblHeader/>
          <w:jc w:val="center"/>
        </w:trPr>
        <w:tc>
          <w:tcPr>
            <w:tcW w:w="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DA6E14">
            <w:pPr>
              <w:widowControl/>
              <w:jc w:val="center"/>
              <w:rPr>
                <w:rFonts w:ascii="仿宋" w:hAnsi="仿宋" w:eastAsia="仿宋"/>
                <w:b/>
                <w:bCs/>
                <w:kern w:val="0"/>
                <w:sz w:val="28"/>
                <w:szCs w:val="28"/>
              </w:rPr>
            </w:pPr>
            <w:r>
              <w:rPr>
                <w:rFonts w:hint="eastAsia" w:ascii="仿宋" w:hAnsi="仿宋" w:eastAsia="仿宋"/>
                <w:b/>
                <w:bCs/>
                <w:kern w:val="0"/>
                <w:sz w:val="28"/>
                <w:szCs w:val="28"/>
              </w:rPr>
              <w:t>序号</w:t>
            </w:r>
          </w:p>
        </w:tc>
        <w:tc>
          <w:tcPr>
            <w:tcW w:w="265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EE6C674">
            <w:pPr>
              <w:widowControl/>
              <w:jc w:val="center"/>
              <w:rPr>
                <w:rFonts w:ascii="仿宋" w:hAnsi="仿宋" w:eastAsia="仿宋"/>
                <w:b/>
                <w:bCs/>
                <w:kern w:val="0"/>
                <w:sz w:val="28"/>
                <w:szCs w:val="28"/>
              </w:rPr>
            </w:pPr>
            <w:r>
              <w:rPr>
                <w:rFonts w:hint="eastAsia" w:ascii="仿宋" w:hAnsi="仿宋" w:eastAsia="仿宋"/>
                <w:b/>
                <w:bCs/>
                <w:kern w:val="0"/>
                <w:sz w:val="28"/>
                <w:szCs w:val="28"/>
              </w:rPr>
              <w:t>直接控股股东名称</w:t>
            </w:r>
          </w:p>
        </w:tc>
        <w:tc>
          <w:tcPr>
            <w:tcW w:w="145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332DB5">
            <w:pPr>
              <w:widowControl/>
              <w:jc w:val="center"/>
              <w:rPr>
                <w:rFonts w:ascii="仿宋" w:hAnsi="仿宋" w:eastAsia="仿宋"/>
                <w:b/>
                <w:bCs/>
                <w:kern w:val="0"/>
                <w:sz w:val="28"/>
                <w:szCs w:val="28"/>
              </w:rPr>
            </w:pPr>
            <w:r>
              <w:rPr>
                <w:rFonts w:hint="eastAsia" w:ascii="仿宋" w:hAnsi="仿宋" w:eastAsia="仿宋"/>
                <w:b/>
                <w:bCs/>
                <w:kern w:val="0"/>
                <w:sz w:val="28"/>
                <w:szCs w:val="28"/>
              </w:rPr>
              <w:t>出资比例</w:t>
            </w:r>
          </w:p>
        </w:tc>
        <w:tc>
          <w:tcPr>
            <w:tcW w:w="428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21672DF">
            <w:pPr>
              <w:widowControl/>
              <w:jc w:val="center"/>
              <w:rPr>
                <w:rFonts w:ascii="仿宋" w:hAnsi="仿宋" w:eastAsia="仿宋"/>
                <w:b/>
                <w:bCs/>
                <w:kern w:val="0"/>
                <w:sz w:val="28"/>
                <w:szCs w:val="28"/>
              </w:rPr>
            </w:pPr>
            <w:r>
              <w:rPr>
                <w:rFonts w:hint="eastAsia" w:ascii="仿宋" w:hAnsi="仿宋" w:eastAsia="仿宋"/>
                <w:b/>
                <w:bCs/>
                <w:kern w:val="0"/>
                <w:sz w:val="28"/>
                <w:szCs w:val="28"/>
              </w:rPr>
              <w:t>身份证号码或统一社会信用代码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EEA7E8B">
            <w:pPr>
              <w:widowControl/>
              <w:jc w:val="center"/>
              <w:rPr>
                <w:rFonts w:ascii="仿宋" w:hAnsi="仿宋" w:eastAsia="仿宋"/>
                <w:b/>
                <w:bCs/>
                <w:kern w:val="0"/>
                <w:sz w:val="28"/>
                <w:szCs w:val="28"/>
              </w:rPr>
            </w:pPr>
            <w:r>
              <w:rPr>
                <w:rFonts w:hint="eastAsia" w:ascii="仿宋" w:hAnsi="仿宋" w:eastAsia="仿宋"/>
                <w:b/>
                <w:bCs/>
                <w:kern w:val="0"/>
                <w:sz w:val="28"/>
                <w:szCs w:val="28"/>
              </w:rPr>
              <w:t>备注</w:t>
            </w:r>
          </w:p>
        </w:tc>
      </w:tr>
      <w:tr w14:paraId="39AAAF1A">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DD65D0">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1</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613D0E">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1569E1">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1EB11E">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D3E58E">
            <w:pPr>
              <w:widowControl/>
              <w:wordWrap w:val="0"/>
              <w:spacing w:line="200" w:lineRule="atLeast"/>
              <w:jc w:val="center"/>
              <w:rPr>
                <w:rFonts w:ascii="仿宋" w:hAnsi="仿宋" w:eastAsia="仿宋"/>
                <w:kern w:val="0"/>
                <w:sz w:val="28"/>
                <w:szCs w:val="28"/>
              </w:rPr>
            </w:pPr>
          </w:p>
        </w:tc>
      </w:tr>
      <w:tr w14:paraId="32C613E0">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B06C91">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2</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98276B">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9123E3">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452634">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720AB1">
            <w:pPr>
              <w:widowControl/>
              <w:wordWrap w:val="0"/>
              <w:spacing w:line="200" w:lineRule="atLeast"/>
              <w:jc w:val="center"/>
              <w:rPr>
                <w:rFonts w:ascii="仿宋" w:hAnsi="仿宋" w:eastAsia="仿宋"/>
                <w:kern w:val="0"/>
                <w:sz w:val="28"/>
                <w:szCs w:val="28"/>
              </w:rPr>
            </w:pPr>
          </w:p>
        </w:tc>
      </w:tr>
      <w:tr w14:paraId="675B078B">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A6C87C">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3</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A2DD3D">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49F997">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08B7C6">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A14AE1">
            <w:pPr>
              <w:widowControl/>
              <w:wordWrap w:val="0"/>
              <w:spacing w:line="200" w:lineRule="atLeast"/>
              <w:jc w:val="center"/>
              <w:rPr>
                <w:rFonts w:ascii="仿宋" w:hAnsi="仿宋" w:eastAsia="仿宋"/>
                <w:kern w:val="0"/>
                <w:sz w:val="28"/>
                <w:szCs w:val="28"/>
              </w:rPr>
            </w:pPr>
          </w:p>
        </w:tc>
      </w:tr>
      <w:tr w14:paraId="2F97637D">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F82033">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FE34B8">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AB227B">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0CF8D2">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657960">
            <w:pPr>
              <w:widowControl/>
              <w:wordWrap w:val="0"/>
              <w:spacing w:line="200" w:lineRule="atLeast"/>
              <w:jc w:val="center"/>
              <w:rPr>
                <w:rFonts w:ascii="仿宋" w:hAnsi="仿宋" w:eastAsia="仿宋"/>
                <w:kern w:val="0"/>
                <w:sz w:val="28"/>
                <w:szCs w:val="28"/>
              </w:rPr>
            </w:pPr>
          </w:p>
        </w:tc>
      </w:tr>
    </w:tbl>
    <w:p w14:paraId="5108B8CA">
      <w:pPr>
        <w:snapToGrid w:val="0"/>
        <w:spacing w:line="360" w:lineRule="exact"/>
        <w:jc w:val="left"/>
        <w:rPr>
          <w:rFonts w:ascii="宋体" w:hAnsi="宋体"/>
          <w:szCs w:val="21"/>
        </w:rPr>
      </w:pPr>
      <w:r>
        <w:rPr>
          <w:rFonts w:hint="eastAsia" w:ascii="宋体" w:hAnsi="宋体"/>
          <w:szCs w:val="21"/>
        </w:rPr>
        <w:t>注：</w:t>
      </w:r>
    </w:p>
    <w:p w14:paraId="33842C2D">
      <w:pPr>
        <w:snapToGrid w:val="0"/>
        <w:spacing w:line="360" w:lineRule="exact"/>
        <w:jc w:val="left"/>
        <w:rPr>
          <w:rFonts w:ascii="宋体" w:hAnsi="宋体"/>
          <w:szCs w:val="21"/>
        </w:rPr>
      </w:pPr>
      <w:r>
        <w:rPr>
          <w:rFonts w:hint="eastAsia" w:ascii="宋体" w:hAnsi="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4499C25">
      <w:pPr>
        <w:snapToGrid w:val="0"/>
        <w:spacing w:line="360" w:lineRule="exact"/>
        <w:jc w:val="left"/>
        <w:rPr>
          <w:rFonts w:ascii="宋体" w:hAnsi="宋体"/>
          <w:szCs w:val="21"/>
        </w:rPr>
      </w:pPr>
      <w:r>
        <w:rPr>
          <w:rFonts w:hint="eastAsia" w:ascii="宋体" w:hAnsi="宋体"/>
          <w:szCs w:val="21"/>
        </w:rPr>
        <w:t>2.本表所指的控股关系仅限于直接控股关系，不包括间接的控股关系。公司实际控制人与公司之间的关系不属于本表所指的直接控股关系。</w:t>
      </w:r>
    </w:p>
    <w:p w14:paraId="523FFE08">
      <w:pPr>
        <w:snapToGrid w:val="0"/>
        <w:spacing w:line="360" w:lineRule="exact"/>
        <w:jc w:val="left"/>
        <w:rPr>
          <w:rFonts w:ascii="宋体" w:hAnsi="宋体"/>
          <w:szCs w:val="21"/>
        </w:rPr>
      </w:pPr>
      <w:r>
        <w:rPr>
          <w:rFonts w:hint="eastAsia" w:ascii="宋体" w:hAnsi="宋体"/>
          <w:szCs w:val="21"/>
        </w:rPr>
        <w:t>3.供应商不存在直接控股股东的，则填“无”。</w:t>
      </w:r>
    </w:p>
    <w:p w14:paraId="09872715">
      <w:pPr>
        <w:snapToGrid w:val="0"/>
        <w:spacing w:line="360" w:lineRule="exact"/>
        <w:ind w:firstLine="4305" w:firstLineChars="2050"/>
        <w:rPr>
          <w:rFonts w:ascii="宋体" w:hAnsi="宋体"/>
          <w:szCs w:val="21"/>
        </w:rPr>
      </w:pPr>
      <w:r>
        <w:rPr>
          <w:rFonts w:hint="eastAsia" w:ascii="宋体" w:hAnsi="宋体"/>
          <w:szCs w:val="21"/>
        </w:rPr>
        <w:t>法定代表人或委托代理人签字：</w:t>
      </w:r>
      <w:r>
        <w:rPr>
          <w:rFonts w:hint="eastAsia" w:ascii="宋体" w:hAnsi="宋体"/>
          <w:szCs w:val="21"/>
          <w:u w:val="single"/>
        </w:rPr>
        <w:t xml:space="preserve">                </w:t>
      </w:r>
    </w:p>
    <w:p w14:paraId="6F7A80EB">
      <w:pPr>
        <w:snapToGrid w:val="0"/>
        <w:spacing w:line="360" w:lineRule="exact"/>
        <w:ind w:firstLine="4305" w:firstLineChars="2050"/>
        <w:rPr>
          <w:rFonts w:ascii="宋体" w:hAnsi="宋体"/>
          <w:szCs w:val="21"/>
        </w:rPr>
      </w:pPr>
      <w:r>
        <w:rPr>
          <w:rFonts w:hint="eastAsia" w:ascii="宋体" w:hAnsi="宋体"/>
          <w:szCs w:val="21"/>
        </w:rPr>
        <w:t xml:space="preserve">供应商（盖公章 ）： </w:t>
      </w:r>
      <w:r>
        <w:rPr>
          <w:rFonts w:hint="eastAsia" w:ascii="宋体" w:hAnsi="宋体"/>
          <w:szCs w:val="21"/>
          <w:u w:val="single"/>
        </w:rPr>
        <w:t xml:space="preserve">                              </w:t>
      </w:r>
    </w:p>
    <w:p w14:paraId="7169D2CF">
      <w:pPr>
        <w:snapToGrid w:val="0"/>
        <w:spacing w:line="360" w:lineRule="exact"/>
        <w:ind w:firstLine="6510" w:firstLineChars="3100"/>
        <w:rPr>
          <w:rFonts w:ascii="宋体" w:hAnsi="宋体"/>
          <w:szCs w:val="21"/>
        </w:rPr>
      </w:pPr>
      <w:r>
        <w:rPr>
          <w:rFonts w:hint="eastAsia" w:ascii="宋体" w:hAnsi="宋体"/>
          <w:szCs w:val="21"/>
        </w:rPr>
        <w:t>年    月    日</w:t>
      </w:r>
    </w:p>
    <w:p w14:paraId="5F408B9D">
      <w:pPr>
        <w:snapToGrid w:val="0"/>
        <w:rPr>
          <w:rFonts w:ascii="宋体" w:hAnsi="宋体"/>
          <w:b/>
          <w:sz w:val="28"/>
          <w:szCs w:val="28"/>
        </w:rPr>
      </w:pPr>
    </w:p>
    <w:p w14:paraId="086FC632">
      <w:pPr>
        <w:snapToGrid w:val="0"/>
        <w:rPr>
          <w:rFonts w:ascii="宋体" w:hAnsi="宋体"/>
          <w:b/>
          <w:bCs/>
          <w:sz w:val="36"/>
          <w:szCs w:val="36"/>
        </w:rPr>
      </w:pPr>
    </w:p>
    <w:p w14:paraId="0FBE30B8">
      <w:pPr>
        <w:snapToGrid w:val="0"/>
        <w:jc w:val="center"/>
        <w:rPr>
          <w:rFonts w:ascii="宋体" w:hAnsi="宋体"/>
          <w:b/>
          <w:bCs/>
          <w:sz w:val="36"/>
          <w:szCs w:val="36"/>
        </w:rPr>
      </w:pPr>
    </w:p>
    <w:p w14:paraId="2D796C00">
      <w:pPr>
        <w:snapToGrid w:val="0"/>
        <w:jc w:val="center"/>
        <w:rPr>
          <w:rFonts w:ascii="宋体" w:hAnsi="宋体"/>
          <w:b/>
          <w:bCs/>
          <w:sz w:val="36"/>
          <w:szCs w:val="36"/>
        </w:rPr>
      </w:pPr>
    </w:p>
    <w:p w14:paraId="665E4514">
      <w:pPr>
        <w:snapToGrid w:val="0"/>
        <w:jc w:val="center"/>
        <w:rPr>
          <w:rFonts w:ascii="宋体" w:hAnsi="宋体"/>
          <w:b/>
          <w:bCs/>
          <w:sz w:val="36"/>
          <w:szCs w:val="36"/>
        </w:rPr>
      </w:pPr>
    </w:p>
    <w:p w14:paraId="7C98B448">
      <w:pPr>
        <w:snapToGrid w:val="0"/>
        <w:jc w:val="center"/>
        <w:rPr>
          <w:rFonts w:ascii="宋体" w:hAnsi="宋体"/>
          <w:b/>
          <w:bCs/>
          <w:sz w:val="36"/>
          <w:szCs w:val="36"/>
        </w:rPr>
      </w:pPr>
    </w:p>
    <w:p w14:paraId="5A005CC1">
      <w:pPr>
        <w:snapToGrid w:val="0"/>
        <w:jc w:val="center"/>
        <w:rPr>
          <w:rFonts w:ascii="宋体" w:hAnsi="宋体"/>
          <w:b/>
          <w:bCs/>
          <w:sz w:val="36"/>
          <w:szCs w:val="36"/>
        </w:rPr>
      </w:pPr>
    </w:p>
    <w:p w14:paraId="7C2D887D">
      <w:pPr>
        <w:snapToGrid w:val="0"/>
        <w:jc w:val="center"/>
        <w:rPr>
          <w:rFonts w:ascii="宋体" w:hAnsi="宋体"/>
          <w:b/>
          <w:bCs/>
          <w:sz w:val="36"/>
          <w:szCs w:val="36"/>
        </w:rPr>
      </w:pPr>
    </w:p>
    <w:p w14:paraId="13ED6A9B">
      <w:pPr>
        <w:snapToGrid w:val="0"/>
        <w:jc w:val="center"/>
        <w:rPr>
          <w:rFonts w:ascii="宋体" w:hAnsi="宋体"/>
          <w:b/>
          <w:bCs/>
          <w:sz w:val="36"/>
          <w:szCs w:val="36"/>
        </w:rPr>
      </w:pPr>
    </w:p>
    <w:p w14:paraId="1499CB76">
      <w:pPr>
        <w:snapToGrid w:val="0"/>
        <w:jc w:val="center"/>
        <w:rPr>
          <w:rFonts w:ascii="宋体" w:hAnsi="宋体"/>
          <w:b/>
          <w:bCs/>
          <w:sz w:val="36"/>
          <w:szCs w:val="36"/>
        </w:rPr>
      </w:pPr>
      <w:r>
        <w:rPr>
          <w:rFonts w:hint="eastAsia" w:ascii="宋体" w:hAnsi="宋体"/>
          <w:b/>
          <w:bCs/>
          <w:sz w:val="36"/>
          <w:szCs w:val="36"/>
        </w:rPr>
        <w:t>供应商直接管理关系信息表</w:t>
      </w:r>
    </w:p>
    <w:p w14:paraId="7CF4FCCD">
      <w:pPr>
        <w:snapToGrid w:val="0"/>
        <w:jc w:val="center"/>
        <w:rPr>
          <w:rFonts w:ascii="宋体" w:hAnsi="宋体"/>
          <w:b/>
          <w:sz w:val="32"/>
          <w:szCs w:val="32"/>
        </w:rPr>
      </w:pPr>
    </w:p>
    <w:tbl>
      <w:tblPr>
        <w:tblStyle w:val="23"/>
        <w:tblW w:w="0" w:type="auto"/>
        <w:jc w:val="center"/>
        <w:shd w:val="clear" w:color="auto" w:fill="FBFBFB"/>
        <w:tblLayout w:type="fixed"/>
        <w:tblCellMar>
          <w:top w:w="120" w:type="dxa"/>
          <w:left w:w="120" w:type="dxa"/>
          <w:bottom w:w="120" w:type="dxa"/>
          <w:right w:w="120" w:type="dxa"/>
        </w:tblCellMar>
      </w:tblPr>
      <w:tblGrid>
        <w:gridCol w:w="808"/>
        <w:gridCol w:w="3597"/>
        <w:gridCol w:w="3552"/>
        <w:gridCol w:w="1688"/>
      </w:tblGrid>
      <w:tr w14:paraId="55BB1261">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5CC61D8">
            <w:pPr>
              <w:widowControl/>
              <w:jc w:val="center"/>
              <w:rPr>
                <w:rFonts w:ascii="仿宋" w:hAnsi="仿宋" w:eastAsia="仿宋"/>
                <w:b/>
                <w:bCs/>
                <w:kern w:val="0"/>
                <w:sz w:val="28"/>
                <w:szCs w:val="28"/>
              </w:rPr>
            </w:pPr>
            <w:r>
              <w:rPr>
                <w:rFonts w:hint="eastAsia" w:ascii="仿宋" w:hAnsi="仿宋" w:eastAsia="仿宋"/>
                <w:b/>
                <w:bCs/>
                <w:kern w:val="0"/>
                <w:sz w:val="28"/>
                <w:szCs w:val="28"/>
              </w:rPr>
              <w:t>序号</w:t>
            </w:r>
          </w:p>
        </w:tc>
        <w:tc>
          <w:tcPr>
            <w:tcW w:w="359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67444D9">
            <w:pPr>
              <w:widowControl/>
              <w:jc w:val="center"/>
              <w:rPr>
                <w:rFonts w:ascii="仿宋" w:hAnsi="仿宋" w:eastAsia="仿宋"/>
                <w:b/>
                <w:bCs/>
                <w:kern w:val="0"/>
                <w:sz w:val="28"/>
                <w:szCs w:val="28"/>
              </w:rPr>
            </w:pPr>
            <w:r>
              <w:rPr>
                <w:rFonts w:hint="eastAsia" w:ascii="仿宋" w:hAnsi="仿宋" w:eastAsia="仿宋"/>
                <w:b/>
                <w:bCs/>
                <w:kern w:val="0"/>
                <w:sz w:val="28"/>
                <w:szCs w:val="28"/>
              </w:rPr>
              <w:t>直接管理关系单位名称</w:t>
            </w:r>
          </w:p>
        </w:tc>
        <w:tc>
          <w:tcPr>
            <w:tcW w:w="355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08E7974">
            <w:pPr>
              <w:widowControl/>
              <w:jc w:val="center"/>
              <w:rPr>
                <w:rFonts w:ascii="仿宋" w:hAnsi="仿宋" w:eastAsia="仿宋"/>
                <w:b/>
                <w:bCs/>
                <w:kern w:val="0"/>
                <w:sz w:val="28"/>
                <w:szCs w:val="28"/>
              </w:rPr>
            </w:pPr>
            <w:r>
              <w:rPr>
                <w:rFonts w:hint="eastAsia" w:ascii="仿宋" w:hAnsi="仿宋" w:eastAsia="仿宋"/>
                <w:b/>
                <w:bCs/>
                <w:kern w:val="0"/>
                <w:sz w:val="28"/>
                <w:szCs w:val="28"/>
              </w:rPr>
              <w:t>统一社会信用代码</w:t>
            </w:r>
          </w:p>
        </w:tc>
        <w:tc>
          <w:tcPr>
            <w:tcW w:w="168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991B495">
            <w:pPr>
              <w:widowControl/>
              <w:jc w:val="center"/>
              <w:rPr>
                <w:rFonts w:ascii="仿宋" w:hAnsi="仿宋" w:eastAsia="仿宋"/>
                <w:b/>
                <w:bCs/>
                <w:kern w:val="0"/>
                <w:sz w:val="28"/>
                <w:szCs w:val="28"/>
              </w:rPr>
            </w:pPr>
            <w:r>
              <w:rPr>
                <w:rFonts w:hint="eastAsia" w:ascii="仿宋" w:hAnsi="仿宋" w:eastAsia="仿宋"/>
                <w:b/>
                <w:bCs/>
                <w:kern w:val="0"/>
                <w:sz w:val="28"/>
                <w:szCs w:val="28"/>
              </w:rPr>
              <w:t>备注</w:t>
            </w:r>
          </w:p>
        </w:tc>
      </w:tr>
      <w:tr w14:paraId="57E22F04">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2D2520">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1</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A2944B">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56F429">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6CD7A9">
            <w:pPr>
              <w:widowControl/>
              <w:wordWrap w:val="0"/>
              <w:spacing w:line="200" w:lineRule="atLeast"/>
              <w:jc w:val="center"/>
              <w:rPr>
                <w:rFonts w:ascii="仿宋" w:hAnsi="仿宋" w:eastAsia="仿宋"/>
                <w:kern w:val="0"/>
                <w:sz w:val="28"/>
                <w:szCs w:val="28"/>
              </w:rPr>
            </w:pPr>
          </w:p>
        </w:tc>
      </w:tr>
      <w:tr w14:paraId="7A0CD30F">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466C1B">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2</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1DFC2B">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D2A564">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835694">
            <w:pPr>
              <w:widowControl/>
              <w:wordWrap w:val="0"/>
              <w:spacing w:line="200" w:lineRule="atLeast"/>
              <w:jc w:val="center"/>
              <w:rPr>
                <w:rFonts w:ascii="仿宋" w:hAnsi="仿宋" w:eastAsia="仿宋"/>
                <w:kern w:val="0"/>
                <w:sz w:val="28"/>
                <w:szCs w:val="28"/>
              </w:rPr>
            </w:pPr>
          </w:p>
        </w:tc>
      </w:tr>
      <w:tr w14:paraId="3BC06CEB">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607445">
            <w:pPr>
              <w:widowControl/>
              <w:wordWrap w:val="0"/>
              <w:spacing w:line="200" w:lineRule="atLeast"/>
              <w:jc w:val="center"/>
              <w:rPr>
                <w:rFonts w:ascii="仿宋" w:hAnsi="仿宋" w:eastAsia="仿宋"/>
                <w:kern w:val="0"/>
                <w:sz w:val="28"/>
                <w:szCs w:val="28"/>
              </w:rPr>
            </w:pP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9CD9E3">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91F649">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BE7C0E">
            <w:pPr>
              <w:widowControl/>
              <w:wordWrap w:val="0"/>
              <w:spacing w:line="200" w:lineRule="atLeast"/>
              <w:jc w:val="center"/>
              <w:rPr>
                <w:rFonts w:ascii="仿宋" w:hAnsi="仿宋" w:eastAsia="仿宋"/>
                <w:kern w:val="0"/>
                <w:sz w:val="28"/>
                <w:szCs w:val="28"/>
              </w:rPr>
            </w:pPr>
          </w:p>
        </w:tc>
      </w:tr>
      <w:tr w14:paraId="594DC69C">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D17B6C">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B5DEE">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07CEE5">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D8E3B6">
            <w:pPr>
              <w:widowControl/>
              <w:wordWrap w:val="0"/>
              <w:spacing w:line="200" w:lineRule="atLeast"/>
              <w:jc w:val="center"/>
              <w:rPr>
                <w:rFonts w:ascii="仿宋" w:hAnsi="仿宋" w:eastAsia="仿宋"/>
                <w:kern w:val="0"/>
                <w:sz w:val="28"/>
                <w:szCs w:val="28"/>
              </w:rPr>
            </w:pPr>
          </w:p>
        </w:tc>
      </w:tr>
    </w:tbl>
    <w:p w14:paraId="4C63CC27">
      <w:pPr>
        <w:snapToGrid w:val="0"/>
        <w:spacing w:line="500" w:lineRule="exact"/>
        <w:jc w:val="left"/>
        <w:rPr>
          <w:rFonts w:ascii="仿宋" w:hAnsi="仿宋" w:eastAsia="仿宋"/>
          <w:sz w:val="28"/>
          <w:szCs w:val="28"/>
        </w:rPr>
      </w:pPr>
      <w:r>
        <w:rPr>
          <w:rFonts w:hint="eastAsia" w:ascii="仿宋" w:hAnsi="仿宋" w:eastAsia="仿宋"/>
          <w:sz w:val="28"/>
          <w:szCs w:val="28"/>
        </w:rPr>
        <w:t>注：</w:t>
      </w:r>
    </w:p>
    <w:p w14:paraId="5F713786">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1.管理关系：是指不具有出资持股关系的其他单位之间存在的管理与被管理关系，如一些上下级关系的事业单位和团体组织。</w:t>
      </w:r>
    </w:p>
    <w:p w14:paraId="0BD71456">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2.</w:t>
      </w:r>
      <w:r>
        <w:rPr>
          <w:rFonts w:hint="eastAsia" w:ascii="仿宋" w:hAnsi="仿宋" w:eastAsia="仿宋"/>
          <w:spacing w:val="-6"/>
          <w:sz w:val="28"/>
          <w:szCs w:val="28"/>
        </w:rPr>
        <w:t>本表所指的管理关系仅限于直接管理关系，不包括间接的管理关系。</w:t>
      </w:r>
    </w:p>
    <w:p w14:paraId="0F916852">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3.供应商不存在直接管理关系的，则填“无”。</w:t>
      </w:r>
    </w:p>
    <w:p w14:paraId="122C43C1">
      <w:pPr>
        <w:snapToGrid w:val="0"/>
        <w:jc w:val="left"/>
        <w:rPr>
          <w:rFonts w:ascii="仿宋" w:hAnsi="仿宋" w:eastAsia="仿宋"/>
          <w:sz w:val="28"/>
          <w:szCs w:val="28"/>
        </w:rPr>
      </w:pPr>
    </w:p>
    <w:p w14:paraId="1FE331AF">
      <w:pPr>
        <w:snapToGrid w:val="0"/>
        <w:jc w:val="left"/>
        <w:rPr>
          <w:rFonts w:ascii="仿宋" w:hAnsi="仿宋" w:eastAsia="仿宋"/>
          <w:sz w:val="28"/>
          <w:szCs w:val="28"/>
        </w:rPr>
      </w:pPr>
    </w:p>
    <w:p w14:paraId="5B4CF6D0">
      <w:pPr>
        <w:snapToGrid w:val="0"/>
        <w:jc w:val="left"/>
        <w:rPr>
          <w:rFonts w:ascii="仿宋" w:hAnsi="仿宋" w:eastAsia="仿宋"/>
          <w:sz w:val="28"/>
          <w:szCs w:val="28"/>
        </w:rPr>
      </w:pPr>
    </w:p>
    <w:p w14:paraId="4C9DD9EA">
      <w:pPr>
        <w:snapToGrid w:val="0"/>
        <w:jc w:val="left"/>
        <w:rPr>
          <w:rFonts w:ascii="仿宋" w:hAnsi="仿宋" w:eastAsia="仿宋"/>
          <w:sz w:val="28"/>
          <w:szCs w:val="28"/>
        </w:rPr>
      </w:pPr>
    </w:p>
    <w:p w14:paraId="5D28E072">
      <w:pPr>
        <w:snapToGrid w:val="0"/>
        <w:spacing w:before="156" w:line="560" w:lineRule="exact"/>
        <w:ind w:right="482" w:firstLine="2520" w:firstLineChars="900"/>
        <w:rPr>
          <w:rFonts w:ascii="仿宋" w:hAnsi="仿宋" w:eastAsia="仿宋"/>
          <w:sz w:val="28"/>
          <w:szCs w:val="28"/>
        </w:rPr>
      </w:pPr>
      <w:r>
        <w:rPr>
          <w:rFonts w:hint="eastAsia" w:ascii="仿宋" w:hAnsi="仿宋" w:eastAsia="仿宋"/>
          <w:sz w:val="28"/>
          <w:szCs w:val="28"/>
        </w:rPr>
        <w:t>法定代表人或委托代理人签字：</w:t>
      </w:r>
      <w:r>
        <w:rPr>
          <w:rFonts w:hint="eastAsia" w:ascii="仿宋" w:hAnsi="仿宋" w:eastAsia="仿宋"/>
          <w:sz w:val="28"/>
          <w:szCs w:val="28"/>
          <w:u w:val="single"/>
        </w:rPr>
        <w:t xml:space="preserve">               </w:t>
      </w:r>
    </w:p>
    <w:p w14:paraId="751D66D8">
      <w:pPr>
        <w:snapToGrid w:val="0"/>
        <w:spacing w:before="156" w:after="50" w:line="560" w:lineRule="exact"/>
        <w:ind w:right="482" w:firstLine="3920" w:firstLineChars="1400"/>
        <w:rPr>
          <w:rFonts w:ascii="仿宋" w:hAnsi="仿宋" w:eastAsia="仿宋"/>
          <w:sz w:val="28"/>
          <w:szCs w:val="28"/>
        </w:rPr>
      </w:pPr>
      <w:r>
        <w:rPr>
          <w:rFonts w:hint="eastAsia" w:ascii="仿宋" w:hAnsi="仿宋" w:eastAsia="仿宋"/>
          <w:sz w:val="28"/>
          <w:szCs w:val="28"/>
        </w:rPr>
        <w:t>供应商（盖公章）：</w:t>
      </w:r>
      <w:r>
        <w:rPr>
          <w:rFonts w:hint="eastAsia" w:ascii="仿宋" w:hAnsi="仿宋" w:eastAsia="仿宋"/>
          <w:sz w:val="28"/>
          <w:szCs w:val="28"/>
          <w:u w:val="single"/>
        </w:rPr>
        <w:t xml:space="preserve">                </w:t>
      </w:r>
    </w:p>
    <w:p w14:paraId="25417021">
      <w:pPr>
        <w:snapToGrid w:val="0"/>
        <w:spacing w:before="156" w:after="50" w:line="560" w:lineRule="exact"/>
        <w:ind w:right="482" w:firstLine="280" w:firstLineChars="100"/>
        <w:jc w:val="center"/>
        <w:rPr>
          <w:rFonts w:ascii="仿宋" w:hAnsi="仿宋" w:eastAsia="仿宋"/>
          <w:sz w:val="28"/>
          <w:szCs w:val="28"/>
        </w:rPr>
      </w:pPr>
      <w:r>
        <w:rPr>
          <w:rFonts w:hint="eastAsia" w:ascii="仿宋" w:hAnsi="仿宋" w:eastAsia="仿宋"/>
          <w:sz w:val="28"/>
          <w:szCs w:val="28"/>
        </w:rPr>
        <w:t xml:space="preserve">                             年    月    日</w:t>
      </w:r>
    </w:p>
    <w:p w14:paraId="6EA7C4A9">
      <w:pPr>
        <w:pStyle w:val="7"/>
        <w:overflowPunct w:val="0"/>
        <w:spacing w:line="360" w:lineRule="auto"/>
        <w:jc w:val="center"/>
        <w:rPr>
          <w:rFonts w:ascii="宋体" w:hAnsi="宋体"/>
          <w:spacing w:val="20"/>
          <w:szCs w:val="21"/>
          <w:u w:val="single"/>
        </w:rPr>
      </w:pPr>
    </w:p>
    <w:p w14:paraId="1F90767A">
      <w:pPr>
        <w:spacing w:line="400" w:lineRule="exact"/>
        <w:ind w:firstLine="420" w:firstLineChars="200"/>
        <w:rPr>
          <w:rFonts w:ascii="宋体" w:hAnsi="宋体"/>
          <w:szCs w:val="21"/>
        </w:rPr>
      </w:pPr>
    </w:p>
    <w:p w14:paraId="0BD1363A">
      <w:pPr>
        <w:pStyle w:val="22"/>
        <w:ind w:firstLine="0" w:firstLineChars="0"/>
      </w:pPr>
    </w:p>
    <w:p w14:paraId="3BE8890B">
      <w:pPr>
        <w:pStyle w:val="22"/>
        <w:ind w:firstLine="344"/>
      </w:pPr>
    </w:p>
    <w:p w14:paraId="3FFC189D">
      <w:pPr>
        <w:pStyle w:val="22"/>
        <w:ind w:firstLine="344"/>
      </w:pPr>
    </w:p>
    <w:p w14:paraId="258B78EA">
      <w:pPr>
        <w:pStyle w:val="22"/>
        <w:ind w:firstLine="344"/>
      </w:pPr>
    </w:p>
    <w:p w14:paraId="7321EB55">
      <w:pPr>
        <w:pStyle w:val="22"/>
        <w:ind w:firstLine="344"/>
      </w:pPr>
    </w:p>
    <w:p w14:paraId="619075C4">
      <w:pPr>
        <w:pStyle w:val="22"/>
        <w:ind w:firstLine="344"/>
      </w:pPr>
    </w:p>
    <w:p w14:paraId="0EB693C5">
      <w:pPr>
        <w:spacing w:line="400" w:lineRule="exact"/>
        <w:rPr>
          <w:rFonts w:ascii="宋体" w:hAnsi="宋体"/>
          <w:bCs/>
          <w:szCs w:val="20"/>
        </w:rPr>
      </w:pPr>
    </w:p>
    <w:sectPr>
      <w:headerReference r:id="rId8" w:type="default"/>
      <w:footerReference r:id="rId9" w:type="default"/>
      <w:pgSz w:w="11906" w:h="16838"/>
      <w:pgMar w:top="1134" w:right="1134" w:bottom="1134" w:left="1134" w:header="709" w:footer="709" w:gutter="0"/>
      <w:cols w:space="720"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黄群玲" w:date="2026-07-01T16:46:00Z" w:initials="">
    <w:p w14:paraId="69100849">
      <w:pPr>
        <w:pStyle w:val="8"/>
        <w:rPr>
          <w:rFonts w:hint="eastAsia" w:eastAsia="宋体"/>
          <w:lang w:eastAsia="zh-CN"/>
        </w:rPr>
      </w:pPr>
      <w:r>
        <w:rPr>
          <w:rFonts w:hint="eastAsia"/>
          <w:lang w:eastAsia="zh-CN"/>
        </w:rPr>
        <w:t>请后勤设置特定资格要求</w:t>
      </w:r>
    </w:p>
  </w:comment>
  <w:comment w:id="1" w:author="黄群玲" w:date="2026-07-01T16:51:47Z" w:initials="">
    <w:p w14:paraId="177908E0">
      <w:pPr>
        <w:pStyle w:val="8"/>
        <w:rPr>
          <w:rFonts w:hint="eastAsia" w:eastAsia="宋体"/>
          <w:lang w:eastAsia="zh-CN"/>
        </w:rPr>
      </w:pPr>
      <w:r>
        <w:rPr>
          <w:rFonts w:hint="eastAsia"/>
          <w:lang w:eastAsia="zh-CN"/>
        </w:rPr>
        <w:t>一共四本证吗？如是，请用顿号间格</w:t>
      </w:r>
    </w:p>
  </w:comment>
  <w:comment w:id="2" w:author="陈淙" w:date="2026-07-02T08:15:49Z" w:initials="">
    <w:p w14:paraId="1A3F75A2">
      <w:pPr>
        <w:pStyle w:val="8"/>
        <w:rPr>
          <w:rFonts w:hint="eastAsia" w:eastAsia="宋体"/>
          <w:lang w:eastAsia="zh-CN"/>
        </w:rPr>
      </w:pPr>
      <w:r>
        <w:rPr>
          <w:rFonts w:hint="eastAsia"/>
          <w:lang w:eastAsia="zh-CN"/>
        </w:rPr>
        <w:t>已修改。需要</w:t>
      </w:r>
      <w:r>
        <w:rPr>
          <w:rFonts w:hint="eastAsia"/>
          <w:lang w:val="en-US" w:eastAsia="zh-CN"/>
        </w:rPr>
        <w:t>2本证，一本</w:t>
      </w:r>
      <w:r>
        <w:rPr>
          <w:rFonts w:hint="eastAsia" w:asciiTheme="minorEastAsia" w:hAnsiTheme="minorEastAsia" w:eastAsiaTheme="minorEastAsia" w:cstheme="minorEastAsia"/>
          <w:sz w:val="21"/>
          <w:szCs w:val="21"/>
        </w:rPr>
        <w:t>特种作业操作证（高压电工证），</w:t>
      </w:r>
      <w:r>
        <w:rPr>
          <w:rFonts w:hint="eastAsia" w:asciiTheme="minorEastAsia" w:hAnsiTheme="minorEastAsia" w:eastAsiaTheme="minorEastAsia" w:cstheme="minorEastAsia"/>
          <w:sz w:val="21"/>
          <w:szCs w:val="21"/>
          <w:lang w:eastAsia="zh-CN"/>
        </w:rPr>
        <w:t>一本是</w:t>
      </w:r>
      <w:r>
        <w:rPr>
          <w:rFonts w:hint="eastAsia" w:asciiTheme="minorEastAsia" w:hAnsiTheme="minorEastAsia" w:eastAsiaTheme="minorEastAsia" w:cstheme="minorEastAsia"/>
          <w:sz w:val="21"/>
          <w:szCs w:val="21"/>
        </w:rPr>
        <w:t>入网作业许可证</w:t>
      </w:r>
      <w:r>
        <w:rPr>
          <w:rFonts w:hint="eastAsia" w:asciiTheme="minorEastAsia" w:hAnsiTheme="minorEastAsia" w:eastAsiaTheme="minorEastAsia" w:cstheme="minorEastAsia"/>
          <w:sz w:val="21"/>
          <w:szCs w:val="21"/>
          <w:lang w:eastAsia="zh-CN"/>
        </w:rPr>
        <w:t>或</w:t>
      </w:r>
      <w:r>
        <w:rPr>
          <w:rFonts w:hint="eastAsia" w:asciiTheme="minorEastAsia" w:hAnsiTheme="minorEastAsia" w:eastAsiaTheme="minorEastAsia" w:cstheme="minorEastAsia"/>
          <w:sz w:val="21"/>
          <w:szCs w:val="21"/>
        </w:rPr>
        <w:t>电工进网作业许可证。</w:t>
      </w:r>
    </w:p>
  </w:comment>
  <w:comment w:id="3" w:author="黄群玲" w:date="2026-07-01T16:52:57Z" w:initials="">
    <w:p w14:paraId="1EE2184D">
      <w:pPr>
        <w:pStyle w:val="8"/>
        <w:rPr>
          <w:rFonts w:hint="eastAsia" w:eastAsia="宋体"/>
          <w:lang w:eastAsia="zh-CN"/>
        </w:rPr>
      </w:pPr>
      <w:r>
        <w:rPr>
          <w:rFonts w:hint="eastAsia"/>
          <w:lang w:eastAsia="zh-CN"/>
        </w:rPr>
        <w:t>是否需要证明本公司员工，如是，则需提供社保缴纳证明或劳动合同。</w:t>
      </w:r>
    </w:p>
  </w:comment>
  <w:comment w:id="4" w:author="陈淙" w:date="2026-07-02T08:17:40Z" w:initials="">
    <w:p w14:paraId="7BF17B9C">
      <w:pPr>
        <w:pStyle w:val="8"/>
        <w:rPr>
          <w:rFonts w:hint="eastAsia" w:eastAsia="宋体"/>
          <w:lang w:eastAsia="zh-CN"/>
        </w:rPr>
      </w:pPr>
      <w:r>
        <w:rPr>
          <w:rFonts w:hint="eastAsia"/>
          <w:lang w:eastAsia="zh-CN"/>
        </w:rPr>
        <w:t>同意。已修改：</w:t>
      </w:r>
      <w:r>
        <w:rPr>
          <w:rFonts w:hint="eastAsia" w:asciiTheme="minorEastAsia" w:hAnsiTheme="minorEastAsia" w:eastAsiaTheme="minorEastAsia" w:cstheme="minorEastAsia"/>
          <w:sz w:val="21"/>
          <w:szCs w:val="21"/>
          <w:lang w:eastAsia="zh-CN"/>
        </w:rPr>
        <w:t>，以及提供员工</w:t>
      </w:r>
      <w:r>
        <w:rPr>
          <w:rFonts w:hint="eastAsia" w:asciiTheme="minorEastAsia" w:hAnsiTheme="minorEastAsia" w:eastAsiaTheme="minorEastAsia" w:cstheme="minorEastAsia"/>
          <w:szCs w:val="21"/>
        </w:rPr>
        <w:t>社保缴纳证明</w:t>
      </w:r>
      <w:r>
        <w:rPr>
          <w:rFonts w:hint="eastAsia" w:asciiTheme="minorEastAsia" w:hAnsiTheme="minorEastAsia" w:eastAsiaTheme="minorEastAsia" w:cstheme="minorEastAsia"/>
          <w:szCs w:val="21"/>
          <w:lang w:eastAsia="zh-CN"/>
        </w:rPr>
        <w:t>或</w:t>
      </w:r>
      <w:r>
        <w:rPr>
          <w:rFonts w:hint="eastAsia" w:asciiTheme="minorEastAsia" w:hAnsiTheme="minorEastAsia" w:eastAsiaTheme="minorEastAsia" w:cstheme="minorEastAsia"/>
          <w:szCs w:val="21"/>
        </w:rPr>
        <w:t>劳动合同</w:t>
      </w:r>
      <w:r>
        <w:rPr>
          <w:rFonts w:hint="eastAsia" w:asciiTheme="minorEastAsia" w:hAnsiTheme="minorEastAsia" w:eastAsiaTheme="minorEastAsia" w:cstheme="minorEastAsia"/>
          <w:sz w:val="21"/>
          <w:szCs w:val="21"/>
        </w:rPr>
        <w:t>。</w:t>
      </w:r>
    </w:p>
  </w:comment>
  <w:comment w:id="5" w:author="黄群玲" w:date="2026-07-01T16:55:55Z" w:initials="">
    <w:p w14:paraId="4E313F95">
      <w:pPr>
        <w:pStyle w:val="8"/>
        <w:rPr>
          <w:rFonts w:hint="eastAsia" w:eastAsia="宋体"/>
          <w:lang w:eastAsia="zh-CN"/>
        </w:rPr>
      </w:pPr>
      <w:r>
        <w:rPr>
          <w:rFonts w:hint="eastAsia"/>
          <w:lang w:eastAsia="zh-CN"/>
        </w:rPr>
        <w:t>是否有上限</w:t>
      </w:r>
    </w:p>
  </w:comment>
  <w:comment w:id="6" w:author="陈淙" w:date="2026-07-02T08:21:41Z" w:initials="">
    <w:p w14:paraId="573E5F78">
      <w:pPr>
        <w:pStyle w:val="8"/>
        <w:rPr>
          <w:rFonts w:hint="eastAsia" w:eastAsia="宋体"/>
          <w:lang w:eastAsia="zh-CN"/>
        </w:rPr>
      </w:pPr>
      <w:r>
        <w:rPr>
          <w:rFonts w:hint="eastAsia"/>
          <w:lang w:eastAsia="zh-CN"/>
        </w:rPr>
        <w:t>无上限</w:t>
      </w:r>
    </w:p>
  </w:comment>
  <w:comment w:id="7" w:author="黄群玲" w:date="2026-07-01T16:56:38Z" w:initials="">
    <w:p w14:paraId="3A890447">
      <w:pPr>
        <w:pStyle w:val="8"/>
        <w:rPr>
          <w:rFonts w:hint="default" w:eastAsia="宋体"/>
          <w:lang w:val="en-US" w:eastAsia="zh-CN"/>
        </w:rPr>
      </w:pPr>
      <w:r>
        <w:rPr>
          <w:rFonts w:hint="eastAsia"/>
          <w:lang w:val="en-US" w:eastAsia="zh-CN"/>
        </w:rPr>
        <w:t>2万元以上，中标商不负责更换，是吗？</w:t>
      </w:r>
    </w:p>
  </w:comment>
  <w:comment w:id="8" w:author="陈淙" w:date="2026-07-02T08:22:21Z" w:initials="">
    <w:p w14:paraId="52FD305F">
      <w:pPr>
        <w:pStyle w:val="8"/>
        <w:rPr>
          <w:rFonts w:hint="eastAsia" w:eastAsia="宋体"/>
          <w:lang w:eastAsia="zh-CN"/>
        </w:rPr>
      </w:pPr>
      <w:r>
        <w:rPr>
          <w:rFonts w:hint="eastAsia"/>
          <w:lang w:eastAsia="zh-CN"/>
        </w:rPr>
        <w:t>中标商不负责安装，由货物提供商负责安装。</w:t>
      </w:r>
    </w:p>
  </w:comment>
  <w:comment w:id="9" w:author="铭泉" w:date="2026-06-17T11:29:00Z" w:initials="">
    <w:p w14:paraId="509D0D3F">
      <w:pPr>
        <w:pStyle w:val="8"/>
      </w:pPr>
      <w:r>
        <w:rPr>
          <w:rFonts w:hint="eastAsia"/>
        </w:rPr>
        <w:t>请后勤审核资格证的表述是否正确</w:t>
      </w:r>
    </w:p>
  </w:comment>
  <w:comment w:id="10" w:author="陈淙" w:date="2026-07-02T08:40:30Z" w:initials="">
    <w:p w14:paraId="20E411AF">
      <w:pPr>
        <w:pStyle w:val="8"/>
        <w:rPr>
          <w:rFonts w:hint="eastAsia" w:eastAsia="宋体"/>
          <w:lang w:eastAsia="zh-CN"/>
        </w:rPr>
      </w:pPr>
      <w:r>
        <w:rPr>
          <w:rFonts w:hint="eastAsia"/>
          <w:lang w:eastAsia="zh-CN"/>
        </w:rPr>
        <w:t>理解为：服务要求是中级证，这个是比较多有的。有高级证的比较少，所以这里是加分项。</w:t>
      </w:r>
    </w:p>
  </w:comment>
  <w:comment w:id="11" w:author="黄群玲" w:date="2026-07-01T16:51:47Z" w:initials="">
    <w:p w14:paraId="6EEA6034">
      <w:pPr>
        <w:pStyle w:val="8"/>
        <w:rPr>
          <w:rFonts w:hint="eastAsia" w:eastAsia="宋体"/>
          <w:lang w:eastAsia="zh-CN"/>
        </w:rPr>
      </w:pPr>
      <w:r>
        <w:rPr>
          <w:rFonts w:hint="eastAsia"/>
          <w:lang w:eastAsia="zh-CN"/>
        </w:rPr>
        <w:t>一共四本证吗？如是，请用顿号间格</w:t>
      </w:r>
    </w:p>
  </w:comment>
  <w:comment w:id="12" w:author="陈淙" w:date="2026-07-02T08:15:49Z" w:initials="">
    <w:p w14:paraId="57676286">
      <w:pPr>
        <w:pStyle w:val="8"/>
        <w:rPr>
          <w:rFonts w:hint="eastAsia" w:eastAsia="宋体"/>
          <w:lang w:eastAsia="zh-CN"/>
        </w:rPr>
      </w:pPr>
      <w:r>
        <w:rPr>
          <w:rFonts w:hint="eastAsia"/>
          <w:lang w:eastAsia="zh-CN"/>
        </w:rPr>
        <w:t>已修改。需要</w:t>
      </w:r>
      <w:r>
        <w:rPr>
          <w:rFonts w:hint="eastAsia"/>
          <w:lang w:val="en-US" w:eastAsia="zh-CN"/>
        </w:rPr>
        <w:t>2本证，一本</w:t>
      </w:r>
      <w:r>
        <w:rPr>
          <w:rFonts w:hint="eastAsia" w:asciiTheme="minorEastAsia" w:hAnsiTheme="minorEastAsia" w:eastAsiaTheme="minorEastAsia" w:cstheme="minorEastAsia"/>
          <w:sz w:val="21"/>
          <w:szCs w:val="21"/>
        </w:rPr>
        <w:t>特种作业操作证（高压电工证），</w:t>
      </w:r>
      <w:r>
        <w:rPr>
          <w:rFonts w:hint="eastAsia" w:asciiTheme="minorEastAsia" w:hAnsiTheme="minorEastAsia" w:eastAsiaTheme="minorEastAsia" w:cstheme="minorEastAsia"/>
          <w:sz w:val="21"/>
          <w:szCs w:val="21"/>
          <w:lang w:eastAsia="zh-CN"/>
        </w:rPr>
        <w:t>一本是</w:t>
      </w:r>
      <w:r>
        <w:rPr>
          <w:rFonts w:hint="eastAsia" w:asciiTheme="minorEastAsia" w:hAnsiTheme="minorEastAsia" w:eastAsiaTheme="minorEastAsia" w:cstheme="minorEastAsia"/>
          <w:sz w:val="21"/>
          <w:szCs w:val="21"/>
        </w:rPr>
        <w:t>入网作业许可证</w:t>
      </w:r>
      <w:r>
        <w:rPr>
          <w:rFonts w:hint="eastAsia" w:asciiTheme="minorEastAsia" w:hAnsiTheme="minorEastAsia" w:eastAsiaTheme="minorEastAsia" w:cstheme="minorEastAsia"/>
          <w:sz w:val="21"/>
          <w:szCs w:val="21"/>
          <w:lang w:eastAsia="zh-CN"/>
        </w:rPr>
        <w:t>或</w:t>
      </w:r>
      <w:r>
        <w:rPr>
          <w:rFonts w:hint="eastAsia" w:asciiTheme="minorEastAsia" w:hAnsiTheme="minorEastAsia" w:eastAsiaTheme="minorEastAsia" w:cstheme="minorEastAsia"/>
          <w:sz w:val="21"/>
          <w:szCs w:val="21"/>
        </w:rPr>
        <w:t>电工进网作业许可证。</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9100849" w15:done="0"/>
  <w15:commentEx w15:paraId="177908E0" w15:done="0"/>
  <w15:commentEx w15:paraId="1A3F75A2" w15:done="0" w15:paraIdParent="177908E0"/>
  <w15:commentEx w15:paraId="1EE2184D" w15:done="0"/>
  <w15:commentEx w15:paraId="7BF17B9C" w15:done="0" w15:paraIdParent="1EE2184D"/>
  <w15:commentEx w15:paraId="4E313F95" w15:done="0"/>
  <w15:commentEx w15:paraId="573E5F78" w15:done="0" w15:paraIdParent="4E313F95"/>
  <w15:commentEx w15:paraId="3A890447" w15:done="0"/>
  <w15:commentEx w15:paraId="52FD305F" w15:done="0" w15:paraIdParent="3A890447"/>
  <w15:commentEx w15:paraId="509D0D3F" w15:done="0"/>
  <w15:commentEx w15:paraId="20E411AF" w15:done="0" w15:paraIdParent="509D0D3F"/>
  <w15:commentEx w15:paraId="6EEA6034" w15:done="0"/>
  <w15:commentEx w15:paraId="57676286" w15:done="0" w15:paraIdParent="6EEA6034"/>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方正仿宋_GBK">
    <w:altName w:val="Arial Unicode MS"/>
    <w:panose1 w:val="00000000000000000000"/>
    <w:charset w:val="86"/>
    <w:family w:val="script"/>
    <w:pitch w:val="default"/>
    <w:sig w:usb0="00000000" w:usb1="00000000" w:usb2="00082016" w:usb3="00000000" w:csb0="00040001" w:csb1="00000000"/>
  </w:font>
  <w:font w:name="Arial Unicode MS">
    <w:panose1 w:val="020B0604020202020204"/>
    <w:charset w:val="86"/>
    <w:family w:val="swiss"/>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C3DA0">
    <w:pPr>
      <w:pStyle w:val="12"/>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DD49D">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70DD49D">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6CB1">
    <w:pPr>
      <w:pStyle w:val="12"/>
      <w:framePr w:wrap="around" w:vAnchor="text" w:hAnchor="margin" w:xAlign="center" w:y="1"/>
      <w:tabs>
        <w:tab w:val="clear" w:pos="4153"/>
        <w:tab w:val="clear" w:pos="8306"/>
      </w:tabs>
    </w:pPr>
    <w:r>
      <w:fldChar w:fldCharType="begin"/>
    </w:r>
    <w:r>
      <w:rPr>
        <w:rStyle w:val="27"/>
      </w:rPr>
      <w:instrText xml:space="preserve">PAGE  </w:instrText>
    </w:r>
    <w:r>
      <w:fldChar w:fldCharType="separate"/>
    </w:r>
    <w:r>
      <w:rPr>
        <w:rStyle w:val="27"/>
      </w:rPr>
      <w:t>1</w:t>
    </w:r>
    <w:r>
      <w:fldChar w:fldCharType="end"/>
    </w:r>
  </w:p>
  <w:p w14:paraId="78A982B3">
    <w:pPr>
      <w:pStyle w:val="1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33878">
    <w:pPr>
      <w:pStyle w:val="12"/>
      <w:tabs>
        <w:tab w:val="clear" w:pos="4153"/>
        <w:tab w:val="clear" w:pos="8306"/>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6F018D">
                          <w:pPr>
                            <w:pStyle w:val="12"/>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36F018D">
                    <w:pPr>
                      <w:pStyle w:val="12"/>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mc:Fallback>
      </mc:AlternateContent>
    </w:r>
  </w:p>
  <w:p w14:paraId="29CB3C9F">
    <w:pPr>
      <w:pStyle w:val="12"/>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BB71C">
    <w:pPr>
      <w:pStyle w:val="14"/>
      <w:tabs>
        <w:tab w:val="clear" w:pos="4153"/>
        <w:tab w:val="clear" w:pos="8306"/>
      </w:tabs>
      <w:wordWrap w:val="0"/>
      <w:jc w:val="left"/>
      <w:rPr>
        <w:rFonts w:hAnsi="宋体"/>
        <w:szCs w:val="18"/>
      </w:rPr>
    </w:pPr>
    <w:r>
      <w:rPr>
        <w:rFonts w:hint="eastAsia" w:hAnsi="宋体"/>
        <w:szCs w:val="18"/>
      </w:rPr>
      <w:t xml:space="preserve">             </w:t>
    </w:r>
    <w:r>
      <w:tab/>
    </w:r>
    <w:r>
      <w:rPr>
        <w:rFonts w:hint="eastAsia" w:hAnsi="宋体"/>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372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lowerLetter"/>
      <w:lvlText w:val="%2."/>
      <w:lvlJc w:val="left"/>
      <w:pPr>
        <w:tabs>
          <w:tab w:val="left" w:pos="1980"/>
        </w:tabs>
        <w:ind w:left="1980" w:hanging="360"/>
      </w:pPr>
    </w:lvl>
    <w:lvl w:ilvl="2" w:tentative="0">
      <w:start w:val="1"/>
      <w:numFmt w:val="lowerRoman"/>
      <w:lvlText w:val="%3."/>
      <w:lvlJc w:val="right"/>
      <w:pPr>
        <w:tabs>
          <w:tab w:val="left" w:pos="2700"/>
        </w:tabs>
        <w:ind w:left="2700" w:hanging="180"/>
      </w:pPr>
    </w:lvl>
    <w:lvl w:ilvl="3" w:tentative="0">
      <w:start w:val="1"/>
      <w:numFmt w:val="decimal"/>
      <w:pStyle w:val="4"/>
      <w:lvlText w:val="%4."/>
      <w:lvlJc w:val="left"/>
      <w:pPr>
        <w:tabs>
          <w:tab w:val="left" w:pos="3420"/>
        </w:tabs>
        <w:ind w:left="3420" w:hanging="360"/>
      </w:pPr>
    </w:lvl>
    <w:lvl w:ilvl="4" w:tentative="0">
      <w:start w:val="1"/>
      <w:numFmt w:val="lowerLetter"/>
      <w:lvlText w:val="%5."/>
      <w:lvlJc w:val="left"/>
      <w:pPr>
        <w:tabs>
          <w:tab w:val="left" w:pos="4140"/>
        </w:tabs>
        <w:ind w:left="4140" w:hanging="360"/>
      </w:pPr>
    </w:lvl>
    <w:lvl w:ilvl="5" w:tentative="0">
      <w:start w:val="1"/>
      <w:numFmt w:val="lowerRoman"/>
      <w:lvlText w:val="%6."/>
      <w:lvlJc w:val="right"/>
      <w:pPr>
        <w:tabs>
          <w:tab w:val="left" w:pos="4860"/>
        </w:tabs>
        <w:ind w:left="4860" w:hanging="180"/>
      </w:pPr>
    </w:lvl>
    <w:lvl w:ilvl="6" w:tentative="0">
      <w:start w:val="1"/>
      <w:numFmt w:val="decimal"/>
      <w:lvlText w:val="%7."/>
      <w:lvlJc w:val="left"/>
      <w:pPr>
        <w:tabs>
          <w:tab w:val="left" w:pos="5580"/>
        </w:tabs>
        <w:ind w:left="5580" w:hanging="360"/>
      </w:pPr>
    </w:lvl>
    <w:lvl w:ilvl="7" w:tentative="0">
      <w:start w:val="1"/>
      <w:numFmt w:val="lowerLetter"/>
      <w:lvlText w:val="%8."/>
      <w:lvlJc w:val="left"/>
      <w:pPr>
        <w:tabs>
          <w:tab w:val="left" w:pos="6300"/>
        </w:tabs>
        <w:ind w:left="6300" w:hanging="360"/>
      </w:pPr>
    </w:lvl>
    <w:lvl w:ilvl="8" w:tentative="0">
      <w:start w:val="1"/>
      <w:numFmt w:val="lowerRoman"/>
      <w:lvlText w:val="%9."/>
      <w:lvlJc w:val="right"/>
      <w:pPr>
        <w:tabs>
          <w:tab w:val="left" w:pos="7020"/>
        </w:tabs>
        <w:ind w:left="7020" w:hanging="180"/>
      </w:pPr>
    </w:lvl>
  </w:abstractNum>
  <w:abstractNum w:abstractNumId="1">
    <w:nsid w:val="4361CA55"/>
    <w:multiLevelType w:val="singleLevel"/>
    <w:tmpl w:val="4361CA55"/>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群玲">
    <w15:presenceInfo w15:providerId="WPS Office" w15:userId="1286124358"/>
  </w15:person>
  <w15:person w15:author="陈淙">
    <w15:presenceInfo w15:providerId="WPS Office" w15:userId="3570717573"/>
  </w15:person>
  <w15:person w15:author="铭泉">
    <w15:presenceInfo w15:providerId="None" w15:userId="铭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revisionView w:markup="0"/>
  <w:documentProtection w:enforcement="0"/>
  <w:defaultTabStop w:val="420"/>
  <w:noPunctuationKerning w:val="1"/>
  <w:characterSpacingControl w:val="compressPunctuation"/>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81"/>
    <w:rsid w:val="000A14DB"/>
    <w:rsid w:val="002A26C4"/>
    <w:rsid w:val="00314955"/>
    <w:rsid w:val="003F3ECC"/>
    <w:rsid w:val="005108DC"/>
    <w:rsid w:val="00681981"/>
    <w:rsid w:val="006A5EFD"/>
    <w:rsid w:val="006E07AD"/>
    <w:rsid w:val="00876B80"/>
    <w:rsid w:val="00AF4845"/>
    <w:rsid w:val="00B36A1A"/>
    <w:rsid w:val="00BB28D6"/>
    <w:rsid w:val="00C225A1"/>
    <w:rsid w:val="00C251BC"/>
    <w:rsid w:val="00C6464F"/>
    <w:rsid w:val="00E652DE"/>
    <w:rsid w:val="00EE1A7B"/>
    <w:rsid w:val="00F57EE7"/>
    <w:rsid w:val="010D427B"/>
    <w:rsid w:val="019F7C4C"/>
    <w:rsid w:val="02117CDB"/>
    <w:rsid w:val="03200ADE"/>
    <w:rsid w:val="034877EC"/>
    <w:rsid w:val="03FB37CD"/>
    <w:rsid w:val="04003C23"/>
    <w:rsid w:val="04187EF1"/>
    <w:rsid w:val="049860A9"/>
    <w:rsid w:val="04AF72D6"/>
    <w:rsid w:val="04BA64C7"/>
    <w:rsid w:val="05B81D48"/>
    <w:rsid w:val="05FD48BE"/>
    <w:rsid w:val="060043AE"/>
    <w:rsid w:val="0639108F"/>
    <w:rsid w:val="063F3E09"/>
    <w:rsid w:val="065A40E3"/>
    <w:rsid w:val="068113B7"/>
    <w:rsid w:val="068942CF"/>
    <w:rsid w:val="06F045C6"/>
    <w:rsid w:val="074D70D5"/>
    <w:rsid w:val="086A723E"/>
    <w:rsid w:val="09E9411E"/>
    <w:rsid w:val="0A31124F"/>
    <w:rsid w:val="0A516F86"/>
    <w:rsid w:val="0A7315F2"/>
    <w:rsid w:val="0ADC2E2D"/>
    <w:rsid w:val="0B2529AE"/>
    <w:rsid w:val="0C4505A8"/>
    <w:rsid w:val="0C85471F"/>
    <w:rsid w:val="0CAC1FE4"/>
    <w:rsid w:val="0D425EC2"/>
    <w:rsid w:val="0DEE32D4"/>
    <w:rsid w:val="0E617811"/>
    <w:rsid w:val="0E7711D0"/>
    <w:rsid w:val="0F965135"/>
    <w:rsid w:val="0FF51B00"/>
    <w:rsid w:val="106B7917"/>
    <w:rsid w:val="11853D3E"/>
    <w:rsid w:val="11A25FAA"/>
    <w:rsid w:val="12DF7982"/>
    <w:rsid w:val="131E6901"/>
    <w:rsid w:val="139E2979"/>
    <w:rsid w:val="142E658A"/>
    <w:rsid w:val="145A1533"/>
    <w:rsid w:val="15B11C34"/>
    <w:rsid w:val="15B64391"/>
    <w:rsid w:val="15F21BA1"/>
    <w:rsid w:val="16073DF6"/>
    <w:rsid w:val="16161084"/>
    <w:rsid w:val="16243949"/>
    <w:rsid w:val="16AD3796"/>
    <w:rsid w:val="16F51CB1"/>
    <w:rsid w:val="170A7A83"/>
    <w:rsid w:val="17394859"/>
    <w:rsid w:val="17D102D3"/>
    <w:rsid w:val="184478FA"/>
    <w:rsid w:val="189E1C5F"/>
    <w:rsid w:val="18E51673"/>
    <w:rsid w:val="19680CD2"/>
    <w:rsid w:val="197358C2"/>
    <w:rsid w:val="197D0652"/>
    <w:rsid w:val="19A630F7"/>
    <w:rsid w:val="1ADB7FCD"/>
    <w:rsid w:val="1B460E6C"/>
    <w:rsid w:val="1B720E79"/>
    <w:rsid w:val="1B9C2053"/>
    <w:rsid w:val="1BA80F40"/>
    <w:rsid w:val="1BF61B65"/>
    <w:rsid w:val="1C4B37EB"/>
    <w:rsid w:val="1D412C0D"/>
    <w:rsid w:val="1DB83717"/>
    <w:rsid w:val="1FE45E45"/>
    <w:rsid w:val="20A35C0A"/>
    <w:rsid w:val="21590571"/>
    <w:rsid w:val="21930EF4"/>
    <w:rsid w:val="223665B5"/>
    <w:rsid w:val="22367719"/>
    <w:rsid w:val="22F97D63"/>
    <w:rsid w:val="23360931"/>
    <w:rsid w:val="23536561"/>
    <w:rsid w:val="24030E16"/>
    <w:rsid w:val="244A5EE0"/>
    <w:rsid w:val="24503D37"/>
    <w:rsid w:val="246006EE"/>
    <w:rsid w:val="24EA2059"/>
    <w:rsid w:val="25122EA5"/>
    <w:rsid w:val="25204E8B"/>
    <w:rsid w:val="25303040"/>
    <w:rsid w:val="25352FFE"/>
    <w:rsid w:val="254A53C6"/>
    <w:rsid w:val="259A3A7F"/>
    <w:rsid w:val="25B60C44"/>
    <w:rsid w:val="25DE133F"/>
    <w:rsid w:val="2626282B"/>
    <w:rsid w:val="26B459D1"/>
    <w:rsid w:val="26F22552"/>
    <w:rsid w:val="26F3402E"/>
    <w:rsid w:val="27392E66"/>
    <w:rsid w:val="27434813"/>
    <w:rsid w:val="27716887"/>
    <w:rsid w:val="2791418B"/>
    <w:rsid w:val="27E4232F"/>
    <w:rsid w:val="28137BB2"/>
    <w:rsid w:val="2859765A"/>
    <w:rsid w:val="28887BBF"/>
    <w:rsid w:val="28D26DFB"/>
    <w:rsid w:val="296342F6"/>
    <w:rsid w:val="296B51CF"/>
    <w:rsid w:val="2A220E95"/>
    <w:rsid w:val="2A4A387D"/>
    <w:rsid w:val="2A4B2362"/>
    <w:rsid w:val="2AB75A98"/>
    <w:rsid w:val="2AC84BEB"/>
    <w:rsid w:val="2AD61DA9"/>
    <w:rsid w:val="2B083239"/>
    <w:rsid w:val="2B626CD3"/>
    <w:rsid w:val="2B6B0C1C"/>
    <w:rsid w:val="2B8472F2"/>
    <w:rsid w:val="2BE82C23"/>
    <w:rsid w:val="2BF63ECE"/>
    <w:rsid w:val="2C365A9F"/>
    <w:rsid w:val="2C6E7B29"/>
    <w:rsid w:val="2CBA0BC7"/>
    <w:rsid w:val="2D2D2B79"/>
    <w:rsid w:val="2D5269EE"/>
    <w:rsid w:val="2D5334AE"/>
    <w:rsid w:val="2D66398A"/>
    <w:rsid w:val="2D8A794D"/>
    <w:rsid w:val="2E2670DA"/>
    <w:rsid w:val="2E772D84"/>
    <w:rsid w:val="2E8D0C94"/>
    <w:rsid w:val="2EF32249"/>
    <w:rsid w:val="2F254D9A"/>
    <w:rsid w:val="2FC34641"/>
    <w:rsid w:val="2FD915F5"/>
    <w:rsid w:val="2FF41FDE"/>
    <w:rsid w:val="2FF96D6D"/>
    <w:rsid w:val="2FFD70E5"/>
    <w:rsid w:val="3059485D"/>
    <w:rsid w:val="308A5C2E"/>
    <w:rsid w:val="31175F84"/>
    <w:rsid w:val="316B35BD"/>
    <w:rsid w:val="31821737"/>
    <w:rsid w:val="32071938"/>
    <w:rsid w:val="3217464E"/>
    <w:rsid w:val="32340DB8"/>
    <w:rsid w:val="32D531A7"/>
    <w:rsid w:val="33A65CE5"/>
    <w:rsid w:val="33AC5879"/>
    <w:rsid w:val="34C73630"/>
    <w:rsid w:val="34E013AF"/>
    <w:rsid w:val="35545001"/>
    <w:rsid w:val="357B70FF"/>
    <w:rsid w:val="35F76642"/>
    <w:rsid w:val="361C5DEB"/>
    <w:rsid w:val="36362894"/>
    <w:rsid w:val="375B2943"/>
    <w:rsid w:val="382B337A"/>
    <w:rsid w:val="38A87E0A"/>
    <w:rsid w:val="38EE7F12"/>
    <w:rsid w:val="38F43134"/>
    <w:rsid w:val="38FB618B"/>
    <w:rsid w:val="39555B86"/>
    <w:rsid w:val="39A36682"/>
    <w:rsid w:val="39D0475B"/>
    <w:rsid w:val="39E817C8"/>
    <w:rsid w:val="3AA615FA"/>
    <w:rsid w:val="3AC10130"/>
    <w:rsid w:val="3AD331DF"/>
    <w:rsid w:val="3ADD5ED2"/>
    <w:rsid w:val="3AF871E6"/>
    <w:rsid w:val="3B874BE5"/>
    <w:rsid w:val="3CFD2416"/>
    <w:rsid w:val="3CFE624A"/>
    <w:rsid w:val="3D63711D"/>
    <w:rsid w:val="3DA25943"/>
    <w:rsid w:val="3E076F3D"/>
    <w:rsid w:val="3EDF3204"/>
    <w:rsid w:val="3F7376B6"/>
    <w:rsid w:val="3FE15E75"/>
    <w:rsid w:val="40212FAA"/>
    <w:rsid w:val="404C7C2D"/>
    <w:rsid w:val="40D07A1C"/>
    <w:rsid w:val="40F0234E"/>
    <w:rsid w:val="413A7083"/>
    <w:rsid w:val="41B31CF9"/>
    <w:rsid w:val="41F01A1A"/>
    <w:rsid w:val="425828A0"/>
    <w:rsid w:val="42661C82"/>
    <w:rsid w:val="42885446"/>
    <w:rsid w:val="42936CDF"/>
    <w:rsid w:val="42984CC6"/>
    <w:rsid w:val="433E66F4"/>
    <w:rsid w:val="435E6E72"/>
    <w:rsid w:val="437D67F0"/>
    <w:rsid w:val="43C72CF2"/>
    <w:rsid w:val="450D212B"/>
    <w:rsid w:val="45D56701"/>
    <w:rsid w:val="46D93F32"/>
    <w:rsid w:val="46F11B84"/>
    <w:rsid w:val="473241D7"/>
    <w:rsid w:val="475B574C"/>
    <w:rsid w:val="479E6AF9"/>
    <w:rsid w:val="47AD2D46"/>
    <w:rsid w:val="48720553"/>
    <w:rsid w:val="48DB78B8"/>
    <w:rsid w:val="497D66E6"/>
    <w:rsid w:val="49B303BC"/>
    <w:rsid w:val="49DF6A2F"/>
    <w:rsid w:val="4A0812A6"/>
    <w:rsid w:val="4AC26CBC"/>
    <w:rsid w:val="4AC302D8"/>
    <w:rsid w:val="4AD61E0D"/>
    <w:rsid w:val="4AF9063A"/>
    <w:rsid w:val="4B17693A"/>
    <w:rsid w:val="4B214846"/>
    <w:rsid w:val="4B490FD8"/>
    <w:rsid w:val="4C5B5467"/>
    <w:rsid w:val="4C9A1705"/>
    <w:rsid w:val="4C9E6FA4"/>
    <w:rsid w:val="4CB76CA1"/>
    <w:rsid w:val="4CCE69F7"/>
    <w:rsid w:val="4DB9738F"/>
    <w:rsid w:val="4E6E53BB"/>
    <w:rsid w:val="4EE539E1"/>
    <w:rsid w:val="4EE8177B"/>
    <w:rsid w:val="4EFB2EB5"/>
    <w:rsid w:val="4F2F1CD7"/>
    <w:rsid w:val="51023291"/>
    <w:rsid w:val="521708A6"/>
    <w:rsid w:val="521D5026"/>
    <w:rsid w:val="526B17DA"/>
    <w:rsid w:val="52C118CB"/>
    <w:rsid w:val="52D54A7B"/>
    <w:rsid w:val="53463EF1"/>
    <w:rsid w:val="53D77AC9"/>
    <w:rsid w:val="54136627"/>
    <w:rsid w:val="54206589"/>
    <w:rsid w:val="54526777"/>
    <w:rsid w:val="54977258"/>
    <w:rsid w:val="54B6276D"/>
    <w:rsid w:val="554E7F0C"/>
    <w:rsid w:val="56746126"/>
    <w:rsid w:val="571050A0"/>
    <w:rsid w:val="573174F0"/>
    <w:rsid w:val="583D6144"/>
    <w:rsid w:val="58FC1C40"/>
    <w:rsid w:val="595D06E3"/>
    <w:rsid w:val="5963237F"/>
    <w:rsid w:val="59CA3C34"/>
    <w:rsid w:val="5A38734C"/>
    <w:rsid w:val="5B3B1B1D"/>
    <w:rsid w:val="5B4053C2"/>
    <w:rsid w:val="5B9221D6"/>
    <w:rsid w:val="5BAB7FF0"/>
    <w:rsid w:val="5BC74CCB"/>
    <w:rsid w:val="5BE833E4"/>
    <w:rsid w:val="5C2E4B00"/>
    <w:rsid w:val="5C72548C"/>
    <w:rsid w:val="5C844566"/>
    <w:rsid w:val="5C8B76A2"/>
    <w:rsid w:val="5CD642C5"/>
    <w:rsid w:val="5D0E3E30"/>
    <w:rsid w:val="5D370221"/>
    <w:rsid w:val="5DA36B17"/>
    <w:rsid w:val="5E385853"/>
    <w:rsid w:val="5E5158BA"/>
    <w:rsid w:val="5EA7203B"/>
    <w:rsid w:val="5F364CB1"/>
    <w:rsid w:val="5F5024DD"/>
    <w:rsid w:val="60050E13"/>
    <w:rsid w:val="604F32A9"/>
    <w:rsid w:val="607B3EEE"/>
    <w:rsid w:val="60850C84"/>
    <w:rsid w:val="60933B18"/>
    <w:rsid w:val="60A04667"/>
    <w:rsid w:val="60FA6BA5"/>
    <w:rsid w:val="61025BD2"/>
    <w:rsid w:val="619B5F54"/>
    <w:rsid w:val="6271733B"/>
    <w:rsid w:val="63662301"/>
    <w:rsid w:val="63B40C07"/>
    <w:rsid w:val="6421269A"/>
    <w:rsid w:val="648C1E4E"/>
    <w:rsid w:val="649F51FF"/>
    <w:rsid w:val="6603242F"/>
    <w:rsid w:val="666500EC"/>
    <w:rsid w:val="666F63F3"/>
    <w:rsid w:val="66925FCD"/>
    <w:rsid w:val="66990686"/>
    <w:rsid w:val="66B07F62"/>
    <w:rsid w:val="66F66E04"/>
    <w:rsid w:val="67872DBE"/>
    <w:rsid w:val="67B60B07"/>
    <w:rsid w:val="687410CD"/>
    <w:rsid w:val="68B0601C"/>
    <w:rsid w:val="68CF0F35"/>
    <w:rsid w:val="68EA5751"/>
    <w:rsid w:val="693A4129"/>
    <w:rsid w:val="6A8A76FC"/>
    <w:rsid w:val="6B4A57DE"/>
    <w:rsid w:val="6BAF2E2C"/>
    <w:rsid w:val="6BBC2AED"/>
    <w:rsid w:val="6BE32FA2"/>
    <w:rsid w:val="6C761E6A"/>
    <w:rsid w:val="6CFE6582"/>
    <w:rsid w:val="6D6501CF"/>
    <w:rsid w:val="6DE758A3"/>
    <w:rsid w:val="6DF27FD2"/>
    <w:rsid w:val="6EE82061"/>
    <w:rsid w:val="6F0C68C3"/>
    <w:rsid w:val="6F5241A0"/>
    <w:rsid w:val="6FFE1AE2"/>
    <w:rsid w:val="704F233D"/>
    <w:rsid w:val="70A515E0"/>
    <w:rsid w:val="70CA7103"/>
    <w:rsid w:val="711C66C3"/>
    <w:rsid w:val="71DC5CD8"/>
    <w:rsid w:val="7218744B"/>
    <w:rsid w:val="73330363"/>
    <w:rsid w:val="73394AE1"/>
    <w:rsid w:val="734B0C1B"/>
    <w:rsid w:val="73880040"/>
    <w:rsid w:val="73CB435D"/>
    <w:rsid w:val="73FD232E"/>
    <w:rsid w:val="746D6957"/>
    <w:rsid w:val="74E45946"/>
    <w:rsid w:val="751E5F3A"/>
    <w:rsid w:val="75541CF1"/>
    <w:rsid w:val="75616D9B"/>
    <w:rsid w:val="75AB6D3B"/>
    <w:rsid w:val="764F654C"/>
    <w:rsid w:val="76A049B4"/>
    <w:rsid w:val="77290E71"/>
    <w:rsid w:val="772A7A61"/>
    <w:rsid w:val="773F7FD1"/>
    <w:rsid w:val="77D47CF8"/>
    <w:rsid w:val="78085DCA"/>
    <w:rsid w:val="78375DE5"/>
    <w:rsid w:val="784C56AD"/>
    <w:rsid w:val="78536F8A"/>
    <w:rsid w:val="78BB2ED6"/>
    <w:rsid w:val="78F86C42"/>
    <w:rsid w:val="78FF2670"/>
    <w:rsid w:val="791969AA"/>
    <w:rsid w:val="79555155"/>
    <w:rsid w:val="79A63C5D"/>
    <w:rsid w:val="7A4A3F14"/>
    <w:rsid w:val="7A702447"/>
    <w:rsid w:val="7AA03EC1"/>
    <w:rsid w:val="7B453F3C"/>
    <w:rsid w:val="7B5C1B87"/>
    <w:rsid w:val="7C06475F"/>
    <w:rsid w:val="7CB118AC"/>
    <w:rsid w:val="7D094E0F"/>
    <w:rsid w:val="7D4C4BA9"/>
    <w:rsid w:val="7DD763EB"/>
    <w:rsid w:val="7DDA5039"/>
    <w:rsid w:val="7E18013F"/>
    <w:rsid w:val="7E194274"/>
    <w:rsid w:val="7E612BB5"/>
    <w:rsid w:val="7E694F72"/>
    <w:rsid w:val="7EAE7261"/>
    <w:rsid w:val="7F10792A"/>
    <w:rsid w:val="7F5A2B9E"/>
    <w:rsid w:val="7F5C1270"/>
    <w:rsid w:val="7F686F78"/>
    <w:rsid w:val="7F806F63"/>
    <w:rsid w:val="7F9A254A"/>
    <w:rsid w:val="7FAA514B"/>
    <w:rsid w:val="7FD10E31"/>
    <w:rsid w:val="7FEB1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1"/>
    <w:qFormat/>
    <w:uiPriority w:val="0"/>
    <w:pPr>
      <w:keepNext/>
      <w:spacing w:line="340" w:lineRule="exact"/>
      <w:outlineLvl w:val="0"/>
    </w:pPr>
    <w:rPr>
      <w:b/>
      <w:bCs/>
      <w:sz w:val="36"/>
    </w:rPr>
  </w:style>
  <w:style w:type="paragraph" w:styleId="6">
    <w:name w:val="heading 2"/>
    <w:basedOn w:val="1"/>
    <w:next w:val="1"/>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E75B6" w:themeColor="accent1" w:themeShade="BF"/>
      <w:sz w:val="40"/>
      <w:szCs w:val="40"/>
      <w14:ligatures w14:val="standardContextual"/>
    </w:rPr>
  </w:style>
  <w:style w:type="paragraph" w:styleId="4">
    <w:name w:val="heading 4"/>
    <w:basedOn w:val="1"/>
    <w:next w:val="1"/>
    <w:qFormat/>
    <w:uiPriority w:val="0"/>
    <w:pPr>
      <w:keepNext/>
      <w:keepLines/>
      <w:numPr>
        <w:ilvl w:val="3"/>
        <w:numId w:val="1"/>
      </w:numPr>
      <w:tabs>
        <w:tab w:val="clear" w:pos="3420"/>
      </w:tabs>
      <w:spacing w:before="280" w:after="290" w:line="372" w:lineRule="auto"/>
      <w:outlineLvl w:val="3"/>
    </w:pPr>
    <w:rPr>
      <w:rFonts w:ascii="宋体" w:hAnsi="Arial" w:eastAsia="黑体"/>
      <w:b/>
      <w:sz w:val="24"/>
      <w:szCs w:val="20"/>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after="120"/>
      <w:jc w:val="left"/>
    </w:pPr>
    <w:rPr>
      <w:rFonts w:ascii="宋体"/>
      <w:kern w:val="0"/>
      <w:sz w:val="34"/>
      <w:szCs w:val="20"/>
    </w:rPr>
  </w:style>
  <w:style w:type="paragraph" w:styleId="3">
    <w:name w:val="Plain Text"/>
    <w:basedOn w:val="1"/>
    <w:next w:val="4"/>
    <w:qFormat/>
    <w:uiPriority w:val="0"/>
    <w:rPr>
      <w:rFonts w:ascii="宋体" w:hAnsi="Courier New"/>
      <w:szCs w:val="20"/>
    </w:rPr>
  </w:style>
  <w:style w:type="paragraph" w:styleId="7">
    <w:name w:val="Normal Indent"/>
    <w:basedOn w:val="1"/>
    <w:qFormat/>
    <w:uiPriority w:val="0"/>
    <w:pPr>
      <w:ind w:firstLine="420"/>
    </w:pPr>
    <w:rPr>
      <w:szCs w:val="20"/>
    </w:rPr>
  </w:style>
  <w:style w:type="paragraph" w:styleId="8">
    <w:name w:val="annotation text"/>
    <w:basedOn w:val="1"/>
    <w:link w:val="39"/>
    <w:semiHidden/>
    <w:unhideWhenUsed/>
    <w:qFormat/>
    <w:uiPriority w:val="99"/>
    <w:pPr>
      <w:jc w:val="left"/>
    </w:pPr>
  </w:style>
  <w:style w:type="paragraph" w:styleId="9">
    <w:name w:val="Body Text Indent"/>
    <w:basedOn w:val="1"/>
    <w:qFormat/>
    <w:uiPriority w:val="0"/>
    <w:pPr>
      <w:spacing w:line="200" w:lineRule="exact"/>
      <w:ind w:firstLine="301"/>
    </w:pPr>
    <w:rPr>
      <w:rFonts w:ascii="宋体" w:hAnsi="Courier New"/>
      <w:spacing w:val="-4"/>
      <w:sz w:val="18"/>
      <w:szCs w:val="20"/>
    </w:rPr>
  </w:style>
  <w:style w:type="paragraph" w:styleId="10">
    <w:name w:val="Date"/>
    <w:basedOn w:val="1"/>
    <w:next w:val="1"/>
    <w:qFormat/>
    <w:uiPriority w:val="0"/>
    <w:pPr>
      <w:ind w:left="100" w:leftChars="2500"/>
    </w:pPr>
    <w:rPr>
      <w:spacing w:val="30"/>
      <w:sz w:val="28"/>
    </w:rPr>
  </w:style>
  <w:style w:type="paragraph" w:styleId="11">
    <w:name w:val="Balloon Text"/>
    <w:basedOn w:val="1"/>
    <w:link w:val="32"/>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宋体" w:hAnsi="Courier New"/>
      <w:sz w:val="18"/>
      <w:szCs w:val="20"/>
    </w:rPr>
  </w:style>
  <w:style w:type="paragraph" w:styleId="13">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15">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16">
    <w:name w:val="Subtitle"/>
    <w:basedOn w:val="1"/>
    <w:qFormat/>
    <w:uiPriority w:val="0"/>
    <w:pPr>
      <w:spacing w:before="240" w:after="60"/>
      <w:jc w:val="center"/>
      <w:outlineLvl w:val="1"/>
    </w:pPr>
    <w:rPr>
      <w:rFonts w:ascii="Arial" w:hAnsi="Arial" w:eastAsia="微软雅黑"/>
      <w:kern w:val="28"/>
      <w:sz w:val="36"/>
    </w:rPr>
  </w:style>
  <w:style w:type="paragraph" w:styleId="17">
    <w:name w:val="footnote text"/>
    <w:basedOn w:val="1"/>
    <w:semiHidden/>
    <w:unhideWhenUsed/>
    <w:qFormat/>
    <w:uiPriority w:val="99"/>
    <w:pPr>
      <w:snapToGrid w:val="0"/>
      <w:jc w:val="left"/>
    </w:pPr>
    <w:rPr>
      <w:sz w:val="18"/>
    </w:rPr>
  </w:style>
  <w:style w:type="paragraph" w:styleId="18">
    <w:name w:val="Normal (Web)"/>
    <w:basedOn w:val="1"/>
    <w:qFormat/>
    <w:uiPriority w:val="0"/>
    <w:rPr>
      <w:sz w:val="24"/>
    </w:rPr>
  </w:style>
  <w:style w:type="paragraph" w:styleId="19">
    <w:name w:val="index 1"/>
    <w:basedOn w:val="1"/>
    <w:next w:val="1"/>
    <w:qFormat/>
    <w:uiPriority w:val="0"/>
    <w:pPr>
      <w:spacing w:line="360" w:lineRule="exact"/>
      <w:ind w:firstLine="432" w:firstLineChars="240"/>
    </w:pPr>
    <w:rPr>
      <w:rFonts w:ascii="宋体" w:hAnsi="宋体"/>
      <w:bCs/>
      <w:sz w:val="18"/>
      <w:szCs w:val="18"/>
    </w:rPr>
  </w:style>
  <w:style w:type="paragraph" w:styleId="20">
    <w:name w:val="annotation subject"/>
    <w:basedOn w:val="8"/>
    <w:next w:val="8"/>
    <w:link w:val="40"/>
    <w:semiHidden/>
    <w:unhideWhenUsed/>
    <w:qFormat/>
    <w:uiPriority w:val="99"/>
    <w:rPr>
      <w:b/>
      <w:bCs/>
    </w:rPr>
  </w:style>
  <w:style w:type="paragraph" w:styleId="21">
    <w:name w:val="Body Text First Indent"/>
    <w:basedOn w:val="2"/>
    <w:qFormat/>
    <w:uiPriority w:val="0"/>
    <w:pPr>
      <w:snapToGrid w:val="0"/>
      <w:spacing w:line="360" w:lineRule="auto"/>
      <w:ind w:right="240" w:firstLine="420" w:firstLineChars="100"/>
    </w:pPr>
    <w:rPr>
      <w:rFonts w:hAnsi="宋体" w:eastAsia="方正仿宋_GBK"/>
      <w:kern w:val="2"/>
      <w:sz w:val="21"/>
      <w:szCs w:val="28"/>
    </w:rPr>
  </w:style>
  <w:style w:type="paragraph" w:styleId="22">
    <w:name w:val="Body Text First Indent 2"/>
    <w:basedOn w:val="9"/>
    <w:next w:val="2"/>
    <w:qFormat/>
    <w:uiPriority w:val="0"/>
    <w:pPr>
      <w:ind w:firstLine="420" w:firstLineChars="200"/>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rPr>
  </w:style>
  <w:style w:type="character" w:styleId="27">
    <w:name w:val="page number"/>
    <w:qFormat/>
    <w:uiPriority w:val="0"/>
  </w:style>
  <w:style w:type="character" w:styleId="28">
    <w:name w:val="annotation reference"/>
    <w:basedOn w:val="25"/>
    <w:semiHidden/>
    <w:unhideWhenUsed/>
    <w:qFormat/>
    <w:uiPriority w:val="99"/>
    <w:rPr>
      <w:sz w:val="21"/>
      <w:szCs w:val="21"/>
    </w:rPr>
  </w:style>
  <w:style w:type="character" w:styleId="29">
    <w:name w:val="footnote reference"/>
    <w:basedOn w:val="25"/>
    <w:semiHidden/>
    <w:unhideWhenUsed/>
    <w:qFormat/>
    <w:uiPriority w:val="99"/>
    <w:rPr>
      <w:vertAlign w:val="superscript"/>
    </w:rPr>
  </w:style>
  <w:style w:type="paragraph" w:customStyle="1" w:styleId="3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31">
    <w:name w:val="标题 1 Char"/>
    <w:link w:val="5"/>
    <w:qFormat/>
    <w:uiPriority w:val="0"/>
    <w:rPr>
      <w:b/>
      <w:bCs/>
      <w:sz w:val="36"/>
    </w:rPr>
  </w:style>
  <w:style w:type="character" w:customStyle="1" w:styleId="32">
    <w:name w:val="批注框文本 Char"/>
    <w:link w:val="11"/>
    <w:qFormat/>
    <w:uiPriority w:val="0"/>
    <w:rPr>
      <w:kern w:val="2"/>
      <w:sz w:val="18"/>
      <w:szCs w:val="18"/>
    </w:rPr>
  </w:style>
  <w:style w:type="character" w:customStyle="1" w:styleId="33">
    <w:name w:val="NormalCharacter"/>
    <w:qFormat/>
    <w:uiPriority w:val="0"/>
  </w:style>
  <w:style w:type="paragraph" w:customStyle="1" w:styleId="3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35">
    <w:name w:val="表格文字"/>
    <w:basedOn w:val="1"/>
    <w:qFormat/>
    <w:uiPriority w:val="0"/>
    <w:pPr>
      <w:spacing w:before="25" w:after="25"/>
      <w:jc w:val="left"/>
    </w:pPr>
    <w:rPr>
      <w:bCs/>
      <w:spacing w:val="10"/>
      <w:kern w:val="0"/>
      <w:sz w:val="24"/>
    </w:rPr>
  </w:style>
  <w:style w:type="paragraph" w:customStyle="1" w:styleId="36">
    <w:name w:val="Heading4"/>
    <w:basedOn w:val="1"/>
    <w:qFormat/>
    <w:uiPriority w:val="0"/>
    <w:pPr>
      <w:keepNext/>
      <w:keepLines/>
      <w:spacing w:before="280" w:after="290" w:line="372" w:lineRule="auto"/>
      <w:ind w:left="3420" w:hanging="360"/>
    </w:pPr>
    <w:rPr>
      <w:rFonts w:ascii="宋体" w:hAnsi="Arial" w:eastAsia="黑体"/>
      <w:b/>
      <w:sz w:val="24"/>
      <w:szCs w:val="20"/>
    </w:rPr>
  </w:style>
  <w:style w:type="paragraph" w:customStyle="1" w:styleId="37">
    <w:name w:val="Normal_18"/>
    <w:qFormat/>
    <w:uiPriority w:val="0"/>
    <w:pPr>
      <w:spacing w:after="160" w:line="278" w:lineRule="auto"/>
    </w:pPr>
    <w:rPr>
      <w:rFonts w:ascii="Times New Roman" w:hAnsi="Times New Roman" w:eastAsia="Times New Roman" w:cs="Times New Roman"/>
      <w:sz w:val="24"/>
      <w:szCs w:val="24"/>
      <w:lang w:val="en-US" w:eastAsia="zh-CN" w:bidi="ar-SA"/>
    </w:rPr>
  </w:style>
  <w:style w:type="paragraph" w:customStyle="1" w:styleId="38">
    <w:name w:val="paragraph"/>
    <w:basedOn w:val="1"/>
    <w:semiHidden/>
    <w:qFormat/>
    <w:uiPriority w:val="0"/>
    <w:pPr>
      <w:widowControl/>
      <w:spacing w:before="100" w:beforeAutospacing="1" w:after="100" w:afterAutospacing="1"/>
    </w:pPr>
    <w:rPr>
      <w:rFonts w:ascii="等线" w:hAnsi="等线" w:eastAsia="等线"/>
      <w:kern w:val="0"/>
    </w:rPr>
  </w:style>
  <w:style w:type="character" w:customStyle="1" w:styleId="39">
    <w:name w:val="批注文字 Char"/>
    <w:basedOn w:val="25"/>
    <w:link w:val="8"/>
    <w:semiHidden/>
    <w:qFormat/>
    <w:uiPriority w:val="99"/>
    <w:rPr>
      <w:kern w:val="2"/>
      <w:sz w:val="21"/>
      <w:szCs w:val="24"/>
    </w:rPr>
  </w:style>
  <w:style w:type="character" w:customStyle="1" w:styleId="40">
    <w:name w:val="批注主题 Char"/>
    <w:basedOn w:val="39"/>
    <w:link w:val="20"/>
    <w:semiHidden/>
    <w:qFormat/>
    <w:uiPriority w:val="99"/>
    <w:rPr>
      <w:b/>
      <w:bCs/>
      <w:kern w:val="2"/>
      <w:sz w:val="21"/>
      <w:szCs w:val="24"/>
    </w:rPr>
  </w:style>
  <w:style w:type="character" w:customStyle="1" w:styleId="41">
    <w:name w:val="font21"/>
    <w:qFormat/>
    <w:uiPriority w:val="0"/>
    <w:rPr>
      <w:rFonts w:hint="default" w:ascii="Calibri" w:hAnsi="Calibri" w:cs="Calibri"/>
      <w:color w:val="333333"/>
      <w:sz w:val="21"/>
      <w:szCs w:val="21"/>
      <w:u w:val="none"/>
    </w:rPr>
  </w:style>
  <w:style w:type="character" w:customStyle="1" w:styleId="42">
    <w:name w:val="font41"/>
    <w:qFormat/>
    <w:uiPriority w:val="0"/>
    <w:rPr>
      <w:rFonts w:hint="default" w:ascii="Calibri" w:hAnsi="Calibri" w:cs="Calibri"/>
      <w:b/>
      <w:bCs/>
      <w:color w:val="333333"/>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WORKGROUP</Company>
  <Pages>23</Pages>
  <Words>1838</Words>
  <Characters>2061</Characters>
  <Lines>109</Lines>
  <Paragraphs>30</Paragraphs>
  <TotalTime>0</TotalTime>
  <ScaleCrop>false</ScaleCrop>
  <LinksUpToDate>false</LinksUpToDate>
  <CharactersWithSpaces>2113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2025-07-01T09:58:00Z</dcterms:created>
  <dc:creator>黄群玲</dc:creator>
  <cp:lastModifiedBy>盘珊杉</cp:lastModifiedBy>
  <cp:lastPrinted>2026-05-13T00:31:00Z</cp:lastPrinted>
  <dcterms:modified xsi:type="dcterms:W3CDTF">2026-07-08T00:52:21Z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eyJoZGlkIjoiNzBjMDdmZjFjMmJiYmQxMmI0ZWE1NTFmODM0MmUxNDUiLCJ1c2VySWQiOiI3NTUzNTU4NDkifQ==</vt:lpwstr>
  </property>
  <property fmtid="{D5CDD505-2E9C-101B-9397-08002B2CF9AE}" pid="3" name="KSOProductBuildVer">
    <vt:lpwstr>2052-12.1.0.26895</vt:lpwstr>
  </property>
  <property fmtid="{D5CDD505-2E9C-101B-9397-08002B2CF9AE}" pid="4" name="ICV">
    <vt:lpwstr>A426F2A41C484B35B11D4410822F4B56_12</vt:lpwstr>
  </property>
</Properties>
</file>