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83F5F9">
      <w:pPr>
        <w:pStyle w:val="3"/>
        <w:bidi w:val="0"/>
        <w:jc w:val="center"/>
        <w:rPr>
          <w:rFonts w:hint="eastAsia" w:ascii="宋体" w:hAnsi="宋体" w:eastAsia="宋体" w:cs="宋体"/>
          <w:sz w:val="36"/>
          <w:szCs w:val="36"/>
        </w:rPr>
      </w:pPr>
      <w:r>
        <w:rPr>
          <w:rFonts w:hint="eastAsia" w:ascii="宋体" w:hAnsi="宋体" w:eastAsia="宋体" w:cs="宋体"/>
          <w:sz w:val="36"/>
          <w:szCs w:val="36"/>
        </w:rPr>
        <w:t>南宁市卫生学校两校区实训安全规范建设(一期)子项1配套安全设备采购文件</w:t>
      </w:r>
    </w:p>
    <w:p w14:paraId="5D3D41FC">
      <w:pPr>
        <w:spacing w:line="520" w:lineRule="exact"/>
        <w:ind w:firstLine="880"/>
        <w:jc w:val="center"/>
        <w:rPr>
          <w:rFonts w:ascii="宋体" w:hAnsi="宋体" w:eastAsia="宋体"/>
          <w:b/>
          <w:sz w:val="44"/>
          <w:szCs w:val="44"/>
        </w:rPr>
      </w:pPr>
    </w:p>
    <w:p w14:paraId="484720CA">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现对“南宁市卫生学校两校区实训安全规范建设(一期)子项1配套安全设备采购”</w:t>
      </w:r>
      <w:r>
        <w:rPr>
          <w:rFonts w:hint="eastAsia" w:ascii="仿宋" w:hAnsi="仿宋" w:eastAsia="仿宋"/>
          <w:color w:val="000000"/>
          <w:sz w:val="30"/>
          <w:szCs w:val="30"/>
          <w:lang w:val="en-US" w:eastAsia="zh-CN"/>
        </w:rPr>
        <w:t>项目</w:t>
      </w:r>
      <w:r>
        <w:rPr>
          <w:rFonts w:hint="eastAsia" w:ascii="仿宋" w:hAnsi="仿宋" w:eastAsia="仿宋"/>
          <w:color w:val="000000"/>
          <w:sz w:val="30"/>
          <w:szCs w:val="30"/>
        </w:rPr>
        <w:t>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1C68C068">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项目名称：南宁市卫生学校两校区实训安全规范建设(一期)子项1配套安全设备采购</w:t>
      </w:r>
    </w:p>
    <w:p w14:paraId="0769FB6D">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5592DC58">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29140.00</w:t>
      </w:r>
      <w:r>
        <w:rPr>
          <w:rFonts w:hint="eastAsia" w:ascii="仿宋" w:hAnsi="仿宋" w:eastAsia="仿宋"/>
          <w:color w:val="000000"/>
          <w:sz w:val="30"/>
          <w:szCs w:val="30"/>
        </w:rPr>
        <w:t>元</w:t>
      </w:r>
    </w:p>
    <w:p w14:paraId="63A2ACC4">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580C663C">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49C384BD">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 xml:space="preserve"> 7</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 8 </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9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00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2ECB03C6">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64C0AB2C">
      <w:pPr>
        <w:spacing w:line="520" w:lineRule="exact"/>
        <w:ind w:left="5880" w:leftChars="2800"/>
        <w:rPr>
          <w:rFonts w:ascii="仿宋" w:hAnsi="仿宋" w:eastAsia="仿宋"/>
          <w:color w:val="000000"/>
          <w:sz w:val="32"/>
          <w:szCs w:val="32"/>
        </w:rPr>
      </w:pPr>
    </w:p>
    <w:p w14:paraId="14610F03">
      <w:pPr>
        <w:spacing w:line="520" w:lineRule="exact"/>
        <w:ind w:left="5880" w:leftChars="2800"/>
        <w:rPr>
          <w:rFonts w:ascii="仿宋" w:hAnsi="仿宋" w:eastAsia="仿宋"/>
          <w:color w:val="000000"/>
          <w:sz w:val="32"/>
          <w:szCs w:val="32"/>
        </w:rPr>
      </w:pPr>
    </w:p>
    <w:p w14:paraId="3BEFDC5A">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201FD41E">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 6 </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17</w:t>
      </w:r>
      <w:r>
        <w:rPr>
          <w:rFonts w:hint="eastAsia" w:ascii="仿宋" w:hAnsi="仿宋" w:eastAsia="仿宋"/>
          <w:color w:val="000000"/>
          <w:sz w:val="32"/>
          <w:szCs w:val="32"/>
        </w:rPr>
        <w:t>日</w:t>
      </w:r>
    </w:p>
    <w:p w14:paraId="60B8F278">
      <w:pPr>
        <w:pStyle w:val="21"/>
        <w:shd w:val="clear" w:color="auto" w:fill="FFFFFF"/>
        <w:spacing w:before="0" w:beforeAutospacing="0" w:after="0" w:afterAutospacing="0" w:line="760" w:lineRule="exact"/>
        <w:rPr>
          <w:rFonts w:hint="eastAsia" w:ascii="仿宋" w:hAnsi="仿宋" w:eastAsia="仿宋"/>
          <w:bCs/>
          <w:sz w:val="30"/>
          <w:szCs w:val="30"/>
        </w:rPr>
      </w:pPr>
    </w:p>
    <w:p w14:paraId="2AA256D8">
      <w:pPr>
        <w:pStyle w:val="21"/>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55A90E31">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南宁市卫生学校两校区实训安全规范建设(一期)子项1配套安全设备采购</w:t>
      </w:r>
      <w:r>
        <w:rPr>
          <w:rFonts w:hint="eastAsia" w:ascii="宋体" w:hAnsi="宋体" w:eastAsia="宋体"/>
          <w:b/>
          <w:bCs/>
          <w:color w:val="000000"/>
          <w:sz w:val="44"/>
          <w:szCs w:val="44"/>
        </w:rPr>
        <w:t>询价文件</w:t>
      </w:r>
    </w:p>
    <w:p w14:paraId="63BEA94B">
      <w:pPr>
        <w:numPr>
          <w:ilvl w:val="0"/>
          <w:numId w:val="0"/>
        </w:numPr>
        <w:spacing w:line="560" w:lineRule="exact"/>
        <w:jc w:val="left"/>
        <w:rPr>
          <w:rFonts w:hint="eastAsia" w:ascii="仿宋" w:hAnsi="仿宋" w:eastAsia="仿宋"/>
          <w:bCs/>
          <w:color w:val="000000"/>
          <w:sz w:val="32"/>
          <w:szCs w:val="32"/>
        </w:rPr>
      </w:pPr>
    </w:p>
    <w:p w14:paraId="7FD4354E">
      <w:pPr>
        <w:numPr>
          <w:ilvl w:val="0"/>
          <w:numId w:val="2"/>
        </w:numPr>
        <w:spacing w:line="560" w:lineRule="exact"/>
        <w:jc w:val="left"/>
        <w:rPr>
          <w:rFonts w:hint="eastAsia" w:ascii="仿宋" w:hAnsi="仿宋" w:eastAsia="仿宋"/>
          <w:bCs/>
          <w:color w:val="000000"/>
          <w:sz w:val="30"/>
          <w:szCs w:val="30"/>
        </w:rPr>
      </w:pPr>
      <w:r>
        <w:rPr>
          <w:rFonts w:hint="eastAsia" w:ascii="仿宋" w:hAnsi="仿宋" w:eastAsia="仿宋"/>
          <w:bCs/>
          <w:color w:val="000000"/>
          <w:sz w:val="32"/>
          <w:szCs w:val="32"/>
        </w:rPr>
        <w:t>采购项目名称：南宁市卫生学校两校区实训安全规范建设(一期)子项1配套安全设备采购</w:t>
      </w:r>
    </w:p>
    <w:p w14:paraId="7EBC792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29140.00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2ADC69C8">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5"/>
        <w:tblW w:w="97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3"/>
        <w:gridCol w:w="255"/>
        <w:gridCol w:w="657"/>
        <w:gridCol w:w="1253"/>
        <w:gridCol w:w="3126"/>
        <w:gridCol w:w="484"/>
        <w:gridCol w:w="510"/>
        <w:gridCol w:w="795"/>
        <w:gridCol w:w="120"/>
        <w:gridCol w:w="675"/>
        <w:gridCol w:w="1292"/>
      </w:tblGrid>
      <w:tr w14:paraId="18F07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5" w:hRule="atLeast"/>
          <w:jc w:val="center"/>
        </w:trPr>
        <w:tc>
          <w:tcPr>
            <w:tcW w:w="54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72F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序号</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41C257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10160" cy="621665"/>
                  <wp:effectExtent l="0" t="0" r="0" b="0"/>
                  <wp:wrapNone/>
                  <wp:docPr id="402" name="图片_3"/>
                  <wp:cNvGraphicFramePr/>
                  <a:graphic xmlns:a="http://schemas.openxmlformats.org/drawingml/2006/main">
                    <a:graphicData uri="http://schemas.openxmlformats.org/drawingml/2006/picture">
                      <pic:pic xmlns:pic="http://schemas.openxmlformats.org/drawingml/2006/picture">
                        <pic:nvPicPr>
                          <pic:cNvPr id="402" name="图片_3"/>
                          <pic:cNvPicPr/>
                        </pic:nvPicPr>
                        <pic:blipFill>
                          <a:blip r:embed="rId5"/>
                          <a:stretch>
                            <a:fillRect/>
                          </a:stretch>
                        </pic:blipFill>
                        <pic:spPr>
                          <a:xfrm>
                            <a:off x="0" y="0"/>
                            <a:ext cx="10160"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货物名称</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E5F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0</wp:posOffset>
                  </wp:positionH>
                  <wp:positionV relativeFrom="paragraph">
                    <wp:posOffset>0</wp:posOffset>
                  </wp:positionV>
                  <wp:extent cx="10795" cy="621665"/>
                  <wp:effectExtent l="0" t="0" r="0" b="0"/>
                  <wp:wrapNone/>
                  <wp:docPr id="403" name="图片_3_SpCnt_1"/>
                  <wp:cNvGraphicFramePr/>
                  <a:graphic xmlns:a="http://schemas.openxmlformats.org/drawingml/2006/main">
                    <a:graphicData uri="http://schemas.openxmlformats.org/drawingml/2006/picture">
                      <pic:pic xmlns:pic="http://schemas.openxmlformats.org/drawingml/2006/picture">
                        <pic:nvPicPr>
                          <pic:cNvPr id="403" name="图片_3_SpCnt_1"/>
                          <pic:cNvPicPr/>
                        </pic:nvPicPr>
                        <pic:blipFill>
                          <a:blip r:embed="rId6"/>
                          <a:stretch>
                            <a:fillRect/>
                          </a:stretch>
                        </pic:blipFill>
                        <pic:spPr>
                          <a:xfrm>
                            <a:off x="0" y="0"/>
                            <a:ext cx="10795" cy="621665"/>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规格型号</w:t>
            </w:r>
          </w:p>
        </w:tc>
        <w:tc>
          <w:tcPr>
            <w:tcW w:w="4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B716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单位</w:t>
            </w:r>
          </w:p>
        </w:tc>
        <w:tc>
          <w:tcPr>
            <w:tcW w:w="5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C529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数量</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98FB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控制单价</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6B732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lang w:val="en-US" w:eastAsia="zh-CN" w:bidi="ar"/>
              </w:rPr>
              <w:t>金额</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BC4FE3">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配送校区</w:t>
            </w:r>
          </w:p>
        </w:tc>
      </w:tr>
      <w:tr w14:paraId="5D9CBC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8"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B2559FF">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CACD46">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6" name="图片_3"/>
                  <wp:cNvGraphicFramePr/>
                  <a:graphic xmlns:a="http://schemas.openxmlformats.org/drawingml/2006/main">
                    <a:graphicData uri="http://schemas.openxmlformats.org/drawingml/2006/picture">
                      <pic:pic xmlns:pic="http://schemas.openxmlformats.org/drawingml/2006/picture">
                        <pic:nvPicPr>
                          <pic:cNvPr id="416" name="图片_3"/>
                          <pic:cNvPicPr/>
                        </pic:nvPicPr>
                        <pic:blipFill>
                          <a:blip r:embed="rId7"/>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7" name="图片_3_SpCnt_1"/>
                  <wp:cNvGraphicFramePr/>
                  <a:graphic xmlns:a="http://schemas.openxmlformats.org/drawingml/2006/main">
                    <a:graphicData uri="http://schemas.openxmlformats.org/drawingml/2006/picture">
                      <pic:pic xmlns:pic="http://schemas.openxmlformats.org/drawingml/2006/picture">
                        <pic:nvPicPr>
                          <pic:cNvPr id="417" name="图片_3_SpCnt_1"/>
                          <pic:cNvPicPr/>
                        </pic:nvPicPr>
                        <pic:blipFill>
                          <a:blip r:embed="rId8"/>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8" name="图片_4"/>
                  <wp:cNvGraphicFramePr/>
                  <a:graphic xmlns:a="http://schemas.openxmlformats.org/drawingml/2006/main">
                    <a:graphicData uri="http://schemas.openxmlformats.org/drawingml/2006/picture">
                      <pic:pic xmlns:pic="http://schemas.openxmlformats.org/drawingml/2006/picture">
                        <pic:nvPicPr>
                          <pic:cNvPr id="418" name="图片_4"/>
                          <pic:cNvPicPr/>
                        </pic:nvPicPr>
                        <pic:blipFill>
                          <a:blip r:embed="rId9"/>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19" name="图片_4_SpCnt_1"/>
                  <wp:cNvGraphicFramePr/>
                  <a:graphic xmlns:a="http://schemas.openxmlformats.org/drawingml/2006/main">
                    <a:graphicData uri="http://schemas.openxmlformats.org/drawingml/2006/picture">
                      <pic:pic xmlns:pic="http://schemas.openxmlformats.org/drawingml/2006/picture">
                        <pic:nvPicPr>
                          <pic:cNvPr id="419" name="图片_4_SpCnt_1"/>
                          <pic:cNvPicPr/>
                        </pic:nvPicPr>
                        <pic:blipFill>
                          <a:blip r:embed="rId10"/>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0" name="图片_3_SpCnt_2"/>
                  <wp:cNvGraphicFramePr/>
                  <a:graphic xmlns:a="http://schemas.openxmlformats.org/drawingml/2006/main">
                    <a:graphicData uri="http://schemas.openxmlformats.org/drawingml/2006/picture">
                      <pic:pic xmlns:pic="http://schemas.openxmlformats.org/drawingml/2006/picture">
                        <pic:nvPicPr>
                          <pic:cNvPr id="420" name="图片_3_SpCnt_2"/>
                          <pic:cNvPicPr/>
                        </pic:nvPicPr>
                        <pic:blipFill>
                          <a:blip r:embed="rId11"/>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1" name="图片_4_SpCnt_2"/>
                  <wp:cNvGraphicFramePr/>
                  <a:graphic xmlns:a="http://schemas.openxmlformats.org/drawingml/2006/main">
                    <a:graphicData uri="http://schemas.openxmlformats.org/drawingml/2006/picture">
                      <pic:pic xmlns:pic="http://schemas.openxmlformats.org/drawingml/2006/picture">
                        <pic:nvPicPr>
                          <pic:cNvPr id="421" name="图片_4_SpCnt_2"/>
                          <pic:cNvPicPr/>
                        </pic:nvPicPr>
                        <pic:blipFill>
                          <a:blip r:embed="rId12"/>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2" name="图片_3_SpCnt_3"/>
                  <wp:cNvGraphicFramePr/>
                  <a:graphic xmlns:a="http://schemas.openxmlformats.org/drawingml/2006/main">
                    <a:graphicData uri="http://schemas.openxmlformats.org/drawingml/2006/picture">
                      <pic:pic xmlns:pic="http://schemas.openxmlformats.org/drawingml/2006/picture">
                        <pic:nvPicPr>
                          <pic:cNvPr id="422" name="图片_3_SpCnt_3"/>
                          <pic:cNvPicPr/>
                        </pic:nvPicPr>
                        <pic:blipFill>
                          <a:blip r:embed="rId13"/>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10160" cy="612140"/>
                  <wp:effectExtent l="0" t="0" r="0" b="0"/>
                  <wp:wrapNone/>
                  <wp:docPr id="423" name="图片_4_SpCnt_3"/>
                  <wp:cNvGraphicFramePr/>
                  <a:graphic xmlns:a="http://schemas.openxmlformats.org/drawingml/2006/main">
                    <a:graphicData uri="http://schemas.openxmlformats.org/drawingml/2006/picture">
                      <pic:pic xmlns:pic="http://schemas.openxmlformats.org/drawingml/2006/picture">
                        <pic:nvPicPr>
                          <pic:cNvPr id="423" name="图片_4_SpCnt_3"/>
                          <pic:cNvPicPr/>
                        </pic:nvPicPr>
                        <pic:blipFill>
                          <a:blip r:embed="rId13"/>
                          <a:stretch>
                            <a:fillRect/>
                          </a:stretch>
                        </pic:blipFill>
                        <pic:spPr>
                          <a:xfrm>
                            <a:off x="0" y="0"/>
                            <a:ext cx="10160"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急救药箱（含物资）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BC2B23">
            <w:pPr>
              <w:keepNext w:val="0"/>
              <w:keepLines w:val="0"/>
              <w:pageBreakBefore w:val="0"/>
              <w:widowControl/>
              <w:suppressLineNumbers w:val="0"/>
              <w:kinsoku/>
              <w:wordWrap w:val="0"/>
              <w:overflowPunct/>
              <w:topLinePunct w:val="0"/>
              <w:autoSpaceDE/>
              <w:autoSpaceDN/>
              <w:bidi w:val="0"/>
              <w:adjustRightInd/>
              <w:spacing w:after="180" w:afterAutospacing="0"/>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4" name="图片_3_SpCnt_4"/>
                  <wp:cNvGraphicFramePr/>
                  <a:graphic xmlns:a="http://schemas.openxmlformats.org/drawingml/2006/main">
                    <a:graphicData uri="http://schemas.openxmlformats.org/drawingml/2006/picture">
                      <pic:pic xmlns:pic="http://schemas.openxmlformats.org/drawingml/2006/picture">
                        <pic:nvPicPr>
                          <pic:cNvPr id="424" name="图片_3_SpCnt_4"/>
                          <pic:cNvPicPr/>
                        </pic:nvPicPr>
                        <pic:blipFill>
                          <a:blip r:embed="rId14"/>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5" name="图片_3_SpCnt_5"/>
                  <wp:cNvGraphicFramePr/>
                  <a:graphic xmlns:a="http://schemas.openxmlformats.org/drawingml/2006/main">
                    <a:graphicData uri="http://schemas.openxmlformats.org/drawingml/2006/picture">
                      <pic:pic xmlns:pic="http://schemas.openxmlformats.org/drawingml/2006/picture">
                        <pic:nvPicPr>
                          <pic:cNvPr id="425" name="图片_3_SpCnt_5"/>
                          <pic:cNvPicPr/>
                        </pic:nvPicPr>
                        <pic:blipFill>
                          <a:blip r:embed="rId15"/>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6" name="图片_4_SpCnt_4"/>
                  <wp:cNvGraphicFramePr/>
                  <a:graphic xmlns:a="http://schemas.openxmlformats.org/drawingml/2006/main">
                    <a:graphicData uri="http://schemas.openxmlformats.org/drawingml/2006/picture">
                      <pic:pic xmlns:pic="http://schemas.openxmlformats.org/drawingml/2006/picture">
                        <pic:nvPicPr>
                          <pic:cNvPr id="426" name="图片_4_SpCnt_4"/>
                          <pic:cNvPicPr/>
                        </pic:nvPicPr>
                        <pic:blipFill>
                          <a:blip r:embed="rId16"/>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7" name="图片_4_SpCnt_5"/>
                  <wp:cNvGraphicFramePr/>
                  <a:graphic xmlns:a="http://schemas.openxmlformats.org/drawingml/2006/main">
                    <a:graphicData uri="http://schemas.openxmlformats.org/drawingml/2006/picture">
                      <pic:pic xmlns:pic="http://schemas.openxmlformats.org/drawingml/2006/picture">
                        <pic:nvPicPr>
                          <pic:cNvPr id="427" name="图片_4_SpCnt_5"/>
                          <pic:cNvPicPr/>
                        </pic:nvPicPr>
                        <pic:blipFill>
                          <a:blip r:embed="rId17"/>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8" name="图片_3_SpCnt_6"/>
                  <wp:cNvGraphicFramePr/>
                  <a:graphic xmlns:a="http://schemas.openxmlformats.org/drawingml/2006/main">
                    <a:graphicData uri="http://schemas.openxmlformats.org/drawingml/2006/picture">
                      <pic:pic xmlns:pic="http://schemas.openxmlformats.org/drawingml/2006/picture">
                        <pic:nvPicPr>
                          <pic:cNvPr id="428" name="图片_3_SpCnt_6"/>
                          <pic:cNvPicPr/>
                        </pic:nvPicPr>
                        <pic:blipFill>
                          <a:blip r:embed="rId18"/>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29" name="图片_4_SpCnt_6"/>
                  <wp:cNvGraphicFramePr/>
                  <a:graphic xmlns:a="http://schemas.openxmlformats.org/drawingml/2006/main">
                    <a:graphicData uri="http://schemas.openxmlformats.org/drawingml/2006/picture">
                      <pic:pic xmlns:pic="http://schemas.openxmlformats.org/drawingml/2006/picture">
                        <pic:nvPicPr>
                          <pic:cNvPr id="429" name="图片_4_SpCnt_6"/>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0" name="图片_4_SpCnt_7"/>
                  <wp:cNvGraphicFramePr/>
                  <a:graphic xmlns:a="http://schemas.openxmlformats.org/drawingml/2006/main">
                    <a:graphicData uri="http://schemas.openxmlformats.org/drawingml/2006/picture">
                      <pic:pic xmlns:pic="http://schemas.openxmlformats.org/drawingml/2006/picture">
                        <pic:nvPicPr>
                          <pic:cNvPr id="430" name="图片_4_SpCnt_7"/>
                          <pic:cNvPicPr/>
                        </pic:nvPicPr>
                        <pic:blipFill>
                          <a:blip r:embed="rId19"/>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0</wp:posOffset>
                  </wp:positionH>
                  <wp:positionV relativeFrom="paragraph">
                    <wp:posOffset>0</wp:posOffset>
                  </wp:positionV>
                  <wp:extent cx="10795" cy="612140"/>
                  <wp:effectExtent l="0" t="0" r="0" b="0"/>
                  <wp:wrapNone/>
                  <wp:docPr id="431" name="图片_3_SpCnt_7"/>
                  <wp:cNvGraphicFramePr/>
                  <a:graphic xmlns:a="http://schemas.openxmlformats.org/drawingml/2006/main">
                    <a:graphicData uri="http://schemas.openxmlformats.org/drawingml/2006/picture">
                      <pic:pic xmlns:pic="http://schemas.openxmlformats.org/drawingml/2006/picture">
                        <pic:nvPicPr>
                          <pic:cNvPr id="431" name="图片_3_SpCnt_7"/>
                          <pic:cNvPicPr/>
                        </pic:nvPicPr>
                        <pic:blipFill>
                          <a:blip r:embed="rId18"/>
                          <a:stretch>
                            <a:fillRect/>
                          </a:stretch>
                        </pic:blipFill>
                        <pic:spPr>
                          <a:xfrm>
                            <a:off x="0" y="0"/>
                            <a:ext cx="10795" cy="61214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1、规格：35cm×34cm×15cm，可挂壁、可手提。</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2、材质：箱体高强度铝合金边框、铝合金拉铆钉固定，坚固耐用，正面用透明有机玻璃，内部分层、分格设计（内部分层≥2层）。</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 xml:space="preserve">3、含医用级别物资：碘伏消毒液棉棒≥60支 、酒精棉片 ≥10片（6*6cm） 、碘伏棉球≥ 1瓶(≥25粒) 、酒精棉球≥ 1瓶(≥25粒) 、医用脱脂棉球≥2袋（≥20粒） 、过氧化氢消毒液≥1瓶（≥50ml） 、含酒精杀菌清洁食用级湿巾≥1包（≥50片/包） 、卡扣式止血带≥1条（2.5cm*40cm）、 止血海绵≥1包(≥20片) 、防水型创口贴≥30片（23*70mm） 、防水型无菌敷贴≥5片（≥6*7CM） 、医用纱布叠片≥5片（≥6*7cm）、弹力绷带≥3卷(≥5*450cm) 、弹力帽≥1个 (L码)、自粘弹性绷带≥1卷 （≥5*450cm）、三角绷带≥1包 （96*96*136cm）、医用透气胶带≥2卷（≥1.25*450CM） 、安全别针≥10枚(长3.8cm)、敷料镊子≥1把（不锈钢材质、12.5CM） 、圆头剪刀≥1把（不锈钢，12cm） 、一次性CPR屏障消毒面度≥1盒（≥50片/盒，300mm*200mm） 、一次性使用医用橡胶检查手套≥3副 （灭菌级、6.5号、7号、7.5号各1副）、医用冰袋≥2袋 （大号1个：≥13*23cm、小号1个：9.5*18.5cm）、医用退热贴≥1贴 (10贴/盒，≥50*120mm)、医用烧伤敷料（烫伤膏）≥1支（≥20g） 、高频救生哨≥1个、LED手电筒（含电池）≥1个 、急救手册 1本 、配置清单 1张 </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D9B38">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0CDA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6CF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400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4F249">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16000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73AF05">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相思湖校区30套、黎塘校区10套</w:t>
            </w:r>
          </w:p>
        </w:tc>
      </w:tr>
      <w:tr w14:paraId="65968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07E292B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1E88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8" name="图片_3_SpCnt_10"/>
                  <wp:cNvGraphicFramePr/>
                  <a:graphic xmlns:a="http://schemas.openxmlformats.org/drawingml/2006/main">
                    <a:graphicData uri="http://schemas.openxmlformats.org/drawingml/2006/picture">
                      <pic:pic xmlns:pic="http://schemas.openxmlformats.org/drawingml/2006/picture">
                        <pic:nvPicPr>
                          <pic:cNvPr id="438" name="图片_3_SpCnt_10"/>
                          <pic:cNvPicPr/>
                        </pic:nvPicPr>
                        <pic:blipFill>
                          <a:blip r:embed="rId20"/>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0</wp:posOffset>
                  </wp:positionH>
                  <wp:positionV relativeFrom="paragraph">
                    <wp:posOffset>0</wp:posOffset>
                  </wp:positionV>
                  <wp:extent cx="10160" cy="1964690"/>
                  <wp:effectExtent l="0" t="0" r="0" b="0"/>
                  <wp:wrapNone/>
                  <wp:docPr id="439" name="图片_2"/>
                  <wp:cNvGraphicFramePr/>
                  <a:graphic xmlns:a="http://schemas.openxmlformats.org/drawingml/2006/main">
                    <a:graphicData uri="http://schemas.openxmlformats.org/drawingml/2006/picture">
                      <pic:pic xmlns:pic="http://schemas.openxmlformats.org/drawingml/2006/picture">
                        <pic:nvPicPr>
                          <pic:cNvPr id="439" name="图片_2"/>
                          <pic:cNvPicPr/>
                        </pic:nvPicPr>
                        <pic:blipFill>
                          <a:blip r:embed="rId21"/>
                          <a:stretch>
                            <a:fillRect/>
                          </a:stretch>
                        </pic:blipFill>
                        <pic:spPr>
                          <a:xfrm>
                            <a:off x="0" y="0"/>
                            <a:ext cx="10160" cy="1964690"/>
                          </a:xfrm>
                          <a:prstGeom prst="rect">
                            <a:avLst/>
                          </a:prstGeom>
                          <a:noFill/>
                          <a:ln>
                            <a:noFill/>
                          </a:ln>
                        </pic:spPr>
                      </pic:pic>
                    </a:graphicData>
                  </a:graphic>
                </wp:anchor>
              </w:drawing>
            </w:r>
            <w:r>
              <w:rPr>
                <w:rFonts w:hint="eastAsia" w:ascii="仿宋" w:hAnsi="仿宋" w:eastAsia="仿宋" w:cs="仿宋"/>
                <w:i w:val="0"/>
                <w:iCs w:val="0"/>
                <w:color w:val="000000"/>
                <w:kern w:val="0"/>
                <w:sz w:val="24"/>
                <w:szCs w:val="24"/>
                <w:u w:val="none"/>
                <w:lang w:val="en-US" w:eastAsia="zh-CN" w:bidi="ar"/>
              </w:rPr>
              <w:t>移动式应急推车（含物资）</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EB7508">
            <w:pPr>
              <w:keepNext w:val="0"/>
              <w:keepLines w:val="0"/>
              <w:pageBreakBefore w:val="0"/>
              <w:widowControl/>
              <w:numPr>
                <w:ilvl w:val="0"/>
                <w:numId w:val="3"/>
              </w:numPr>
              <w:suppressLineNumbers w:val="0"/>
              <w:kinsoku/>
              <w:wordWrap w:val="0"/>
              <w:overflowPunct/>
              <w:topLinePunct w:val="0"/>
              <w:autoSpaceDE/>
              <w:autoSpaceDN/>
              <w:bidi w:val="0"/>
              <w:adjustRightInd/>
              <w:jc w:val="left"/>
              <w:textAlignment w:val="center"/>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材质：PE材质。</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2.尺寸为：105*50*50cm。</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3.移动式化学品应急推车也叫作化学品泄漏应急箱，防化推车等。主要是针对油品化学品泄漏应急和泄漏后的清理所配备的快速应急产品。</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4.推车分为三层。</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5.提供适用化学品等泄漏的应急安全处置流程及图表资料、实验室安全操作相关资料扫描件；</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6.柜体张贴安全自主学习二维码，手机扫码进入，可以查看学习查看安全应急演练全过程视频，包含“人员自救、应急响应、应急处置、应急恢复、整改落实”等安全应急知识，并具备安全考核功能，提升使用人员安全技能。</w:t>
            </w:r>
            <w:r>
              <w:rPr>
                <w:rFonts w:hint="eastAsia" w:ascii="仿宋" w:hAnsi="仿宋" w:eastAsia="仿宋" w:cs="仿宋"/>
                <w:sz w:val="24"/>
                <w:szCs w:val="24"/>
                <w:lang w:val="en-US" w:eastAsia="zh-CN"/>
              </w:rPr>
              <w:br w:type="textWrapping"/>
            </w:r>
            <w:r>
              <w:rPr>
                <w:rFonts w:hint="eastAsia" w:ascii="仿宋" w:hAnsi="仿宋" w:eastAsia="仿宋" w:cs="仿宋"/>
                <w:sz w:val="24"/>
                <w:szCs w:val="24"/>
                <w:lang w:val="en-US" w:eastAsia="zh-CN"/>
              </w:rPr>
              <w:t>7.内含物资包括：（1）防化防雾护目镜≥2副、（2）防护面屏≥2个、（3）防毒半面具≥2个、（4）滤毒盒（防酸性及有机气体）≥4个、（5）滤棉（阻挡大部分固、（6）液态颗粒）≥4片、（7）滤棉盖（固定滤棉）≥4个、（8）黄黑胶带（警示胶带，颜色：黄黑）≥2卷、（9）防化手套（氯丁橡胶防化手套，厚度：0.72mm 长度：33/41cm 颜色：黑色）≥2副、（10）防护手套（一次性丁腈手套）≥10副、（11）防化服（黄色防护服，防有机及腐蚀性化学品）≥2套、（12）防化靴≥2双、（13）防化学吸附垫≥5片、（14）吸附枕≥3个、（15）防化学吸污条≥3条、（16）防静电簸箕和刷子（防静电耐腐蚀的材料组成，便于清理化学泄漏品。）≥1套、（17）夹钳（用于清理化学泄漏，防止人直接接触化学品。）≥2把、（18）化学废弃物袋（防化垃圾袋，颜色：黄色）≥4个、（19）防护用品暂存袋（用于存储使用后的防护用品，颜色：白色）≥4个、（20）中和吸附剂（用于中和及吸附化学残留液）≥1瓶、（21）试纸（用于测定 pH 值）≥1包、（22）扎条（用于泄漏物存储带的密封）≥1包</w:t>
            </w:r>
          </w:p>
          <w:p w14:paraId="25FE0849">
            <w:pPr>
              <w:keepNext w:val="0"/>
              <w:keepLines w:val="0"/>
              <w:pageBreakBefore w:val="0"/>
              <w:widowControl/>
              <w:numPr>
                <w:ilvl w:val="0"/>
                <w:numId w:val="0"/>
              </w:numPr>
              <w:suppressLineNumbers w:val="0"/>
              <w:kinsoku/>
              <w:wordWrap w:val="0"/>
              <w:overflowPunct/>
              <w:topLinePunct w:val="0"/>
              <w:autoSpaceDE/>
              <w:autoSpaceDN/>
              <w:bidi w:val="0"/>
              <w:adjustRightInd/>
              <w:jc w:val="left"/>
              <w:textAlignment w:val="center"/>
              <w:rPr>
                <w:rFonts w:hint="eastAsia"/>
                <w:lang w:val="en-US" w:eastAsia="zh-CN"/>
              </w:rPr>
            </w:pPr>
            <w:r>
              <w:rPr>
                <w:rFonts w:hint="eastAsia" w:ascii="仿宋" w:hAnsi="仿宋" w:eastAsia="仿宋" w:cs="仿宋"/>
                <w:b w:val="0"/>
                <w:bCs/>
                <w:i w:val="0"/>
                <w:iCs w:val="0"/>
                <w:color w:val="000000"/>
                <w:kern w:val="0"/>
                <w:sz w:val="21"/>
                <w:szCs w:val="21"/>
                <w:u w:val="none"/>
                <w:lang w:val="en-US" w:eastAsia="zh-CN" w:bidi="ar"/>
              </w:rPr>
              <w:t>（移动式应急推车配备物资各项详细参数见附件：移动式应急推车配制物资各项详细参数）</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9EA1C">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套</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FECF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E612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678E2E">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4740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BB302E">
            <w:pPr>
              <w:keepNext w:val="0"/>
              <w:keepLines w:val="0"/>
              <w:pageBreakBefore w:val="0"/>
              <w:widowControl/>
              <w:suppressLineNumbers w:val="0"/>
              <w:kinsoku/>
              <w:wordWrap w:val="0"/>
              <w:overflowPunct/>
              <w:topLinePunct w:val="0"/>
              <w:autoSpaceDE/>
              <w:autoSpaceDN/>
              <w:bidi w:val="0"/>
              <w:adjustRightInd/>
              <w:jc w:val="center"/>
              <w:textAlignment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w:t>
            </w:r>
          </w:p>
          <w:p w14:paraId="5AEC84C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p>
        </w:tc>
      </w:tr>
      <w:tr w14:paraId="3A8E8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jc w:val="center"/>
        </w:trPr>
        <w:tc>
          <w:tcPr>
            <w:tcW w:w="543" w:type="dxa"/>
            <w:tcBorders>
              <w:top w:val="single" w:color="000000" w:sz="4" w:space="0"/>
              <w:left w:val="single" w:color="auto" w:sz="4" w:space="0"/>
              <w:bottom w:val="single" w:color="000000" w:sz="4" w:space="0"/>
              <w:right w:val="single" w:color="000000" w:sz="4" w:space="0"/>
            </w:tcBorders>
            <w:shd w:val="clear" w:color="auto" w:fill="auto"/>
            <w:noWrap/>
            <w:vAlign w:val="center"/>
          </w:tcPr>
          <w:p w14:paraId="66A1EA65">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3</w:t>
            </w:r>
          </w:p>
        </w:tc>
        <w:tc>
          <w:tcPr>
            <w:tcW w:w="91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3D8122">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礼仪镜</w:t>
            </w:r>
          </w:p>
        </w:tc>
        <w:tc>
          <w:tcPr>
            <w:tcW w:w="4379"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C13E53">
            <w:pPr>
              <w:keepNext w:val="0"/>
              <w:keepLines w:val="0"/>
              <w:pageBreakBefore w:val="0"/>
              <w:widowControl/>
              <w:suppressLineNumbers w:val="0"/>
              <w:kinsoku/>
              <w:wordWrap w:val="0"/>
              <w:overflowPunct/>
              <w:topLinePunct w:val="0"/>
              <w:autoSpaceDE/>
              <w:autoSpaceDN/>
              <w:bidi w:val="0"/>
              <w:adjustRightInd/>
              <w:jc w:val="left"/>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1、规格：0.6m×1.1m。</w:t>
            </w:r>
            <w:r>
              <w:rPr>
                <w:rFonts w:hint="eastAsia" w:ascii="仿宋" w:hAnsi="仿宋" w:eastAsia="仿宋" w:cs="仿宋"/>
                <w:i w:val="0"/>
                <w:iCs w:val="0"/>
                <w:color w:val="000000"/>
                <w:kern w:val="0"/>
                <w:sz w:val="24"/>
                <w:szCs w:val="24"/>
                <w:u w:val="none"/>
                <w:lang w:val="en-US" w:eastAsia="zh-CN" w:bidi="ar"/>
              </w:rPr>
              <w:br w:type="textWrapping"/>
            </w:r>
            <w:r>
              <w:rPr>
                <w:rFonts w:hint="eastAsia" w:ascii="仿宋" w:hAnsi="仿宋" w:eastAsia="仿宋" w:cs="仿宋"/>
                <w:i w:val="0"/>
                <w:iCs w:val="0"/>
                <w:color w:val="000000"/>
                <w:kern w:val="0"/>
                <w:sz w:val="24"/>
                <w:szCs w:val="24"/>
                <w:u w:val="none"/>
                <w:lang w:val="en-US" w:eastAsia="zh-CN" w:bidi="ar"/>
              </w:rPr>
              <w:t>2、根据学校风格制作、含安装、售后等服务。</w:t>
            </w:r>
          </w:p>
        </w:tc>
        <w:tc>
          <w:tcPr>
            <w:tcW w:w="48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45084">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张</w:t>
            </w:r>
          </w:p>
        </w:tc>
        <w:tc>
          <w:tcPr>
            <w:tcW w:w="5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026A">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20</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98371">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420</w:t>
            </w:r>
          </w:p>
        </w:tc>
        <w:tc>
          <w:tcPr>
            <w:tcW w:w="79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5A96D">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8400</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BB7B9">
            <w:pPr>
              <w:keepNext w:val="0"/>
              <w:keepLines w:val="0"/>
              <w:pageBreakBefore w:val="0"/>
              <w:kinsoku/>
              <w:wordWrap w:val="0"/>
              <w:overflowPunct/>
              <w:topLinePunct w:val="0"/>
              <w:autoSpaceDE/>
              <w:autoSpaceDN/>
              <w:bidi w:val="0"/>
              <w:adjustRightInd/>
              <w:jc w:val="center"/>
              <w:rPr>
                <w:rFonts w:hint="default"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4"/>
                <w:szCs w:val="24"/>
                <w:u w:val="none"/>
                <w:lang w:val="en-US" w:eastAsia="zh-CN" w:bidi="ar"/>
              </w:rPr>
              <w:t>相思湖校区15张、黎塘校区5张</w:t>
            </w:r>
          </w:p>
        </w:tc>
      </w:tr>
      <w:tr w14:paraId="517C6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8418" w:type="dxa"/>
            <w:gridSpan w:val="10"/>
            <w:tcBorders>
              <w:top w:val="single" w:color="auto" w:sz="4" w:space="0"/>
              <w:left w:val="single" w:color="000000" w:sz="4" w:space="0"/>
              <w:bottom w:val="single" w:color="auto" w:sz="4" w:space="0"/>
              <w:right w:val="single" w:color="000000" w:sz="4" w:space="0"/>
            </w:tcBorders>
            <w:shd w:val="clear" w:color="auto" w:fill="auto"/>
            <w:noWrap/>
            <w:vAlign w:val="center"/>
          </w:tcPr>
          <w:p w14:paraId="39BE9CA7">
            <w:pPr>
              <w:keepNext w:val="0"/>
              <w:keepLines w:val="0"/>
              <w:pageBreakBefore w:val="0"/>
              <w:widowControl/>
              <w:suppressLineNumbers w:val="0"/>
              <w:kinsoku/>
              <w:wordWrap w:val="0"/>
              <w:overflowPunct/>
              <w:topLinePunct w:val="0"/>
              <w:autoSpaceDE/>
              <w:autoSpaceDN/>
              <w:bidi w:val="0"/>
              <w:adjustRightInd/>
              <w:jc w:val="center"/>
              <w:textAlignment w:val="center"/>
              <w:rPr>
                <w:rFonts w:hint="eastAsia" w:ascii="仿宋" w:hAnsi="仿宋" w:eastAsia="仿宋" w:cs="仿宋"/>
                <w:b/>
                <w:bCs/>
                <w:i w:val="0"/>
                <w:iCs w:val="0"/>
                <w:color w:val="000000"/>
                <w:sz w:val="24"/>
                <w:szCs w:val="24"/>
                <w:u w:val="none"/>
              </w:rPr>
            </w:pPr>
            <w:r>
              <w:rPr>
                <w:rFonts w:hint="eastAsia" w:ascii="仿宋" w:hAnsi="仿宋" w:eastAsia="仿宋" w:cs="仿宋"/>
                <w:b/>
                <w:bCs/>
                <w:i w:val="0"/>
                <w:iCs w:val="0"/>
                <w:color w:val="000000"/>
                <w:kern w:val="0"/>
                <w:sz w:val="24"/>
                <w:szCs w:val="24"/>
                <w:u w:val="none"/>
                <w:lang w:val="en-US" w:eastAsia="zh-CN" w:bidi="ar"/>
              </w:rPr>
              <w:t>合计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B2B12">
            <w:pPr>
              <w:keepNext w:val="0"/>
              <w:keepLines w:val="0"/>
              <w:pageBreakBefore w:val="0"/>
              <w:widowControl/>
              <w:suppressLineNumbers w:val="0"/>
              <w:kinsoku/>
              <w:wordWrap w:val="0"/>
              <w:overflowPunct/>
              <w:topLinePunct w:val="0"/>
              <w:autoSpaceDE/>
              <w:autoSpaceDN/>
              <w:bidi w:val="0"/>
              <w:adjustRightInd/>
              <w:jc w:val="right"/>
              <w:textAlignment w:val="center"/>
              <w:rPr>
                <w:rFonts w:hint="eastAsia" w:ascii="仿宋" w:hAnsi="仿宋" w:eastAsia="仿宋" w:cs="仿宋"/>
                <w:b/>
                <w:bCs/>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29140.00</w:t>
            </w:r>
          </w:p>
        </w:tc>
      </w:tr>
      <w:tr w14:paraId="065749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9710" w:type="dxa"/>
            <w:gridSpan w:val="11"/>
            <w:tcBorders>
              <w:top w:val="single" w:color="auto" w:sz="4" w:space="0"/>
              <w:left w:val="single" w:color="000000" w:sz="4" w:space="0"/>
              <w:bottom w:val="single" w:color="000000" w:sz="4" w:space="0"/>
              <w:right w:val="single" w:color="000000" w:sz="4" w:space="0"/>
            </w:tcBorders>
            <w:shd w:val="clear" w:color="auto" w:fill="auto"/>
            <w:noWrap/>
            <w:vAlign w:val="center"/>
          </w:tcPr>
          <w:p w14:paraId="44E27328">
            <w:pPr>
              <w:keepNext w:val="0"/>
              <w:keepLines w:val="0"/>
              <w:widowControl/>
              <w:suppressLineNumbers w:val="0"/>
              <w:jc w:val="center"/>
              <w:textAlignment w:val="center"/>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b/>
                <w:bCs/>
                <w:i w:val="0"/>
                <w:iCs w:val="0"/>
                <w:color w:val="000000"/>
                <w:kern w:val="0"/>
                <w:sz w:val="24"/>
                <w:szCs w:val="24"/>
                <w:u w:val="none"/>
                <w:lang w:val="en-US" w:eastAsia="zh-CN" w:bidi="ar"/>
              </w:rPr>
              <w:t>附件：移动式应急推车配制物资各项详细参数</w:t>
            </w:r>
          </w:p>
        </w:tc>
      </w:tr>
      <w:tr w14:paraId="2FF9E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C187799">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序号</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70D42">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货物名称</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59F1F3">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规格型号</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B3DF1">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单位</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39DF7">
            <w:pPr>
              <w:keepNext w:val="0"/>
              <w:keepLines w:val="0"/>
              <w:widowControl/>
              <w:suppressLineNumbers w:val="0"/>
              <w:jc w:val="center"/>
              <w:textAlignment w:val="center"/>
              <w:rPr>
                <w:rFonts w:hint="eastAsia" w:ascii="仿宋" w:hAnsi="仿宋" w:eastAsia="仿宋" w:cs="仿宋"/>
                <w:i w:val="0"/>
                <w:iCs w:val="0"/>
                <w:color w:val="000000"/>
                <w:kern w:val="2"/>
                <w:sz w:val="24"/>
                <w:szCs w:val="24"/>
                <w:u w:val="none"/>
                <w:lang w:val="en-US" w:eastAsia="zh-CN" w:bidi="ar-SA"/>
              </w:rPr>
            </w:pPr>
            <w:r>
              <w:rPr>
                <w:rFonts w:hint="eastAsia" w:ascii="仿宋" w:hAnsi="仿宋" w:eastAsia="仿宋" w:cs="仿宋"/>
                <w:i w:val="0"/>
                <w:iCs w:val="0"/>
                <w:color w:val="000000"/>
                <w:kern w:val="0"/>
                <w:sz w:val="24"/>
                <w:szCs w:val="24"/>
                <w:u w:val="none"/>
                <w:lang w:val="en-US" w:eastAsia="zh-CN" w:bidi="ar"/>
              </w:rPr>
              <w:t>数量</w:t>
            </w:r>
          </w:p>
        </w:tc>
      </w:tr>
      <w:tr w14:paraId="59A75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B81783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F2F2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防化防雾护目镜</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849871">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1、符合亚洲人脸型设计</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2、防雾、防刮擦、防冲击、防化学品飞溅等</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3、镜框密封圈间接通风孔设计，弧形大视野镜片，镜片透明色</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4、可调节式头戴，多角度旋转头带接口</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5、与矫正眼镜和半面具搭配使用。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F13EA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DFB2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1F2E3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B123F0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3E7A6F">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防化面屏</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BF8BE17">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1、PC防冲击面屏角度可调节；</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2、头箍的大小松紧可调；</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3、全面屏防护，防止试验中的颗粒物和液体飞溅，喷溅、金属熔融物、热固体的喷溅和撞击，更好的保护脸面部。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4、厚度:2MM; 净重:260g</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101F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74BF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57962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ED247B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07E3D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防毒半面具</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D3F4F5E">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1、橡胶材质，舒适耐用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2、卡扣式装配设计，滤毒盒和滤棉安装拆卸更方便快捷，适合长期佩戴，便于清洁维护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1BFBF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998A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267197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21CE86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599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滤毒盒</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522789">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防有机蒸汽、氯气、二氧化氯、氯化氢、二氧化硫、氟化氢、硫化氢、氨气、甲胺、甲醛</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196FF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0248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0151F3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168DC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43E3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26EC3">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过滤各类非</w:t>
            </w:r>
            <w:r>
              <w:rPr>
                <w:rFonts w:hint="eastAsia" w:ascii="仿宋" w:hAnsi="仿宋" w:eastAsia="仿宋" w:cs="仿宋"/>
                <w:i w:val="0"/>
                <w:iCs w:val="0"/>
                <w:color w:val="000000"/>
                <w:kern w:val="0"/>
                <w:sz w:val="24"/>
                <w:szCs w:val="24"/>
                <w:u w:val="none"/>
                <w:lang w:val="en-US" w:eastAsia="zh-CN" w:bidi="ar"/>
              </w:rPr>
              <w:t>油性</w:t>
            </w:r>
            <w:r>
              <w:rPr>
                <w:rFonts w:hint="eastAsia" w:ascii="仿宋" w:hAnsi="仿宋" w:eastAsia="仿宋" w:cs="仿宋"/>
                <w:i w:val="0"/>
                <w:iCs w:val="0"/>
                <w:color w:val="000000"/>
                <w:kern w:val="0"/>
                <w:sz w:val="22"/>
                <w:szCs w:val="22"/>
                <w:u w:val="none"/>
                <w:lang w:val="en-US" w:eastAsia="zh-CN" w:bidi="ar"/>
              </w:rPr>
              <w:t>颗粒物</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13BC9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3F8525">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48A41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A6CAC7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54957">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滤棉盖（固定滤棉）</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F39868">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塑料材质</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9AC5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6F8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03B94A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6991750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1737B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黄黑胶带</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6F0B20">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1、PVC</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2、0.13*33m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5DA79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卷</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9A8A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0E5BA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056AF6E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C1D97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氯丁橡胶防化手套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791E3204">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1、防护醇类、强酸、碱类化学品，其他一些油类和溶剂类；</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2、柔性棉质衬里，穿戴更加舒适适用于化学化工实验室、化学加工、塑料工业等</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3、厚度：0.72mm 长度：33/41cm 颜色：黑色；8#</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491435">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841FF">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45D2E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B1B50C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AB70D">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防护手套（一次性丁腈手套）</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22497439">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可短暂接触醇类、弱酸、碱类、油类和溶剂类稀释后的化学品，适用于化学化工实验室</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9DB1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副</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66FD43">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r>
      <w:tr w14:paraId="05970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36A1B2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4C77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全身防化服</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28718D">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1、材质柔软、质轻、透气、防水、防静电、低脱屑、强韧耐用，针对各种有害环境提供卓越的保护锁边缝线，弹性袖口、按扣闭合门襟；</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2、可耐多种高浓度无机化学品及部分有机溶剂</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3、克重：41克/平方米</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7A12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A75E4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383994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20F2600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B9521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防化靴</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411DCDAF">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1、认证：欧洲CE认证，EN20345:2011；对化学物质具有良好的抵御功能；</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2、外层材质：高性能PVC材质，添加有稳定剂和防化助剂等，提高产品性能；内衬：易干化纤衬、</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3、尺码:40码</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9D5F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双</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C31C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1C5B3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5"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5688A1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12</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CE2D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防化学吸附垫</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63FD2BA2">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1、可安全地吸收酸性、腐蚀性液体及其他危险液体:具有超级耐用、高吸收的特点</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2、8层聚丙烯热粘合结构， 即使在饱和的情况下也不会扯破，撕裂或磨损；</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3、有孔洞吸污垫可以轻松地按照尺寸撕裂，按需使用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4、尺寸：25cmx33cm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FBFCE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片</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6D2F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≥5</w:t>
            </w:r>
          </w:p>
        </w:tc>
      </w:tr>
      <w:tr w14:paraId="1BF89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7B98A445">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13</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51C0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吸附枕</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1C2B452F">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1、具有比表面积大，高容量和快速排汗填料可快速吸收液体，对强腐蚀性及各类化学品有效吸附载吸水使清理方便快捷</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2、20×20×3cm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A526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13DD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r>
      <w:tr w14:paraId="117C00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2CAA34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14</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DC87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防化学吸污条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2334AA">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1、能吸收强酸和强碱、腐蚀性液体和其他危险液体，经特殊处理，可应对强酸和强碱。</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2、黄色;7. 6cm×1. 2m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6DE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条</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6C00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≥3</w:t>
            </w:r>
          </w:p>
        </w:tc>
      </w:tr>
      <w:tr w14:paraId="04B81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4BAB8A7">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15</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8BF054">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防静电簸箕和刷子</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6416E8">
            <w:pPr>
              <w:keepNext w:val="0"/>
              <w:keepLines w:val="0"/>
              <w:widowControl/>
              <w:suppressLineNumbers w:val="0"/>
              <w:jc w:val="left"/>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1、材质：PP塑料+ABS；</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 xml:space="preserve">2、规格：刷子为30*13*78cm、簸箕为30*28*82cm </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916E1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套</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E678B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2C4A2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292BBA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16</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2E4E4">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夹钳（不锈钢大齿夹）</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B2EB3">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长≥90cm，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101B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把</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E4DD8F">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w:t>
            </w:r>
          </w:p>
        </w:tc>
      </w:tr>
      <w:tr w14:paraId="377BA8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394377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17</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D9ED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化学废弃物袋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E382F4">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1、化学品、耐穿刺的聚乙烯材质；</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2、尺寸：152x91cm</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49B6D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B0541">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7A5B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4BFF24E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18</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3068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防护用品暂存袋</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171C3">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白色半透明，加厚60x100cm (宽高)</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E4418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个</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7C687">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≥4</w:t>
            </w:r>
          </w:p>
        </w:tc>
      </w:tr>
      <w:tr w14:paraId="1F5BC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17BBF570">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19</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554FB">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中和吸附剂</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A22799">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1、针对强酸、强碱、腐蚀性液体、油污、液体有机溶剂的意外泄漏进行处理，集吸收、中和、固化等多种功能作用为一体的应急洗消粉剂</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2、≥100g/瓶</w:t>
            </w:r>
            <w:bookmarkStart w:id="0" w:name="_GoBack"/>
            <w:bookmarkEnd w:id="0"/>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6BFD54">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瓶</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B659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44E77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59DED0CA">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20</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EB09E">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PH试纸</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A6DF2">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1、测量范围：PH1-14</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2、1本/包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97A46">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F346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1948E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auto" w:sz="4" w:space="0"/>
              <w:right w:val="single" w:color="000000" w:sz="4" w:space="0"/>
            </w:tcBorders>
            <w:shd w:val="clear" w:color="auto" w:fill="auto"/>
            <w:noWrap/>
            <w:vAlign w:val="center"/>
          </w:tcPr>
          <w:p w14:paraId="3CDA2292">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21</w:t>
            </w:r>
          </w:p>
        </w:tc>
        <w:tc>
          <w:tcPr>
            <w:tcW w:w="19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8152E9">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扎条</w:t>
            </w:r>
          </w:p>
        </w:tc>
        <w:tc>
          <w:tcPr>
            <w:tcW w:w="5035"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C7AAD">
            <w:pPr>
              <w:keepNext w:val="0"/>
              <w:keepLines w:val="0"/>
              <w:widowControl/>
              <w:suppressLineNumbers w:val="0"/>
              <w:jc w:val="both"/>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1、材质为聚丙烯</w:t>
            </w:r>
            <w:r>
              <w:rPr>
                <w:rFonts w:hint="eastAsia" w:ascii="仿宋" w:hAnsi="仿宋" w:eastAsia="仿宋" w:cs="仿宋"/>
                <w:i w:val="0"/>
                <w:iCs w:val="0"/>
                <w:color w:val="000000"/>
                <w:kern w:val="0"/>
                <w:sz w:val="22"/>
                <w:szCs w:val="22"/>
                <w:u w:val="none"/>
                <w:lang w:val="en-US" w:eastAsia="zh-CN" w:bidi="ar"/>
              </w:rPr>
              <w:br w:type="textWrapping"/>
            </w:r>
            <w:r>
              <w:rPr>
                <w:rFonts w:hint="eastAsia" w:ascii="仿宋" w:hAnsi="仿宋" w:eastAsia="仿宋" w:cs="仿宋"/>
                <w:i w:val="0"/>
                <w:iCs w:val="0"/>
                <w:color w:val="000000"/>
                <w:kern w:val="0"/>
                <w:sz w:val="22"/>
                <w:szCs w:val="22"/>
                <w:u w:val="none"/>
                <w:lang w:val="en-US" w:eastAsia="zh-CN" w:bidi="ar"/>
              </w:rPr>
              <w:t>2、50根/包</w:t>
            </w:r>
          </w:p>
        </w:tc>
        <w:tc>
          <w:tcPr>
            <w:tcW w:w="6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ED1BC">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包</w:t>
            </w:r>
          </w:p>
        </w:tc>
        <w:tc>
          <w:tcPr>
            <w:tcW w:w="129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F76B8">
            <w:pPr>
              <w:keepNext w:val="0"/>
              <w:keepLines w:val="0"/>
              <w:widowControl/>
              <w:suppressLineNumbers w:val="0"/>
              <w:jc w:val="center"/>
              <w:textAlignment w:val="bottom"/>
              <w:rPr>
                <w:rFonts w:hint="eastAsia" w:ascii="仿宋" w:hAnsi="仿宋" w:eastAsia="仿宋" w:cs="仿宋"/>
                <w:i w:val="0"/>
                <w:iCs w:val="0"/>
                <w:color w:val="000000"/>
                <w:kern w:val="0"/>
                <w:sz w:val="24"/>
                <w:szCs w:val="24"/>
                <w:u w:val="none"/>
                <w:lang w:val="en-US" w:eastAsia="zh-CN" w:bidi="ar"/>
              </w:rPr>
            </w:pPr>
            <w:r>
              <w:rPr>
                <w:rFonts w:hint="eastAsia" w:ascii="仿宋" w:hAnsi="仿宋" w:eastAsia="仿宋" w:cs="仿宋"/>
                <w:i w:val="0"/>
                <w:iCs w:val="0"/>
                <w:color w:val="000000"/>
                <w:kern w:val="0"/>
                <w:sz w:val="22"/>
                <w:szCs w:val="22"/>
                <w:u w:val="none"/>
                <w:lang w:val="en-US" w:eastAsia="zh-CN" w:bidi="ar"/>
              </w:rPr>
              <w:t>≥1</w:t>
            </w:r>
          </w:p>
        </w:tc>
      </w:tr>
      <w:tr w14:paraId="7004D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798" w:type="dxa"/>
            <w:gridSpan w:val="2"/>
            <w:tcBorders>
              <w:top w:val="single" w:color="auto" w:sz="4" w:space="0"/>
              <w:left w:val="single" w:color="000000" w:sz="4" w:space="0"/>
              <w:bottom w:val="single" w:color="000000" w:sz="4" w:space="0"/>
              <w:right w:val="single" w:color="000000" w:sz="4" w:space="0"/>
            </w:tcBorders>
            <w:shd w:val="clear" w:color="auto" w:fill="auto"/>
            <w:noWrap/>
            <w:vAlign w:val="center"/>
          </w:tcPr>
          <w:p w14:paraId="406C499B">
            <w:pPr>
              <w:keepNext w:val="0"/>
              <w:keepLines w:val="0"/>
              <w:widowControl/>
              <w:suppressLineNumbers w:val="0"/>
              <w:jc w:val="center"/>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bCs/>
                <w:color w:val="000000"/>
                <w:sz w:val="24"/>
                <w:szCs w:val="24"/>
                <w:lang w:val="en-US" w:eastAsia="zh-CN"/>
              </w:rPr>
              <w:t>商务条款</w:t>
            </w:r>
          </w:p>
        </w:tc>
        <w:tc>
          <w:tcPr>
            <w:tcW w:w="8912" w:type="dxa"/>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694B42">
            <w:pPr>
              <w:keepNext w:val="0"/>
              <w:keepLines w:val="0"/>
              <w:pageBreakBefore w:val="0"/>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1、</w:t>
            </w:r>
            <w:r>
              <w:rPr>
                <w:rFonts w:hint="eastAsia" w:ascii="仿宋" w:hAnsi="仿宋" w:eastAsia="仿宋" w:cs="仿宋"/>
                <w:b/>
                <w:bCs/>
                <w:color w:val="000000"/>
                <w:sz w:val="24"/>
                <w:szCs w:val="24"/>
              </w:rPr>
              <w:t>报价要求：</w:t>
            </w:r>
            <w:r>
              <w:rPr>
                <w:rFonts w:hint="eastAsia" w:ascii="仿宋" w:hAnsi="仿宋" w:eastAsia="仿宋" w:cs="仿宋"/>
                <w:color w:val="000000"/>
                <w:sz w:val="24"/>
                <w:szCs w:val="24"/>
                <w:lang w:eastAsia="zh-CN"/>
              </w:rPr>
              <w:t>报价以人民币报价，供应商的投标总报价≤项目预算价</w:t>
            </w:r>
            <w:r>
              <w:rPr>
                <w:rFonts w:hint="eastAsia" w:ascii="仿宋" w:hAnsi="仿宋" w:eastAsia="仿宋" w:cs="仿宋"/>
                <w:color w:val="000000"/>
                <w:sz w:val="24"/>
                <w:szCs w:val="24"/>
                <w:lang w:val="en-US" w:eastAsia="zh-CN"/>
              </w:rPr>
              <w:t>且各项单价报价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控制价（相同品类报价需要一致）</w:t>
            </w:r>
            <w:r>
              <w:rPr>
                <w:rFonts w:hint="eastAsia" w:ascii="仿宋" w:hAnsi="仿宋" w:eastAsia="仿宋" w:cs="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4928187D">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（1）货物的价格；</w:t>
            </w:r>
          </w:p>
          <w:p w14:paraId="4E45BB5C">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（2）货物的标准附件、备品备件、专用工具的价格；</w:t>
            </w:r>
          </w:p>
          <w:p w14:paraId="1B3CA300">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（3）运输、装卸、安装、材料、培训、技术支持、售后服务等费用；</w:t>
            </w:r>
          </w:p>
          <w:p w14:paraId="4257272E">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（4）必要的保险费用和各项税费。</w:t>
            </w:r>
          </w:p>
          <w:p w14:paraId="4F4B5E2F">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bCs/>
                <w:color w:val="000000"/>
                <w:sz w:val="24"/>
                <w:szCs w:val="24"/>
              </w:rPr>
            </w:pPr>
            <w:r>
              <w:rPr>
                <w:rFonts w:hint="eastAsia" w:ascii="仿宋" w:hAnsi="仿宋" w:eastAsia="仿宋" w:cs="仿宋"/>
                <w:b/>
                <w:bCs/>
                <w:color w:val="000000"/>
                <w:sz w:val="24"/>
                <w:szCs w:val="24"/>
              </w:rPr>
              <w:t>2、</w:t>
            </w:r>
            <w:r>
              <w:rPr>
                <w:rFonts w:hint="eastAsia" w:ascii="仿宋" w:hAnsi="仿宋" w:eastAsia="仿宋" w:cs="仿宋"/>
                <w:b/>
                <w:bCs/>
                <w:color w:val="000000"/>
                <w:sz w:val="24"/>
                <w:szCs w:val="24"/>
                <w:lang w:val="en-US" w:eastAsia="zh-CN"/>
              </w:rPr>
              <w:t>供货</w:t>
            </w:r>
            <w:r>
              <w:rPr>
                <w:rFonts w:hint="eastAsia" w:ascii="仿宋" w:hAnsi="仿宋" w:eastAsia="仿宋" w:cs="仿宋"/>
                <w:b/>
                <w:bCs/>
                <w:color w:val="000000"/>
                <w:sz w:val="24"/>
                <w:szCs w:val="24"/>
                <w:lang w:eastAsia="zh-CN"/>
              </w:rPr>
              <w:t>时间及地点：</w:t>
            </w:r>
          </w:p>
          <w:p w14:paraId="5942B5A3">
            <w:pPr>
              <w:keepNext w:val="0"/>
              <w:keepLines w:val="0"/>
              <w:pageBreakBefore w:val="0"/>
              <w:kinsoku/>
              <w:wordWrap w:val="0"/>
              <w:overflowPunct/>
              <w:topLinePunct w:val="0"/>
              <w:autoSpaceDE/>
              <w:autoSpaceDN/>
              <w:bidi w:val="0"/>
              <w:adjustRightInd/>
              <w:snapToGrid w:val="0"/>
              <w:spacing w:line="400" w:lineRule="exact"/>
              <w:jc w:val="lef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供货</w:t>
            </w:r>
            <w:r>
              <w:rPr>
                <w:rFonts w:hint="eastAsia" w:ascii="仿宋" w:hAnsi="仿宋" w:eastAsia="仿宋" w:cs="仿宋"/>
                <w:b w:val="0"/>
                <w:bCs w:val="0"/>
                <w:color w:val="000000"/>
                <w:sz w:val="24"/>
                <w:szCs w:val="24"/>
                <w:lang w:eastAsia="zh-CN"/>
              </w:rPr>
              <w:t>时间：</w:t>
            </w:r>
            <w:r>
              <w:rPr>
                <w:rFonts w:hint="eastAsia" w:ascii="仿宋" w:hAnsi="仿宋" w:eastAsia="仿宋" w:cs="仿宋"/>
                <w:b w:val="0"/>
                <w:bCs w:val="0"/>
                <w:color w:val="000000"/>
                <w:sz w:val="24"/>
                <w:szCs w:val="24"/>
                <w:lang w:val="en-US" w:eastAsia="zh-CN"/>
              </w:rPr>
              <w:t>签订合同后15日内完成供货。</w:t>
            </w:r>
          </w:p>
          <w:p w14:paraId="70FAC3A8">
            <w:pPr>
              <w:keepNext w:val="0"/>
              <w:keepLines w:val="0"/>
              <w:pageBreakBefore w:val="0"/>
              <w:kinsoku/>
              <w:wordWrap w:val="0"/>
              <w:overflowPunct/>
              <w:topLinePunct w:val="0"/>
              <w:autoSpaceDE/>
              <w:autoSpaceDN/>
              <w:bidi w:val="0"/>
              <w:adjustRightInd/>
              <w:snapToGrid w:val="0"/>
              <w:spacing w:line="400" w:lineRule="exact"/>
              <w:jc w:val="left"/>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供货</w:t>
            </w:r>
            <w:r>
              <w:rPr>
                <w:rFonts w:hint="eastAsia" w:ascii="仿宋" w:hAnsi="仿宋" w:eastAsia="仿宋" w:cs="仿宋"/>
                <w:color w:val="000000"/>
                <w:sz w:val="24"/>
                <w:szCs w:val="24"/>
                <w:lang w:eastAsia="zh-CN"/>
              </w:rPr>
              <w:t>地点：南宁市卫生学校相思湖校区（南宁市西乡塘区罗文大道</w:t>
            </w:r>
            <w:r>
              <w:rPr>
                <w:rFonts w:hint="eastAsia" w:ascii="仿宋" w:hAnsi="仿宋" w:eastAsia="仿宋" w:cs="仿宋"/>
                <w:color w:val="000000"/>
                <w:sz w:val="24"/>
                <w:szCs w:val="24"/>
                <w:lang w:val="en-US" w:eastAsia="zh-CN"/>
              </w:rPr>
              <w:t>16号）</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黎塘校区（宾阳县黎塘镇金龙大道232号）</w:t>
            </w:r>
          </w:p>
          <w:p w14:paraId="485E66EC">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3、</w:t>
            </w:r>
            <w:r>
              <w:rPr>
                <w:rFonts w:hint="eastAsia" w:ascii="仿宋" w:hAnsi="仿宋" w:eastAsia="仿宋" w:cs="仿宋"/>
                <w:b/>
                <w:bCs/>
                <w:color w:val="000000"/>
                <w:sz w:val="24"/>
                <w:szCs w:val="24"/>
              </w:rPr>
              <w:t>付款方式：</w:t>
            </w:r>
          </w:p>
          <w:p w14:paraId="35DDC95B">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本项目无预付款，</w:t>
            </w:r>
            <w:r>
              <w:rPr>
                <w:rFonts w:hint="eastAsia" w:ascii="仿宋" w:hAnsi="仿宋" w:eastAsia="仿宋" w:cs="仿宋"/>
                <w:color w:val="000000"/>
                <w:sz w:val="24"/>
                <w:szCs w:val="24"/>
                <w:lang w:eastAsia="zh-CN"/>
              </w:rPr>
              <w:t>项目经</w:t>
            </w:r>
            <w:r>
              <w:rPr>
                <w:rFonts w:hint="eastAsia" w:ascii="仿宋" w:hAnsi="仿宋" w:eastAsia="仿宋" w:cs="仿宋"/>
                <w:color w:val="000000"/>
                <w:sz w:val="24"/>
                <w:szCs w:val="24"/>
              </w:rPr>
              <w:t>采购人验收合格</w:t>
            </w:r>
            <w:r>
              <w:rPr>
                <w:rFonts w:hint="eastAsia" w:ascii="仿宋" w:hAnsi="仿宋" w:eastAsia="仿宋" w:cs="仿宋"/>
                <w:color w:val="000000"/>
                <w:sz w:val="24"/>
                <w:szCs w:val="24"/>
                <w:lang w:eastAsia="zh-CN"/>
              </w:rPr>
              <w:t>，且财政审批该项目用款计划</w:t>
            </w:r>
            <w:r>
              <w:rPr>
                <w:rFonts w:hint="eastAsia" w:ascii="仿宋" w:hAnsi="仿宋" w:eastAsia="仿宋" w:cs="仿宋"/>
                <w:color w:val="000000"/>
                <w:sz w:val="24"/>
                <w:szCs w:val="24"/>
              </w:rPr>
              <w:t>后，一次性支付</w:t>
            </w:r>
            <w:r>
              <w:rPr>
                <w:rFonts w:hint="eastAsia" w:ascii="仿宋" w:hAnsi="仿宋" w:eastAsia="仿宋" w:cs="仿宋"/>
                <w:color w:val="000000"/>
                <w:sz w:val="24"/>
                <w:szCs w:val="24"/>
                <w:lang w:val="en-US" w:eastAsia="zh-CN"/>
              </w:rPr>
              <w:t>货款</w:t>
            </w:r>
            <w:r>
              <w:rPr>
                <w:rFonts w:hint="eastAsia" w:ascii="仿宋" w:hAnsi="仿宋" w:eastAsia="仿宋" w:cs="仿宋"/>
                <w:color w:val="000000"/>
                <w:sz w:val="24"/>
                <w:szCs w:val="24"/>
              </w:rPr>
              <w:t>。</w:t>
            </w:r>
          </w:p>
          <w:p w14:paraId="3DB8CFC6">
            <w:pPr>
              <w:keepNext w:val="0"/>
              <w:keepLines w:val="0"/>
              <w:pageBreakBefore w:val="0"/>
              <w:numPr>
                <w:ilvl w:val="0"/>
                <w:numId w:val="0"/>
              </w:numPr>
              <w:kinsoku/>
              <w:wordWrap w:val="0"/>
              <w:overflowPunct/>
              <w:topLinePunct w:val="0"/>
              <w:autoSpaceDE/>
              <w:autoSpaceDN/>
              <w:bidi w:val="0"/>
              <w:adjustRightInd/>
              <w:snapToGrid w:val="0"/>
              <w:spacing w:line="400" w:lineRule="exact"/>
              <w:jc w:val="both"/>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2）付款前，中标人需开具足额、合规发票交采购人。</w:t>
            </w:r>
          </w:p>
          <w:p w14:paraId="5600B6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4、质量保证：</w:t>
            </w:r>
          </w:p>
          <w:p w14:paraId="12EA0195">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rPr>
              <w:t>供应商所提供的货物型号、技术规格、技术参数等质量必须与本次采购要求和承诺相一致。</w:t>
            </w:r>
          </w:p>
          <w:p w14:paraId="589E5204">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rPr>
              <w:t>供应商所提供的货物必须是全新、未使用的原装产品，且在正常安装、使用和保养条件下，其使用寿命期内各项指标均达到质量要求。</w:t>
            </w:r>
          </w:p>
          <w:p w14:paraId="1819ABDD">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bCs/>
                <w:color w:val="000000"/>
                <w:sz w:val="24"/>
                <w:szCs w:val="24"/>
                <w:lang w:val="en-US" w:eastAsia="zh-CN"/>
              </w:rPr>
            </w:pPr>
            <w:r>
              <w:rPr>
                <w:rFonts w:hint="eastAsia" w:ascii="仿宋" w:hAnsi="仿宋" w:eastAsia="仿宋" w:cs="仿宋"/>
                <w:b/>
                <w:bCs/>
                <w:color w:val="000000"/>
                <w:sz w:val="24"/>
                <w:szCs w:val="24"/>
                <w:lang w:val="en-US" w:eastAsia="zh-CN"/>
              </w:rPr>
              <w:t>5、售后服务：</w:t>
            </w:r>
          </w:p>
          <w:p w14:paraId="69C4945F">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1）</w:t>
            </w:r>
            <w:r>
              <w:rPr>
                <w:rFonts w:hint="eastAsia" w:ascii="仿宋" w:hAnsi="仿宋" w:eastAsia="仿宋" w:cs="仿宋"/>
                <w:color w:val="000000"/>
                <w:sz w:val="24"/>
                <w:szCs w:val="24"/>
                <w:lang w:val="en-US" w:eastAsia="zh-CN"/>
              </w:rPr>
              <w:t>所提供的货物产品必须是未使用过的全新产品；若产品质量存在缺陷，中标人免费在1个月内更换新产品。</w:t>
            </w:r>
          </w:p>
          <w:p w14:paraId="5C6DA941">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color w:val="000000"/>
                <w:sz w:val="24"/>
                <w:szCs w:val="24"/>
                <w:lang w:eastAsia="zh-CN"/>
              </w:rPr>
            </w:pP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2</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所有货物免费送货上门安装、免费培训使用及维护。</w:t>
            </w:r>
          </w:p>
          <w:p w14:paraId="718A2C10">
            <w:pPr>
              <w:keepNext w:val="0"/>
              <w:keepLines w:val="0"/>
              <w:pageBreakBefore w:val="0"/>
              <w:kinsoku/>
              <w:wordWrap w:val="0"/>
              <w:overflowPunct/>
              <w:topLinePunct w:val="0"/>
              <w:autoSpaceDE/>
              <w:autoSpaceDN/>
              <w:bidi w:val="0"/>
              <w:adjustRightInd/>
              <w:spacing w:line="300" w:lineRule="exact"/>
              <w:rPr>
                <w:rFonts w:hint="eastAsia" w:ascii="仿宋" w:hAnsi="仿宋" w:eastAsia="仿宋" w:cs="仿宋"/>
                <w:b w:val="0"/>
                <w:bCs w:val="0"/>
                <w:color w:val="000000"/>
                <w:sz w:val="24"/>
                <w:szCs w:val="24"/>
                <w:lang w:eastAsia="zh-CN"/>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3）</w:t>
            </w:r>
            <w:r>
              <w:rPr>
                <w:rFonts w:hint="eastAsia" w:ascii="仿宋" w:hAnsi="仿宋" w:eastAsia="仿宋" w:cs="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p w14:paraId="1AAA02B5">
            <w:pPr>
              <w:keepNext w:val="0"/>
              <w:keepLines w:val="0"/>
              <w:widowControl/>
              <w:suppressLineNumbers w:val="0"/>
              <w:jc w:val="left"/>
              <w:textAlignment w:val="bottom"/>
              <w:rPr>
                <w:rFonts w:hint="eastAsia" w:ascii="宋体" w:hAnsi="宋体" w:eastAsia="宋体" w:cs="宋体"/>
                <w:i w:val="0"/>
                <w:iCs w:val="0"/>
                <w:color w:val="000000"/>
                <w:kern w:val="0"/>
                <w:sz w:val="22"/>
                <w:szCs w:val="22"/>
                <w:u w:val="none"/>
                <w:lang w:val="en-US" w:eastAsia="zh-CN" w:bidi="ar"/>
              </w:rPr>
            </w:pPr>
            <w:r>
              <w:rPr>
                <w:rFonts w:hint="eastAsia" w:ascii="仿宋" w:hAnsi="仿宋" w:eastAsia="仿宋" w:cs="仿宋"/>
                <w:b w:val="0"/>
                <w:bCs w:val="0"/>
                <w:color w:val="000000"/>
                <w:sz w:val="24"/>
                <w:szCs w:val="24"/>
                <w:lang w:eastAsia="zh-CN"/>
              </w:rPr>
              <w:t>（</w:t>
            </w:r>
            <w:r>
              <w:rPr>
                <w:rFonts w:hint="eastAsia" w:ascii="仿宋" w:hAnsi="仿宋" w:eastAsia="仿宋" w:cs="仿宋"/>
                <w:b w:val="0"/>
                <w:bCs w:val="0"/>
                <w:color w:val="000000"/>
                <w:sz w:val="24"/>
                <w:szCs w:val="24"/>
                <w:lang w:val="en-US" w:eastAsia="zh-CN"/>
              </w:rPr>
              <w:t>4）</w:t>
            </w:r>
            <w:r>
              <w:rPr>
                <w:rFonts w:hint="eastAsia" w:ascii="仿宋" w:hAnsi="仿宋" w:eastAsia="仿宋" w:cs="仿宋"/>
                <w:color w:val="000000"/>
                <w:sz w:val="24"/>
                <w:szCs w:val="24"/>
                <w:lang w:val="en-US" w:eastAsia="zh-CN"/>
              </w:rPr>
              <w:t>项目供货及安装过程中产生的残留物或垃圾，需由中标人自行清理至校外。</w:t>
            </w:r>
          </w:p>
        </w:tc>
      </w:tr>
    </w:tbl>
    <w:p w14:paraId="29CD84FD">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22D2277">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0B654357">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763473A3">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42F0713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50C04498">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lang w:val="en-US" w:eastAsia="zh-CN"/>
          <w14:textFill>
            <w14:solidFill>
              <w14:schemeClr w14:val="tx1"/>
            </w14:solidFill>
          </w14:textFill>
        </w:rPr>
        <w:t>包含技术响应和商务响应</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29F72CC0">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6E6EF7EB">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3CC82518">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43998B7B">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06A1590">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76CF9A57">
      <w:pPr>
        <w:spacing w:line="560" w:lineRule="exact"/>
        <w:ind w:firstLine="640" w:firstLineChars="200"/>
        <w:rPr>
          <w:rFonts w:hint="eastAsia" w:ascii="宋体" w:hAnsi="宋体"/>
          <w:b/>
          <w:sz w:val="32"/>
          <w:szCs w:val="32"/>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6CF29FBD">
      <w:pPr>
        <w:rPr>
          <w:rFonts w:hint="eastAsia" w:ascii="宋体" w:hAnsi="宋体"/>
          <w:b/>
          <w:sz w:val="32"/>
          <w:szCs w:val="32"/>
        </w:rPr>
      </w:pPr>
      <w:r>
        <w:rPr>
          <w:rFonts w:hint="eastAsia" w:ascii="宋体" w:hAnsi="宋体"/>
          <w:b/>
          <w:sz w:val="32"/>
          <w:szCs w:val="32"/>
        </w:rPr>
        <w:br w:type="page"/>
      </w:r>
    </w:p>
    <w:p w14:paraId="0543430F">
      <w:pPr>
        <w:spacing w:line="360" w:lineRule="auto"/>
        <w:jc w:val="center"/>
        <w:rPr>
          <w:rFonts w:hint="eastAsia" w:ascii="宋体" w:hAnsi="宋体"/>
          <w:b/>
          <w:sz w:val="32"/>
          <w:szCs w:val="32"/>
        </w:rPr>
      </w:pPr>
      <w:r>
        <w:rPr>
          <w:rFonts w:hint="eastAsia" w:ascii="宋体" w:hAnsi="宋体"/>
          <w:b/>
          <w:sz w:val="32"/>
          <w:szCs w:val="32"/>
        </w:rPr>
        <w:t>声明书（格式）</w:t>
      </w:r>
    </w:p>
    <w:p w14:paraId="742559AB">
      <w:pPr>
        <w:spacing w:line="320" w:lineRule="exact"/>
        <w:jc w:val="center"/>
        <w:rPr>
          <w:rFonts w:hint="eastAsia" w:ascii="宋体" w:hAnsi="宋体"/>
          <w:sz w:val="24"/>
          <w:szCs w:val="20"/>
        </w:rPr>
      </w:pPr>
    </w:p>
    <w:p w14:paraId="21BEA875">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732047E9">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26F23464">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7E797120">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57AAFA05">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100410E">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0A724761">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30BA73BA">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685252EF">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39C0B0DA">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36BCA149">
      <w:pPr>
        <w:spacing w:line="360" w:lineRule="auto"/>
        <w:contextualSpacing/>
        <w:rPr>
          <w:rFonts w:hint="eastAsia" w:ascii="宋体" w:hAnsi="宋体" w:cs="宋体"/>
          <w:szCs w:val="21"/>
        </w:rPr>
      </w:pPr>
      <w:r>
        <w:rPr>
          <w:rFonts w:hint="eastAsia" w:ascii="宋体" w:hAnsi="宋体" w:cs="宋体"/>
          <w:szCs w:val="21"/>
        </w:rPr>
        <w:t>4.我方承诺:</w:t>
      </w:r>
    </w:p>
    <w:p w14:paraId="76BB624F">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6C63819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35B0307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22FEA69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892A32A">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650D54D1">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1AA6AA7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5C15E7B3">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3A94115F">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3EE0F9A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1EE383CA">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1A1B7314">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7175EF87">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343F9C47">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4209DC0D">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7BB5BA01">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4543734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6966DFF2">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7920AD3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51F110C3">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2CFA91DB">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27FA081D">
      <w:pPr>
        <w:spacing w:line="360" w:lineRule="auto"/>
        <w:contextualSpacing/>
        <w:rPr>
          <w:rFonts w:hint="eastAsia" w:ascii="宋体" w:hAnsi="宋体" w:cs="宋体"/>
          <w:szCs w:val="21"/>
        </w:rPr>
      </w:pPr>
      <w:r>
        <w:rPr>
          <w:rFonts w:hint="eastAsia" w:ascii="宋体" w:hAnsi="宋体" w:cs="宋体"/>
          <w:szCs w:val="21"/>
        </w:rPr>
        <w:t>5.我方在此声明：</w:t>
      </w:r>
    </w:p>
    <w:p w14:paraId="2C19EA94">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B924440">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0776E6C">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4FB1EF21">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7C49C701">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39CD919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6AC7B605">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1D1F5D11">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7029670D">
      <w:pPr>
        <w:tabs>
          <w:tab w:val="left" w:pos="939"/>
        </w:tabs>
        <w:spacing w:line="360" w:lineRule="auto"/>
        <w:ind w:left="141" w:leftChars="67"/>
        <w:contextualSpacing/>
        <w:rPr>
          <w:rFonts w:hint="eastAsia" w:ascii="宋体" w:hAnsi="宋体" w:cs="宋体"/>
          <w:szCs w:val="21"/>
        </w:rPr>
      </w:pPr>
    </w:p>
    <w:p w14:paraId="5327F30F">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117FC4B1">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16C784BA">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55049297">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5"/>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5C546791">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31C516F6">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69B68B4">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4BBED20">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4531187">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AE9D30A">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62B1088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2A34B2">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607BDE6">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FDEA35">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1BB6189">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82B1B6">
            <w:pPr>
              <w:widowControl/>
              <w:spacing w:line="360" w:lineRule="exact"/>
              <w:jc w:val="center"/>
              <w:rPr>
                <w:rFonts w:ascii="宋体" w:hAnsi="宋体"/>
                <w:kern w:val="0"/>
                <w:szCs w:val="21"/>
              </w:rPr>
            </w:pPr>
          </w:p>
        </w:tc>
      </w:tr>
      <w:tr w14:paraId="7F395D40">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7ED904">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C5994C">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7B557FE">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B0F414">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87A9AC">
            <w:pPr>
              <w:widowControl/>
              <w:spacing w:line="360" w:lineRule="exact"/>
              <w:jc w:val="center"/>
              <w:rPr>
                <w:rFonts w:ascii="宋体" w:hAnsi="宋体"/>
                <w:kern w:val="0"/>
                <w:szCs w:val="21"/>
              </w:rPr>
            </w:pPr>
          </w:p>
        </w:tc>
      </w:tr>
      <w:tr w14:paraId="4A24CEAA">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A0B5930">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9F2FEE">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EC06C3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8B8ED22">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A90EDCF">
            <w:pPr>
              <w:widowControl/>
              <w:spacing w:line="360" w:lineRule="exact"/>
              <w:jc w:val="center"/>
              <w:rPr>
                <w:rFonts w:ascii="宋体" w:hAnsi="宋体"/>
                <w:kern w:val="0"/>
                <w:szCs w:val="21"/>
              </w:rPr>
            </w:pPr>
          </w:p>
        </w:tc>
      </w:tr>
      <w:tr w14:paraId="29B98B8D">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BACD5D5">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92DA615">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719557D">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089050">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E5249C9">
            <w:pPr>
              <w:widowControl/>
              <w:spacing w:line="360" w:lineRule="exact"/>
              <w:jc w:val="center"/>
              <w:rPr>
                <w:rFonts w:ascii="宋体" w:hAnsi="宋体"/>
                <w:kern w:val="0"/>
                <w:szCs w:val="21"/>
              </w:rPr>
            </w:pPr>
          </w:p>
        </w:tc>
      </w:tr>
    </w:tbl>
    <w:p w14:paraId="728D9C19">
      <w:pPr>
        <w:snapToGrid w:val="0"/>
        <w:spacing w:line="360" w:lineRule="exact"/>
        <w:jc w:val="left"/>
        <w:rPr>
          <w:rFonts w:ascii="宋体" w:hAnsi="宋体"/>
          <w:szCs w:val="21"/>
        </w:rPr>
      </w:pPr>
      <w:r>
        <w:rPr>
          <w:rFonts w:hint="eastAsia" w:ascii="宋体" w:hAnsi="宋体"/>
          <w:szCs w:val="21"/>
        </w:rPr>
        <w:t>注：</w:t>
      </w:r>
    </w:p>
    <w:p w14:paraId="60EE1A42">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DB38F6E">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770DF6F4">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74F03112">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6D93E1B8">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D880E37">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8F6A85D">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0631B8EA">
      <w:pPr>
        <w:snapToGrid w:val="0"/>
        <w:spacing w:line="400" w:lineRule="exact"/>
        <w:jc w:val="center"/>
        <w:rPr>
          <w:rFonts w:ascii="宋体" w:hAnsi="宋体"/>
          <w:b/>
          <w:sz w:val="32"/>
          <w:szCs w:val="32"/>
        </w:rPr>
      </w:pPr>
    </w:p>
    <w:tbl>
      <w:tblPr>
        <w:tblStyle w:val="5"/>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230CA5C7">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92A21DC">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4D407DA">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23CD05C">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15C063C1">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53A08F0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275003C">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A9B020F">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FF94771">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26A8FA5">
            <w:pPr>
              <w:widowControl/>
              <w:spacing w:line="360" w:lineRule="exact"/>
              <w:jc w:val="center"/>
              <w:rPr>
                <w:rFonts w:ascii="宋体" w:hAnsi="宋体"/>
                <w:kern w:val="0"/>
                <w:szCs w:val="21"/>
              </w:rPr>
            </w:pPr>
          </w:p>
        </w:tc>
      </w:tr>
      <w:tr w14:paraId="699D553E">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B683869">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A2AB76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706D11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55B702F">
            <w:pPr>
              <w:widowControl/>
              <w:spacing w:line="360" w:lineRule="exact"/>
              <w:jc w:val="center"/>
              <w:rPr>
                <w:rFonts w:ascii="宋体" w:hAnsi="宋体"/>
                <w:kern w:val="0"/>
                <w:szCs w:val="21"/>
              </w:rPr>
            </w:pPr>
          </w:p>
        </w:tc>
      </w:tr>
      <w:tr w14:paraId="5AF4D102">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098EFDF">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3C58D4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1DF44D">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47EA13">
            <w:pPr>
              <w:widowControl/>
              <w:spacing w:line="360" w:lineRule="exact"/>
              <w:jc w:val="center"/>
              <w:rPr>
                <w:rFonts w:ascii="宋体" w:hAnsi="宋体"/>
                <w:kern w:val="0"/>
                <w:szCs w:val="21"/>
              </w:rPr>
            </w:pPr>
          </w:p>
        </w:tc>
      </w:tr>
      <w:tr w14:paraId="231E4F30">
        <w:tblPrEx>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4A0602A">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6B68081">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2AD1F9B">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A84765A">
            <w:pPr>
              <w:widowControl/>
              <w:spacing w:line="360" w:lineRule="exact"/>
              <w:jc w:val="center"/>
              <w:rPr>
                <w:rFonts w:ascii="宋体" w:hAnsi="宋体"/>
                <w:kern w:val="0"/>
                <w:szCs w:val="21"/>
              </w:rPr>
            </w:pPr>
          </w:p>
        </w:tc>
      </w:tr>
    </w:tbl>
    <w:p w14:paraId="042AFE9D">
      <w:pPr>
        <w:snapToGrid w:val="0"/>
        <w:spacing w:line="360" w:lineRule="exact"/>
        <w:jc w:val="left"/>
        <w:rPr>
          <w:rFonts w:ascii="宋体" w:hAnsi="宋体"/>
          <w:szCs w:val="21"/>
        </w:rPr>
      </w:pPr>
      <w:r>
        <w:rPr>
          <w:rFonts w:hint="eastAsia" w:ascii="宋体" w:hAnsi="宋体"/>
          <w:szCs w:val="21"/>
        </w:rPr>
        <w:t>注：</w:t>
      </w:r>
    </w:p>
    <w:p w14:paraId="10BD475B">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6E88826C">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50CA2EC9">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031C7A02">
      <w:pPr>
        <w:snapToGrid w:val="0"/>
        <w:spacing w:line="360" w:lineRule="exact"/>
        <w:jc w:val="left"/>
        <w:rPr>
          <w:rFonts w:ascii="宋体" w:hAnsi="宋体"/>
          <w:szCs w:val="21"/>
        </w:rPr>
      </w:pPr>
    </w:p>
    <w:p w14:paraId="24E7C72E">
      <w:pPr>
        <w:snapToGrid w:val="0"/>
        <w:spacing w:line="360" w:lineRule="exact"/>
        <w:jc w:val="left"/>
        <w:rPr>
          <w:rFonts w:ascii="宋体" w:hAnsi="宋体"/>
          <w:szCs w:val="21"/>
        </w:rPr>
      </w:pPr>
    </w:p>
    <w:p w14:paraId="0A73FBB9">
      <w:pPr>
        <w:snapToGrid w:val="0"/>
        <w:spacing w:line="360" w:lineRule="exact"/>
        <w:jc w:val="left"/>
        <w:rPr>
          <w:szCs w:val="21"/>
        </w:rPr>
      </w:pPr>
    </w:p>
    <w:p w14:paraId="4687057A">
      <w:pPr>
        <w:snapToGrid w:val="0"/>
        <w:spacing w:line="360" w:lineRule="exact"/>
        <w:jc w:val="left"/>
        <w:rPr>
          <w:szCs w:val="21"/>
        </w:rPr>
      </w:pPr>
    </w:p>
    <w:p w14:paraId="5EA30E52">
      <w:pPr>
        <w:snapToGrid w:val="0"/>
        <w:spacing w:line="360" w:lineRule="exact"/>
        <w:jc w:val="left"/>
        <w:rPr>
          <w:szCs w:val="21"/>
        </w:rPr>
      </w:pPr>
    </w:p>
    <w:p w14:paraId="745CC56F">
      <w:pPr>
        <w:snapToGrid w:val="0"/>
        <w:spacing w:line="360" w:lineRule="exact"/>
        <w:jc w:val="left"/>
        <w:rPr>
          <w:rFonts w:ascii="宋体" w:hAnsi="宋体"/>
          <w:szCs w:val="21"/>
        </w:rPr>
      </w:pPr>
    </w:p>
    <w:p w14:paraId="462E1AD6">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12F5FE4D">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342A71D5">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5D4F9795">
      <w:pPr>
        <w:snapToGrid w:val="0"/>
        <w:spacing w:before="156" w:after="50" w:line="360" w:lineRule="exact"/>
        <w:ind w:right="480" w:firstLine="210" w:firstLineChars="100"/>
        <w:jc w:val="center"/>
        <w:rPr>
          <w:rFonts w:ascii="宋体" w:hAnsi="宋体"/>
          <w:szCs w:val="21"/>
        </w:rPr>
      </w:pPr>
    </w:p>
    <w:p w14:paraId="67B6E0E8">
      <w:pPr>
        <w:snapToGrid w:val="0"/>
        <w:spacing w:before="156" w:after="50" w:line="360" w:lineRule="exact"/>
        <w:ind w:right="480" w:firstLine="210" w:firstLineChars="100"/>
        <w:jc w:val="center"/>
        <w:rPr>
          <w:rFonts w:ascii="宋体" w:hAnsi="宋体"/>
          <w:szCs w:val="21"/>
        </w:rPr>
      </w:pPr>
    </w:p>
    <w:p w14:paraId="4183672D">
      <w:pPr>
        <w:snapToGrid w:val="0"/>
        <w:spacing w:before="156" w:after="50" w:line="360" w:lineRule="exact"/>
        <w:ind w:right="480" w:firstLine="210" w:firstLineChars="100"/>
        <w:jc w:val="center"/>
        <w:rPr>
          <w:rFonts w:ascii="宋体" w:hAnsi="宋体"/>
          <w:szCs w:val="21"/>
        </w:rPr>
      </w:pPr>
    </w:p>
    <w:p w14:paraId="3073D80F">
      <w:pPr>
        <w:snapToGrid w:val="0"/>
        <w:spacing w:before="156" w:after="50" w:line="360" w:lineRule="exact"/>
        <w:ind w:right="480" w:firstLine="210" w:firstLineChars="100"/>
        <w:jc w:val="center"/>
        <w:rPr>
          <w:rFonts w:ascii="宋体" w:hAnsi="宋体"/>
          <w:szCs w:val="21"/>
        </w:rPr>
      </w:pPr>
    </w:p>
    <w:p w14:paraId="03C85448">
      <w:pPr>
        <w:snapToGrid w:val="0"/>
        <w:spacing w:before="156" w:after="50" w:line="360" w:lineRule="exact"/>
        <w:ind w:right="480" w:firstLine="210" w:firstLineChars="100"/>
        <w:jc w:val="center"/>
        <w:rPr>
          <w:rFonts w:ascii="宋体" w:hAnsi="宋体"/>
          <w:szCs w:val="21"/>
        </w:rPr>
      </w:pPr>
    </w:p>
    <w:p w14:paraId="214E6488">
      <w:pPr>
        <w:snapToGrid w:val="0"/>
        <w:spacing w:before="156" w:after="50" w:line="360" w:lineRule="exact"/>
        <w:ind w:right="480" w:firstLine="210" w:firstLineChars="100"/>
        <w:jc w:val="center"/>
        <w:rPr>
          <w:rFonts w:ascii="宋体" w:hAnsi="宋体"/>
          <w:szCs w:val="21"/>
        </w:rPr>
      </w:pPr>
    </w:p>
    <w:p w14:paraId="362F96B7">
      <w:pPr>
        <w:pStyle w:val="17"/>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86F911">
    <w:pPr>
      <w:pStyle w:val="19"/>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091C8EFC">
                          <w:pPr>
                            <w:pStyle w:val="19"/>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091C8EFC">
                    <w:pPr>
                      <w:pStyle w:val="19"/>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30AD180"/>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591D2B"/>
    <w:multiLevelType w:val="singleLevel"/>
    <w:tmpl w:val="B3591D2B"/>
    <w:lvl w:ilvl="0" w:tentative="0">
      <w:start w:val="1"/>
      <w:numFmt w:val="chineseCounting"/>
      <w:suff w:val="nothing"/>
      <w:lvlText w:val="%1、"/>
      <w:lvlJc w:val="left"/>
      <w:rPr>
        <w:rFonts w:hint="eastAsia"/>
      </w:rPr>
    </w:lvl>
  </w:abstractNum>
  <w:abstractNum w:abstractNumId="1">
    <w:nsid w:val="DCC306AD"/>
    <w:multiLevelType w:val="singleLevel"/>
    <w:tmpl w:val="DCC306AD"/>
    <w:lvl w:ilvl="0" w:tentative="0">
      <w:start w:val="1"/>
      <w:numFmt w:val="decimal"/>
      <w:lvlText w:val="%1."/>
      <w:lvlJc w:val="left"/>
      <w:pPr>
        <w:tabs>
          <w:tab w:val="left" w:pos="312"/>
        </w:tabs>
      </w:pPr>
    </w:lvl>
  </w:abstractNum>
  <w:abstractNum w:abstractNumId="2">
    <w:nsid w:val="43F45D89"/>
    <w:multiLevelType w:val="singleLevel"/>
    <w:tmpl w:val="43F45D89"/>
    <w:lvl w:ilvl="0" w:tentative="0">
      <w:start w:val="1"/>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623E46"/>
    <w:rsid w:val="073C7668"/>
    <w:rsid w:val="07F132ED"/>
    <w:rsid w:val="0DDF6B91"/>
    <w:rsid w:val="0E6A14A3"/>
    <w:rsid w:val="114551CA"/>
    <w:rsid w:val="152444CF"/>
    <w:rsid w:val="1C4D2EE6"/>
    <w:rsid w:val="1CF75A17"/>
    <w:rsid w:val="1D6F2068"/>
    <w:rsid w:val="206527DA"/>
    <w:rsid w:val="217E72AF"/>
    <w:rsid w:val="23ED0FEE"/>
    <w:rsid w:val="27591CFA"/>
    <w:rsid w:val="353E2124"/>
    <w:rsid w:val="35EC368C"/>
    <w:rsid w:val="3BA573AB"/>
    <w:rsid w:val="3C586CFC"/>
    <w:rsid w:val="3E3902BF"/>
    <w:rsid w:val="3EF35C42"/>
    <w:rsid w:val="448F79BF"/>
    <w:rsid w:val="4B1B26BD"/>
    <w:rsid w:val="4E1C4B0D"/>
    <w:rsid w:val="5068381D"/>
    <w:rsid w:val="514F345F"/>
    <w:rsid w:val="52F855CC"/>
    <w:rsid w:val="56F059C1"/>
    <w:rsid w:val="5AA53B13"/>
    <w:rsid w:val="5E615E76"/>
    <w:rsid w:val="620A285D"/>
    <w:rsid w:val="643A36D8"/>
    <w:rsid w:val="64E45126"/>
    <w:rsid w:val="6BFE4F32"/>
    <w:rsid w:val="6C446A21"/>
    <w:rsid w:val="76761873"/>
    <w:rsid w:val="76D76923"/>
    <w:rsid w:val="770825C9"/>
    <w:rsid w:val="7E49042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9"/>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4">
    <w:name w:val="annotation text"/>
    <w:basedOn w:val="1"/>
    <w:qFormat/>
    <w:uiPriority w:val="0"/>
    <w:pPr>
      <w:jc w:val="left"/>
    </w:pPr>
  </w:style>
  <w:style w:type="paragraph" w:customStyle="1" w:styleId="7">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8">
    <w:name w:val="默认段落字体1"/>
    <w:link w:val="1"/>
    <w:qFormat/>
    <w:uiPriority w:val="0"/>
  </w:style>
  <w:style w:type="table" w:customStyle="1" w:styleId="9">
    <w:name w:val="普通表格1"/>
    <w:qFormat/>
    <w:uiPriority w:val="0"/>
  </w:style>
  <w:style w:type="paragraph" w:customStyle="1" w:styleId="10">
    <w:name w:val="正文缩进1"/>
    <w:basedOn w:val="1"/>
    <w:qFormat/>
    <w:uiPriority w:val="0"/>
    <w:pPr>
      <w:ind w:firstLine="420" w:firstLineChars="200"/>
    </w:pPr>
  </w:style>
  <w:style w:type="paragraph" w:customStyle="1" w:styleId="11">
    <w:name w:val="批注文字1"/>
    <w:basedOn w:val="1"/>
    <w:qFormat/>
    <w:uiPriority w:val="0"/>
    <w:pPr>
      <w:jc w:val="left"/>
    </w:pPr>
  </w:style>
  <w:style w:type="paragraph" w:customStyle="1" w:styleId="12">
    <w:name w:val="正文文本1"/>
    <w:basedOn w:val="1"/>
    <w:link w:val="13"/>
    <w:qFormat/>
    <w:uiPriority w:val="0"/>
    <w:pPr>
      <w:spacing w:after="120"/>
    </w:pPr>
  </w:style>
  <w:style w:type="character" w:customStyle="1" w:styleId="13">
    <w:name w:val="正文文本 Char"/>
    <w:basedOn w:val="8"/>
    <w:link w:val="12"/>
    <w:qFormat/>
    <w:uiPriority w:val="0"/>
    <w:rPr>
      <w:rFonts w:ascii="Calibri" w:hAnsi="Calibri"/>
      <w:kern w:val="2"/>
      <w:sz w:val="21"/>
      <w:szCs w:val="24"/>
    </w:rPr>
  </w:style>
  <w:style w:type="paragraph" w:customStyle="1" w:styleId="14">
    <w:name w:val="正文文本缩进1"/>
    <w:basedOn w:val="1"/>
    <w:qFormat/>
    <w:uiPriority w:val="0"/>
    <w:pPr>
      <w:ind w:firstLine="830" w:firstLineChars="352"/>
    </w:pPr>
    <w:rPr>
      <w:rFonts w:ascii="仿宋_GB2312" w:eastAsia="仿宋_GB2312"/>
      <w:kern w:val="0"/>
      <w:sz w:val="32"/>
      <w:szCs w:val="20"/>
    </w:rPr>
  </w:style>
  <w:style w:type="paragraph" w:customStyle="1" w:styleId="15">
    <w:name w:val="页眉1"/>
    <w:basedOn w:val="1"/>
    <w:link w:val="16"/>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6">
    <w:name w:val="页眉 Char"/>
    <w:basedOn w:val="8"/>
    <w:link w:val="15"/>
    <w:qFormat/>
    <w:uiPriority w:val="0"/>
    <w:rPr>
      <w:sz w:val="18"/>
      <w:szCs w:val="18"/>
    </w:rPr>
  </w:style>
  <w:style w:type="paragraph" w:customStyle="1" w:styleId="17">
    <w:name w:val="纯文本1"/>
    <w:basedOn w:val="1"/>
    <w:link w:val="18"/>
    <w:qFormat/>
    <w:uiPriority w:val="0"/>
    <w:rPr>
      <w:rFonts w:ascii="宋体" w:hAnsi="Courier New"/>
      <w:szCs w:val="22"/>
    </w:rPr>
  </w:style>
  <w:style w:type="character" w:customStyle="1" w:styleId="18">
    <w:name w:val="纯文本 Char"/>
    <w:link w:val="17"/>
    <w:qFormat/>
    <w:uiPriority w:val="0"/>
    <w:rPr>
      <w:rFonts w:ascii="宋体" w:hAnsi="Courier New" w:eastAsia="宋体"/>
    </w:rPr>
  </w:style>
  <w:style w:type="paragraph" w:customStyle="1" w:styleId="19">
    <w:name w:val="页脚1"/>
    <w:basedOn w:val="1"/>
    <w:link w:val="20"/>
    <w:qFormat/>
    <w:uiPriority w:val="0"/>
    <w:pPr>
      <w:tabs>
        <w:tab w:val="center" w:pos="4153"/>
        <w:tab w:val="right" w:pos="8306"/>
      </w:tabs>
      <w:snapToGrid w:val="0"/>
      <w:jc w:val="left"/>
    </w:pPr>
    <w:rPr>
      <w:rFonts w:ascii="Calibri" w:hAnsi="Calibri" w:eastAsia="宋体"/>
      <w:sz w:val="18"/>
      <w:szCs w:val="18"/>
    </w:rPr>
  </w:style>
  <w:style w:type="character" w:customStyle="1" w:styleId="20">
    <w:name w:val="页脚 Char"/>
    <w:basedOn w:val="8"/>
    <w:link w:val="19"/>
    <w:qFormat/>
    <w:uiPriority w:val="0"/>
    <w:rPr>
      <w:sz w:val="18"/>
      <w:szCs w:val="18"/>
    </w:rPr>
  </w:style>
  <w:style w:type="paragraph" w:customStyle="1" w:styleId="21">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2">
    <w:name w:val="正文首行缩进1"/>
    <w:basedOn w:val="12"/>
    <w:qFormat/>
    <w:uiPriority w:val="0"/>
    <w:pPr>
      <w:spacing w:after="0" w:line="360" w:lineRule="auto"/>
      <w:ind w:firstLine="420"/>
    </w:pPr>
    <w:rPr>
      <w:rFonts w:ascii="宋体" w:hAnsi="宋体" w:eastAsia="仿宋_GB2312"/>
      <w:sz w:val="24"/>
    </w:rPr>
  </w:style>
  <w:style w:type="paragraph" w:customStyle="1" w:styleId="23">
    <w:name w:val="正文首行缩进 21"/>
    <w:basedOn w:val="14"/>
    <w:qFormat/>
    <w:uiPriority w:val="0"/>
    <w:pPr>
      <w:spacing w:after="120"/>
      <w:ind w:left="420" w:leftChars="200" w:firstLine="420" w:firstLineChars="200"/>
    </w:pPr>
    <w:rPr>
      <w:rFonts w:ascii="黑体" w:eastAsia="黑体"/>
      <w:sz w:val="20"/>
    </w:rPr>
  </w:style>
  <w:style w:type="table" w:customStyle="1" w:styleId="24">
    <w:name w:val="网格型1"/>
    <w:basedOn w:val="9"/>
    <w:qFormat/>
    <w:uiPriority w:val="0"/>
    <w:pPr>
      <w:widowControl w:val="0"/>
      <w:jc w:val="both"/>
    </w:pPr>
    <w:rPr>
      <w:rFonts w:ascii="Calibri" w:hAnsi="Calibri"/>
    </w:rPr>
  </w:style>
  <w:style w:type="character" w:customStyle="1" w:styleId="25">
    <w:name w:val="已访问的超链接1"/>
    <w:basedOn w:val="8"/>
    <w:link w:val="1"/>
    <w:qFormat/>
    <w:uiPriority w:val="0"/>
    <w:rPr>
      <w:rFonts w:ascii="Verdana" w:hAnsi="Verdana"/>
      <w:color w:val="466BFF"/>
      <w:u w:val="none"/>
    </w:rPr>
  </w:style>
  <w:style w:type="character" w:customStyle="1" w:styleId="26">
    <w:name w:val="超链接1"/>
    <w:basedOn w:val="8"/>
    <w:link w:val="1"/>
    <w:qFormat/>
    <w:uiPriority w:val="0"/>
    <w:rPr>
      <w:rFonts w:ascii="Verdana" w:hAnsi="Verdana"/>
      <w:color w:val="000033"/>
      <w:u w:val="none"/>
    </w:rPr>
  </w:style>
  <w:style w:type="character" w:customStyle="1" w:styleId="27">
    <w:name w:val="font11"/>
    <w:basedOn w:val="8"/>
    <w:link w:val="1"/>
    <w:qFormat/>
    <w:uiPriority w:val="0"/>
    <w:rPr>
      <w:rFonts w:hint="eastAsia" w:ascii="宋体" w:hAnsi="宋体" w:eastAsia="宋体"/>
      <w:color w:val="000000"/>
      <w:sz w:val="22"/>
      <w:szCs w:val="22"/>
      <w:u w:val="none"/>
    </w:rPr>
  </w:style>
  <w:style w:type="character" w:customStyle="1" w:styleId="28">
    <w:name w:val="font41"/>
    <w:basedOn w:val="8"/>
    <w:link w:val="1"/>
    <w:qFormat/>
    <w:uiPriority w:val="0"/>
    <w:rPr>
      <w:rFonts w:hint="eastAsia" w:ascii="宋体" w:hAnsi="宋体" w:eastAsia="宋体"/>
      <w:color w:val="000000"/>
      <w:sz w:val="16"/>
      <w:szCs w:val="16"/>
      <w:u w:val="none"/>
    </w:rPr>
  </w:style>
  <w:style w:type="character" w:customStyle="1" w:styleId="29">
    <w:name w:val="纯文本 Char1"/>
    <w:basedOn w:val="8"/>
    <w:link w:val="1"/>
    <w:semiHidden/>
    <w:qFormat/>
    <w:uiPriority w:val="0"/>
    <w:rPr>
      <w:rFonts w:ascii="宋体" w:hAnsi="Courier New" w:eastAsia="宋体"/>
      <w:szCs w:val="21"/>
    </w:rPr>
  </w:style>
  <w:style w:type="paragraph" w:styleId="30">
    <w:name w:val="List Paragraph"/>
    <w:basedOn w:val="1"/>
    <w:qFormat/>
    <w:uiPriority w:val="0"/>
    <w:pPr>
      <w:ind w:firstLine="420" w:firstLineChars="200"/>
    </w:pPr>
  </w:style>
  <w:style w:type="paragraph" w:customStyle="1" w:styleId="31">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 w:type="character" w:customStyle="1" w:styleId="32">
    <w:name w:val="font01"/>
    <w:basedOn w:val="6"/>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17.png"/><Relationship Id="rId20" Type="http://schemas.openxmlformats.org/officeDocument/2006/relationships/image" Target="media/image16.png"/><Relationship Id="rId2" Type="http://schemas.openxmlformats.org/officeDocument/2006/relationships/settings" Target="settings.xml"/><Relationship Id="rId19" Type="http://schemas.openxmlformats.org/officeDocument/2006/relationships/image" Target="media/image15.png"/><Relationship Id="rId18" Type="http://schemas.openxmlformats.org/officeDocument/2006/relationships/image" Target="media/image14.png"/><Relationship Id="rId17" Type="http://schemas.openxmlformats.org/officeDocument/2006/relationships/image" Target="media/image13.png"/><Relationship Id="rId16" Type="http://schemas.openxmlformats.org/officeDocument/2006/relationships/image" Target="media/image12.png"/><Relationship Id="rId15" Type="http://schemas.openxmlformats.org/officeDocument/2006/relationships/image" Target="media/image11.png"/><Relationship Id="rId14" Type="http://schemas.openxmlformats.org/officeDocument/2006/relationships/image" Target="media/image10.png"/><Relationship Id="rId13" Type="http://schemas.openxmlformats.org/officeDocument/2006/relationships/image" Target="media/image9.png"/><Relationship Id="rId12" Type="http://schemas.openxmlformats.org/officeDocument/2006/relationships/image" Target="media/image8.png"/><Relationship Id="rId11" Type="http://schemas.openxmlformats.org/officeDocument/2006/relationships/image" Target="media/image7.png"/><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11</Pages>
  <Words>6250</Words>
  <Characters>6736</Characters>
  <Lines>0</Lines>
  <Paragraphs>0</Paragraphs>
  <TotalTime>8</TotalTime>
  <ScaleCrop>false</ScaleCrop>
  <LinksUpToDate>false</LinksUpToDate>
  <CharactersWithSpaces>7237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2026-07-02T07:28:33Z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2052-12.1.0.26375</vt:lpwstr>
  </property>
  <property fmtid="{D5CDD505-2E9C-101B-9397-08002B2CF9AE}" pid="4" name="ICV">
    <vt:lpwstr>2412C652320546D39B8B916249F53577_12</vt:lpwstr>
  </property>
</Properties>
</file>