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6D0A5A">
      <w:pPr>
        <w:spacing w:line="560" w:lineRule="exact"/>
        <w:rPr>
          <w:rFonts w:hint="eastAsia" w:ascii="仿宋" w:hAnsi="仿宋" w:eastAsia="仿宋" w:cs="仿宋"/>
          <w:sz w:val="30"/>
          <w:szCs w:val="30"/>
        </w:rPr>
      </w:pPr>
      <w:bookmarkStart w:id="2" w:name="_GoBack"/>
      <w:r>
        <w:rPr>
          <w:rFonts w:hint="eastAsia" w:ascii="仿宋" w:hAnsi="仿宋" w:eastAsia="仿宋" w:cs="仿宋"/>
          <w:sz w:val="30"/>
          <w:szCs w:val="30"/>
        </w:rPr>
        <w:t>附件2：</w:t>
      </w:r>
    </w:p>
    <w:p w14:paraId="1232D59F">
      <w:pPr>
        <w:spacing w:line="360" w:lineRule="auto"/>
        <w:ind w:right="480"/>
        <w:jc w:val="center"/>
        <w:rPr>
          <w:rFonts w:hint="eastAsia" w:ascii="宋体" w:hAnsi="宋体"/>
          <w:sz w:val="24"/>
        </w:rPr>
      </w:pPr>
      <w:r>
        <w:rPr>
          <w:rFonts w:hint="eastAsia" w:ascii="宋体" w:hAnsi="宋体"/>
          <w:b/>
          <w:sz w:val="32"/>
          <w:szCs w:val="32"/>
        </w:rPr>
        <w:t>相思湖校区B1-9楼微生物与B1-5楼化学实训室安全环保达标改造子项7配套信息化设备采购项目需求一栏表</w:t>
      </w:r>
      <w:bookmarkStart w:id="0" w:name="_Toc254970490"/>
      <w:bookmarkStart w:id="1" w:name="_Toc254970631"/>
      <w:bookmarkEnd w:id="0"/>
      <w:bookmarkEnd w:id="1"/>
    </w:p>
    <w:bookmarkEnd w:id="2"/>
    <w:p w14:paraId="4339EDB5">
      <w:pPr>
        <w:spacing w:line="360" w:lineRule="exact"/>
        <w:rPr>
          <w:rFonts w:hint="eastAsia" w:ascii="宋体" w:hAnsi="宋体"/>
          <w:bCs/>
          <w:sz w:val="24"/>
        </w:rPr>
      </w:pPr>
    </w:p>
    <w:tbl>
      <w:tblPr>
        <w:tblStyle w:val="10"/>
        <w:tblW w:w="958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1550"/>
        <w:gridCol w:w="4694"/>
        <w:gridCol w:w="600"/>
        <w:gridCol w:w="600"/>
        <w:gridCol w:w="805"/>
        <w:gridCol w:w="791"/>
      </w:tblGrid>
      <w:tr w14:paraId="241BD2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20611465">
            <w:pPr>
              <w:rPr>
                <w:rFonts w:hint="eastAsia" w:ascii="方正仿宋_GB2312" w:hAnsi="方正仿宋_GB2312" w:eastAsia="方正仿宋_GB2312" w:cs="方正仿宋_GB2312"/>
                <w:b/>
                <w:bCs/>
                <w:szCs w:val="21"/>
              </w:rPr>
            </w:pPr>
            <w:r>
              <w:rPr>
                <w:rFonts w:hint="eastAsia" w:ascii="方正仿宋_GB2312" w:hAnsi="方正仿宋_GB2312" w:eastAsia="方正仿宋_GB2312" w:cs="方正仿宋_GB2312"/>
                <w:b/>
                <w:bCs/>
              </w:rPr>
              <w:br w:type="page"/>
            </w:r>
            <w:r>
              <w:rPr>
                <w:rFonts w:hint="eastAsia" w:ascii="方正仿宋_GB2312" w:hAnsi="方正仿宋_GB2312" w:eastAsia="方正仿宋_GB2312" w:cs="方正仿宋_GB2312"/>
                <w:b/>
                <w:bCs/>
                <w:szCs w:val="21"/>
              </w:rPr>
              <w:t>序号</w:t>
            </w:r>
          </w:p>
        </w:tc>
        <w:tc>
          <w:tcPr>
            <w:tcW w:w="1550" w:type="dxa"/>
            <w:tcBorders>
              <w:top w:val="single" w:color="auto" w:sz="4" w:space="0"/>
              <w:left w:val="single" w:color="auto" w:sz="4" w:space="0"/>
              <w:bottom w:val="single" w:color="auto" w:sz="4" w:space="0"/>
              <w:right w:val="single" w:color="auto" w:sz="4" w:space="0"/>
            </w:tcBorders>
            <w:vAlign w:val="center"/>
          </w:tcPr>
          <w:p w14:paraId="47581FC9">
            <w:pPr>
              <w:jc w:val="center"/>
              <w:rPr>
                <w:rFonts w:hint="eastAsia" w:ascii="方正仿宋_GB2312" w:hAnsi="方正仿宋_GB2312" w:eastAsia="方正仿宋_GB2312" w:cs="方正仿宋_GB2312"/>
                <w:b/>
                <w:bCs/>
                <w:szCs w:val="21"/>
              </w:rPr>
            </w:pPr>
            <w:r>
              <w:rPr>
                <w:rFonts w:hint="eastAsia" w:ascii="方正仿宋_GB2312" w:hAnsi="方正仿宋_GB2312" w:eastAsia="方正仿宋_GB2312" w:cs="方正仿宋_GB2312"/>
                <w:b/>
                <w:bCs/>
                <w:sz w:val="22"/>
                <w:szCs w:val="22"/>
              </w:rPr>
              <w:t>货物（或服务）名称</w:t>
            </w:r>
          </w:p>
        </w:tc>
        <w:tc>
          <w:tcPr>
            <w:tcW w:w="4694" w:type="dxa"/>
            <w:tcBorders>
              <w:top w:val="single" w:color="auto" w:sz="4" w:space="0"/>
              <w:left w:val="single" w:color="auto" w:sz="4" w:space="0"/>
              <w:bottom w:val="single" w:color="auto" w:sz="4" w:space="0"/>
              <w:right w:val="single" w:color="auto" w:sz="4" w:space="0"/>
            </w:tcBorders>
            <w:vAlign w:val="center"/>
          </w:tcPr>
          <w:p w14:paraId="1AC84B99">
            <w:pPr>
              <w:jc w:val="center"/>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b/>
                <w:bCs/>
                <w:szCs w:val="21"/>
              </w:rPr>
              <w:t>参数</w:t>
            </w:r>
          </w:p>
        </w:tc>
        <w:tc>
          <w:tcPr>
            <w:tcW w:w="600" w:type="dxa"/>
            <w:tcBorders>
              <w:top w:val="single" w:color="auto" w:sz="4" w:space="0"/>
              <w:left w:val="single" w:color="auto" w:sz="4" w:space="0"/>
              <w:bottom w:val="single" w:color="auto" w:sz="4" w:space="0"/>
              <w:right w:val="single" w:color="auto" w:sz="4" w:space="0"/>
            </w:tcBorders>
            <w:vAlign w:val="center"/>
          </w:tcPr>
          <w:p w14:paraId="1108DD70">
            <w:pPr>
              <w:jc w:val="center"/>
              <w:rPr>
                <w:rFonts w:hint="eastAsia" w:ascii="方正仿宋_GB2312" w:hAnsi="方正仿宋_GB2312" w:eastAsia="方正仿宋_GB2312" w:cs="方正仿宋_GB2312"/>
                <w:b/>
                <w:bCs/>
                <w:szCs w:val="21"/>
              </w:rPr>
            </w:pPr>
            <w:r>
              <w:rPr>
                <w:rFonts w:hint="eastAsia" w:ascii="方正仿宋_GB2312" w:hAnsi="方正仿宋_GB2312" w:eastAsia="方正仿宋_GB2312" w:cs="方正仿宋_GB2312"/>
                <w:b/>
                <w:bCs/>
                <w:szCs w:val="21"/>
              </w:rPr>
              <w:t>单位</w:t>
            </w:r>
          </w:p>
        </w:tc>
        <w:tc>
          <w:tcPr>
            <w:tcW w:w="600" w:type="dxa"/>
            <w:tcBorders>
              <w:top w:val="single" w:color="auto" w:sz="4" w:space="0"/>
              <w:left w:val="single" w:color="auto" w:sz="4" w:space="0"/>
              <w:bottom w:val="single" w:color="auto" w:sz="4" w:space="0"/>
              <w:right w:val="single" w:color="auto" w:sz="4" w:space="0"/>
            </w:tcBorders>
            <w:vAlign w:val="center"/>
          </w:tcPr>
          <w:p w14:paraId="1C23D5A6">
            <w:pPr>
              <w:jc w:val="center"/>
              <w:rPr>
                <w:rFonts w:hint="eastAsia" w:ascii="方正仿宋_GB2312" w:hAnsi="方正仿宋_GB2312" w:eastAsia="方正仿宋_GB2312" w:cs="方正仿宋_GB2312"/>
                <w:b/>
                <w:bCs/>
                <w:szCs w:val="21"/>
              </w:rPr>
            </w:pPr>
            <w:r>
              <w:rPr>
                <w:rFonts w:hint="eastAsia" w:ascii="方正仿宋_GB2312" w:hAnsi="方正仿宋_GB2312" w:eastAsia="方正仿宋_GB2312" w:cs="方正仿宋_GB2312"/>
                <w:b/>
                <w:bCs/>
                <w:szCs w:val="21"/>
              </w:rPr>
              <w:t>数量</w:t>
            </w:r>
          </w:p>
        </w:tc>
        <w:tc>
          <w:tcPr>
            <w:tcW w:w="805" w:type="dxa"/>
            <w:tcBorders>
              <w:top w:val="single" w:color="auto" w:sz="4" w:space="0"/>
              <w:left w:val="single" w:color="auto" w:sz="4" w:space="0"/>
              <w:bottom w:val="single" w:color="auto" w:sz="4" w:space="0"/>
              <w:right w:val="single" w:color="auto" w:sz="4" w:space="0"/>
            </w:tcBorders>
            <w:vAlign w:val="center"/>
          </w:tcPr>
          <w:p w14:paraId="25C8117B">
            <w:pPr>
              <w:rPr>
                <w:rFonts w:hint="eastAsia" w:ascii="方正仿宋_GB2312" w:hAnsi="方正仿宋_GB2312" w:eastAsia="方正仿宋_GB2312" w:cs="方正仿宋_GB2312"/>
                <w:b/>
                <w:bCs/>
                <w:szCs w:val="21"/>
              </w:rPr>
            </w:pPr>
            <w:r>
              <w:rPr>
                <w:rFonts w:hint="eastAsia" w:ascii="宋体" w:hAnsi="宋体" w:cs="宋体"/>
                <w:b/>
                <w:bCs/>
                <w:color w:val="000000"/>
                <w:kern w:val="0"/>
                <w:sz w:val="22"/>
                <w:szCs w:val="22"/>
                <w:lang w:bidi="ar"/>
              </w:rPr>
              <w:t>控制单价建议（元）</w:t>
            </w:r>
          </w:p>
        </w:tc>
        <w:tc>
          <w:tcPr>
            <w:tcW w:w="791" w:type="dxa"/>
            <w:tcBorders>
              <w:top w:val="single" w:color="auto" w:sz="4" w:space="0"/>
              <w:left w:val="single" w:color="auto" w:sz="4" w:space="0"/>
              <w:bottom w:val="single" w:color="auto" w:sz="4" w:space="0"/>
              <w:right w:val="single" w:color="auto" w:sz="4" w:space="0"/>
            </w:tcBorders>
            <w:vAlign w:val="center"/>
          </w:tcPr>
          <w:p w14:paraId="07535CCD">
            <w:pPr>
              <w:rPr>
                <w:rFonts w:hint="eastAsia" w:ascii="方正仿宋_GB2312" w:hAnsi="方正仿宋_GB2312" w:eastAsia="方正仿宋_GB2312" w:cs="方正仿宋_GB2312"/>
                <w:b/>
                <w:bCs/>
                <w:szCs w:val="21"/>
              </w:rPr>
            </w:pPr>
            <w:r>
              <w:rPr>
                <w:rFonts w:hint="eastAsia" w:ascii="方正仿宋_GB2312" w:hAnsi="方正仿宋_GB2312" w:eastAsia="方正仿宋_GB2312" w:cs="方正仿宋_GB2312"/>
                <w:b/>
                <w:bCs/>
                <w:szCs w:val="21"/>
              </w:rPr>
              <w:t>合计（元）</w:t>
            </w:r>
          </w:p>
        </w:tc>
      </w:tr>
      <w:tr w14:paraId="13BF20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14:paraId="5A55412A">
            <w:pPr>
              <w:tabs>
                <w:tab w:val="left" w:pos="180"/>
                <w:tab w:val="left" w:pos="1620"/>
              </w:tabs>
              <w:spacing w:line="400" w:lineRule="exact"/>
              <w:jc w:val="center"/>
              <w:rPr>
                <w:rFonts w:hint="eastAsia" w:ascii="宋体" w:hAnsi="宋体" w:cs="宋体"/>
                <w:color w:val="000000"/>
                <w:szCs w:val="21"/>
              </w:rPr>
            </w:pPr>
            <w:r>
              <w:rPr>
                <w:rFonts w:hint="eastAsia" w:ascii="宋体" w:hAnsi="宋体" w:cs="宋体"/>
                <w:color w:val="000000"/>
                <w:szCs w:val="21"/>
              </w:rPr>
              <w:t>1</w:t>
            </w:r>
          </w:p>
        </w:tc>
        <w:tc>
          <w:tcPr>
            <w:tcW w:w="1550" w:type="dxa"/>
            <w:tcBorders>
              <w:top w:val="single" w:color="auto" w:sz="4" w:space="0"/>
              <w:left w:val="single" w:color="auto" w:sz="4" w:space="0"/>
              <w:bottom w:val="single" w:color="auto" w:sz="4" w:space="0"/>
              <w:right w:val="single" w:color="auto" w:sz="4" w:space="0"/>
            </w:tcBorders>
            <w:vAlign w:val="center"/>
          </w:tcPr>
          <w:p w14:paraId="13B1D44F">
            <w:pPr>
              <w:spacing w:line="400" w:lineRule="exact"/>
              <w:jc w:val="center"/>
              <w:rPr>
                <w:rFonts w:hint="eastAsia" w:ascii="宋体" w:hAnsi="宋体" w:cs="宋体"/>
                <w:szCs w:val="21"/>
              </w:rPr>
            </w:pPr>
            <w:r>
              <w:rPr>
                <w:rFonts w:hint="eastAsia" w:ascii="宋体" w:hAnsi="宋体" w:cs="宋体"/>
                <w:szCs w:val="21"/>
              </w:rPr>
              <w:t>智能一体机</w:t>
            </w:r>
          </w:p>
        </w:tc>
        <w:tc>
          <w:tcPr>
            <w:tcW w:w="4694" w:type="dxa"/>
            <w:tcBorders>
              <w:top w:val="single" w:color="auto" w:sz="4" w:space="0"/>
              <w:left w:val="single" w:color="auto" w:sz="4" w:space="0"/>
              <w:bottom w:val="single" w:color="auto" w:sz="4" w:space="0"/>
              <w:right w:val="single" w:color="auto" w:sz="4" w:space="0"/>
            </w:tcBorders>
          </w:tcPr>
          <w:p w14:paraId="032FEAF0">
            <w:pPr>
              <w:numPr>
                <w:ilvl w:val="0"/>
                <w:numId w:val="1"/>
              </w:numPr>
              <w:spacing w:line="400" w:lineRule="exact"/>
              <w:jc w:val="left"/>
              <w:rPr>
                <w:rFonts w:hint="eastAsia" w:ascii="宋体" w:hAnsi="宋体" w:cs="宋体"/>
                <w:szCs w:val="21"/>
              </w:rPr>
            </w:pPr>
            <w:r>
              <w:rPr>
                <w:rFonts w:hint="eastAsia" w:ascii="宋体" w:hAnsi="宋体" w:cs="宋体"/>
                <w:szCs w:val="21"/>
              </w:rPr>
              <w:t>整机设计</w:t>
            </w:r>
          </w:p>
          <w:p w14:paraId="6054AF5C">
            <w:pPr>
              <w:spacing w:line="400" w:lineRule="exact"/>
              <w:jc w:val="left"/>
              <w:rPr>
                <w:rFonts w:hint="eastAsia" w:ascii="宋体" w:hAnsi="宋体" w:cs="宋体"/>
                <w:szCs w:val="21"/>
              </w:rPr>
            </w:pPr>
            <w:r>
              <w:rPr>
                <w:rFonts w:hint="eastAsia" w:ascii="宋体" w:hAnsi="宋体" w:cs="宋体"/>
                <w:szCs w:val="21"/>
              </w:rPr>
              <w:t>1、整机采用一体设计，外部无任何可见内部功能模块连接线。边角采用弧形设计，表面无尖锐边缘或凸起。</w:t>
            </w:r>
          </w:p>
          <w:p w14:paraId="2BD842C7">
            <w:pPr>
              <w:spacing w:line="400" w:lineRule="exact"/>
              <w:jc w:val="left"/>
              <w:rPr>
                <w:rFonts w:hint="eastAsia" w:ascii="宋体" w:hAnsi="宋体" w:cs="宋体"/>
                <w:szCs w:val="21"/>
              </w:rPr>
            </w:pPr>
            <w:r>
              <w:rPr>
                <w:rFonts w:hint="eastAsia" w:ascii="宋体" w:hAnsi="宋体" w:cs="宋体"/>
                <w:szCs w:val="21"/>
              </w:rPr>
              <w:t>2、整机采用边框背板一体化冲压成型，上左右三边边框与背板连接处无拼缝，提升整机整体强度和刚性，坚固可靠。</w:t>
            </w:r>
          </w:p>
          <w:p w14:paraId="22869B6B">
            <w:pPr>
              <w:spacing w:line="400" w:lineRule="exact"/>
              <w:jc w:val="left"/>
              <w:rPr>
                <w:rFonts w:hint="eastAsia" w:ascii="宋体" w:hAnsi="宋体" w:cs="宋体"/>
                <w:szCs w:val="21"/>
              </w:rPr>
            </w:pPr>
            <w:r>
              <w:rPr>
                <w:rFonts w:hint="eastAsia" w:ascii="宋体" w:hAnsi="宋体" w:cs="宋体"/>
                <w:szCs w:val="21"/>
              </w:rPr>
              <w:t>3、整机屏幕边缘采用金属圆角包边防护，整机背板采用金属材质，有效屏蔽内部电路器件辐射；防潮耐盐雾蚀锈，适应多种教学环境。</w:t>
            </w:r>
          </w:p>
          <w:p w14:paraId="21052A85">
            <w:pPr>
              <w:spacing w:line="400" w:lineRule="exact"/>
              <w:jc w:val="left"/>
              <w:rPr>
                <w:rFonts w:hint="eastAsia" w:ascii="宋体" w:hAnsi="宋体" w:cs="宋体"/>
                <w:szCs w:val="21"/>
              </w:rPr>
            </w:pPr>
            <w:r>
              <w:rPr>
                <w:rFonts w:hint="eastAsia" w:ascii="宋体" w:hAnsi="宋体" w:cs="宋体"/>
                <w:szCs w:val="21"/>
              </w:rPr>
              <w:t>4、整机左、右、下三边框皆具备磁吸功能，边框任意位置可吸附具备磁吸功能的书写笔，吸附稳定不掉落，磁吸拉力≥60g，方便教具的收纳管理。</w:t>
            </w:r>
          </w:p>
          <w:p w14:paraId="5E3CF134">
            <w:pPr>
              <w:spacing w:line="400" w:lineRule="exact"/>
              <w:jc w:val="left"/>
              <w:rPr>
                <w:rFonts w:hint="eastAsia" w:ascii="宋体" w:hAnsi="宋体" w:cs="宋体"/>
                <w:szCs w:val="21"/>
              </w:rPr>
            </w:pPr>
            <w:r>
              <w:rPr>
                <w:rFonts w:hint="eastAsia" w:ascii="宋体" w:hAnsi="宋体" w:cs="宋体"/>
                <w:szCs w:val="21"/>
              </w:rPr>
              <w:t>5、整机屏幕采用≥86英寸液晶显示器，整机采⽤超⾼清LED液晶屏，显示⽐例16:9，分辨率3840x2160，可视⻆度≥178°。（投标时须提供具有CMA或CNAS认证的第三方检测机构所出具的关于该功能的检测报告复印件）</w:t>
            </w:r>
          </w:p>
          <w:p w14:paraId="62FE3D44">
            <w:pPr>
              <w:spacing w:line="400" w:lineRule="exact"/>
              <w:jc w:val="left"/>
              <w:rPr>
                <w:rFonts w:hint="eastAsia" w:ascii="宋体" w:hAnsi="宋体" w:cs="宋体"/>
                <w:szCs w:val="21"/>
              </w:rPr>
            </w:pPr>
            <w:r>
              <w:rPr>
                <w:rFonts w:hint="eastAsia" w:ascii="宋体" w:hAnsi="宋体" w:cs="宋体"/>
                <w:szCs w:val="21"/>
              </w:rPr>
              <w:t>6、灰阶等级≥256级。</w:t>
            </w:r>
          </w:p>
          <w:p w14:paraId="4E8150B0">
            <w:pPr>
              <w:spacing w:line="400" w:lineRule="exact"/>
              <w:jc w:val="left"/>
              <w:rPr>
                <w:rFonts w:hint="eastAsia" w:ascii="宋体" w:hAnsi="宋体" w:cs="宋体"/>
                <w:szCs w:val="21"/>
              </w:rPr>
            </w:pPr>
            <w:r>
              <w:rPr>
                <w:rFonts w:hint="eastAsia" w:ascii="宋体" w:hAnsi="宋体" w:cs="宋体"/>
                <w:szCs w:val="21"/>
              </w:rPr>
              <w:t>二、触摸与显示系统设计</w:t>
            </w:r>
          </w:p>
          <w:p w14:paraId="52015ADC">
            <w:pPr>
              <w:spacing w:line="400" w:lineRule="exact"/>
              <w:jc w:val="left"/>
              <w:rPr>
                <w:rFonts w:hint="eastAsia" w:ascii="宋体" w:hAnsi="宋体" w:cs="宋体"/>
                <w:szCs w:val="21"/>
              </w:rPr>
            </w:pPr>
            <w:r>
              <w:rPr>
                <w:rFonts w:hint="eastAsia" w:ascii="宋体" w:hAnsi="宋体" w:cs="宋体"/>
                <w:szCs w:val="21"/>
              </w:rPr>
              <w:t>1、采用红外触控技术，Windows系统和Android系统均支持≥50点触控及书写划线。（投标时须提供具有CMA或CNAS认证的第三方检测机构所出具的关于该功能的检测报告复印件）</w:t>
            </w:r>
          </w:p>
          <w:p w14:paraId="19078B7B">
            <w:pPr>
              <w:spacing w:line="400" w:lineRule="exact"/>
              <w:jc w:val="left"/>
              <w:rPr>
                <w:rFonts w:hint="eastAsia" w:ascii="宋体" w:hAnsi="宋体" w:cs="宋体"/>
                <w:szCs w:val="21"/>
              </w:rPr>
            </w:pPr>
            <w:r>
              <w:rPr>
                <w:rFonts w:hint="eastAsia" w:ascii="宋体" w:hAnsi="宋体" w:cs="宋体"/>
                <w:szCs w:val="21"/>
              </w:rPr>
              <w:t>2、整机屏幕触摸有效识别高度不超过1.5mm，即触摸物体距离玻璃外表面高度不超过1.5mm时，触摸屏识别为点击操作。</w:t>
            </w:r>
          </w:p>
          <w:p w14:paraId="517EB431">
            <w:pPr>
              <w:spacing w:line="400" w:lineRule="exact"/>
              <w:jc w:val="left"/>
              <w:rPr>
                <w:rFonts w:hint="eastAsia" w:ascii="宋体" w:hAnsi="宋体" w:cs="宋体"/>
                <w:szCs w:val="21"/>
              </w:rPr>
            </w:pPr>
            <w:r>
              <w:rPr>
                <w:rFonts w:hint="eastAsia" w:ascii="宋体" w:hAnsi="宋体" w:cs="宋体"/>
                <w:szCs w:val="21"/>
              </w:rPr>
              <w:t>3、整机触控书写功能集成预测算法，支持多档预测速度可调节，在书写速度≥50cm/s，支持笔迹距离笔的距离小于20mm。</w:t>
            </w:r>
          </w:p>
          <w:p w14:paraId="04D392B9">
            <w:pPr>
              <w:spacing w:line="400" w:lineRule="exact"/>
              <w:jc w:val="left"/>
              <w:rPr>
                <w:rFonts w:hint="eastAsia" w:ascii="宋体" w:hAnsi="宋体" w:cs="宋体"/>
                <w:szCs w:val="21"/>
              </w:rPr>
            </w:pPr>
            <w:r>
              <w:rPr>
                <w:rFonts w:hint="eastAsia" w:ascii="宋体" w:hAnsi="宋体" w:cs="宋体"/>
                <w:szCs w:val="21"/>
              </w:rPr>
              <w:t>4、整机书写触控延迟≤25ms。</w:t>
            </w:r>
          </w:p>
          <w:p w14:paraId="43B06B4B">
            <w:pPr>
              <w:spacing w:line="400" w:lineRule="exact"/>
              <w:jc w:val="left"/>
              <w:rPr>
                <w:rFonts w:hint="eastAsia" w:ascii="宋体" w:hAnsi="宋体" w:cs="宋体"/>
                <w:szCs w:val="21"/>
              </w:rPr>
            </w:pPr>
            <w:r>
              <w:rPr>
                <w:rFonts w:hint="eastAsia" w:ascii="宋体" w:hAnsi="宋体" w:cs="宋体"/>
                <w:szCs w:val="21"/>
              </w:rPr>
              <w:t>5、整机支持提笔书写，在Windows系统下可实现无需点击任意功能入口，当检测到红外笔笔尖接触屏幕时，自动进入书写模式。</w:t>
            </w:r>
          </w:p>
          <w:p w14:paraId="6210FCE7">
            <w:pPr>
              <w:spacing w:line="400" w:lineRule="exact"/>
              <w:jc w:val="left"/>
              <w:rPr>
                <w:rFonts w:hint="eastAsia" w:ascii="宋体" w:hAnsi="宋体" w:cs="宋体"/>
                <w:szCs w:val="21"/>
              </w:rPr>
            </w:pPr>
            <w:r>
              <w:rPr>
                <w:rFonts w:hint="eastAsia" w:ascii="宋体" w:hAnsi="宋体" w:cs="宋体"/>
                <w:szCs w:val="21"/>
              </w:rPr>
              <w:t>6、支持智能板擦功能，系统可根据触控物体的形状自动识别出实物板擦，可擦除电子白板中的内容，无需依赖外部电子设备。</w:t>
            </w:r>
          </w:p>
          <w:p w14:paraId="40C30FE5">
            <w:pPr>
              <w:spacing w:line="400" w:lineRule="exact"/>
              <w:jc w:val="left"/>
              <w:rPr>
                <w:rFonts w:hint="eastAsia" w:ascii="宋体" w:hAnsi="宋体" w:cs="宋体"/>
                <w:szCs w:val="21"/>
              </w:rPr>
            </w:pPr>
            <w:r>
              <w:rPr>
                <w:rFonts w:hint="eastAsia" w:ascii="宋体" w:hAnsi="宋体" w:cs="宋体"/>
                <w:szCs w:val="21"/>
              </w:rPr>
              <w:t>7、支持Windows 7、Windows 8、Windows 10、Windows11、Linux、Mac Os、UOS和麒麟系统外置电脑操作系统接入时，无需安装触摸驱动。</w:t>
            </w:r>
          </w:p>
          <w:p w14:paraId="1645A633">
            <w:pPr>
              <w:spacing w:line="400" w:lineRule="exact"/>
              <w:jc w:val="left"/>
              <w:rPr>
                <w:rFonts w:hint="eastAsia" w:ascii="宋体" w:hAnsi="宋体" w:cs="宋体"/>
                <w:szCs w:val="21"/>
              </w:rPr>
            </w:pPr>
            <w:r>
              <w:rPr>
                <w:rFonts w:hint="eastAsia" w:ascii="宋体" w:hAnsi="宋体" w:cs="宋体"/>
                <w:szCs w:val="21"/>
              </w:rPr>
              <w:t>8、整机触摸支持动态压力感应，支持无任何电子功能的普通书写笔在整机上书写或点压时，整机能感应压力变化，书写或点压过程笔迹呈现不同粗细。</w:t>
            </w:r>
          </w:p>
          <w:p w14:paraId="0905BC7C">
            <w:pPr>
              <w:spacing w:line="400" w:lineRule="exact"/>
              <w:jc w:val="left"/>
              <w:rPr>
                <w:rFonts w:hint="eastAsia" w:ascii="宋体" w:hAnsi="宋体" w:cs="宋体"/>
                <w:szCs w:val="21"/>
              </w:rPr>
            </w:pPr>
            <w:r>
              <w:rPr>
                <w:rFonts w:hint="eastAsia" w:ascii="宋体" w:hAnsi="宋体" w:cs="宋体"/>
                <w:szCs w:val="21"/>
              </w:rPr>
              <w:t>9、采用全物理钢化玻璃，有效保护屏幕显示画面，采用防眩光玻璃，屏幕支持防眩光功能，钢化玻璃表面硬度≥9H。</w:t>
            </w:r>
          </w:p>
          <w:p w14:paraId="3C1C9F3D">
            <w:pPr>
              <w:spacing w:line="400" w:lineRule="exact"/>
              <w:jc w:val="left"/>
              <w:rPr>
                <w:rFonts w:hint="eastAsia" w:ascii="宋体" w:hAnsi="宋体" w:cs="宋体"/>
                <w:szCs w:val="21"/>
              </w:rPr>
            </w:pPr>
            <w:r>
              <w:rPr>
                <w:rFonts w:hint="eastAsia" w:ascii="宋体" w:hAnsi="宋体" w:cs="宋体"/>
                <w:szCs w:val="21"/>
              </w:rPr>
              <w:t>10、整机背光系统支持DC调光方式，多级亮度调节，支持白颜色背景下最暗亮度≤100nit，用于提升显示对比度。</w:t>
            </w:r>
          </w:p>
          <w:p w14:paraId="3115B7DC">
            <w:pPr>
              <w:spacing w:line="400" w:lineRule="exact"/>
              <w:jc w:val="left"/>
              <w:rPr>
                <w:rFonts w:hint="eastAsia" w:ascii="宋体" w:hAnsi="宋体" w:cs="宋体"/>
                <w:szCs w:val="21"/>
              </w:rPr>
            </w:pPr>
            <w:r>
              <w:rPr>
                <w:rFonts w:hint="eastAsia" w:ascii="宋体" w:hAnsi="宋体" w:cs="宋体"/>
                <w:szCs w:val="21"/>
              </w:rPr>
              <w:t>11、整机屏幕蓝光占比（有害蓝光415～455nm能量综合）/（整体蓝光400～500nm能量综合）＜50%。（投标时须提供具有CMA或CNAS认证的第三方检测机构所出具的关于该功能的检测报告复印件）</w:t>
            </w:r>
          </w:p>
          <w:p w14:paraId="293B3E74">
            <w:pPr>
              <w:spacing w:line="400" w:lineRule="exact"/>
              <w:jc w:val="left"/>
              <w:rPr>
                <w:rFonts w:hint="eastAsia" w:ascii="宋体" w:hAnsi="宋体" w:cs="宋体"/>
                <w:szCs w:val="21"/>
              </w:rPr>
            </w:pPr>
            <w:r>
              <w:rPr>
                <w:rFonts w:hint="eastAsia" w:ascii="宋体" w:hAnsi="宋体" w:cs="宋体"/>
                <w:szCs w:val="21"/>
              </w:rPr>
              <w:t>12、支持自定义图像设置，可对对比度、屏幕色温、图像亮度、亮度范围、色彩空间调节设置。</w:t>
            </w:r>
          </w:p>
          <w:p w14:paraId="60D79F36">
            <w:pPr>
              <w:spacing w:line="400" w:lineRule="exact"/>
              <w:jc w:val="left"/>
              <w:rPr>
                <w:rFonts w:hint="eastAsia" w:ascii="宋体" w:hAnsi="宋体" w:cs="宋体"/>
                <w:szCs w:val="21"/>
              </w:rPr>
            </w:pPr>
            <w:r>
              <w:rPr>
                <w:rFonts w:hint="eastAsia" w:ascii="宋体" w:hAnsi="宋体" w:cs="宋体"/>
                <w:szCs w:val="21"/>
              </w:rPr>
              <w:t>13、整机全通道支持纸质护眼模式，可实现画面纹理的实时调整；支持纸质纹理：牛皮纸、素描纸、宣纸、水彩纸、水纹纸；支持透明度调节；支持色温调节。</w:t>
            </w:r>
          </w:p>
          <w:p w14:paraId="4B03C7DD">
            <w:pPr>
              <w:spacing w:line="400" w:lineRule="exact"/>
              <w:jc w:val="left"/>
              <w:rPr>
                <w:rFonts w:hint="eastAsia" w:ascii="宋体" w:hAnsi="宋体" w:cs="宋体"/>
                <w:szCs w:val="21"/>
              </w:rPr>
            </w:pPr>
            <w:r>
              <w:rPr>
                <w:rFonts w:hint="eastAsia" w:ascii="宋体" w:hAnsi="宋体" w:cs="宋体"/>
                <w:szCs w:val="21"/>
              </w:rPr>
              <w:t>14、纸质护眼模式下，显示画面各像素点灰度不规则，减少背景干扰。</w:t>
            </w:r>
          </w:p>
          <w:p w14:paraId="6B173CAE">
            <w:pPr>
              <w:spacing w:line="400" w:lineRule="exact"/>
              <w:jc w:val="left"/>
              <w:rPr>
                <w:rFonts w:hint="eastAsia" w:ascii="宋体" w:hAnsi="宋体" w:cs="宋体"/>
                <w:szCs w:val="21"/>
              </w:rPr>
            </w:pPr>
            <w:r>
              <w:rPr>
                <w:rFonts w:hint="eastAsia" w:ascii="宋体" w:hAnsi="宋体" w:cs="宋体"/>
                <w:szCs w:val="21"/>
              </w:rPr>
              <w:t>三、系统功能设计</w:t>
            </w:r>
          </w:p>
          <w:p w14:paraId="757FBF6A">
            <w:pPr>
              <w:spacing w:line="400" w:lineRule="exact"/>
              <w:jc w:val="left"/>
              <w:rPr>
                <w:rFonts w:hint="eastAsia" w:ascii="宋体" w:hAnsi="宋体" w:cs="宋体"/>
                <w:szCs w:val="21"/>
              </w:rPr>
            </w:pPr>
            <w:r>
              <w:rPr>
                <w:rFonts w:hint="eastAsia" w:ascii="宋体" w:hAnsi="宋体" w:cs="宋体"/>
                <w:szCs w:val="21"/>
              </w:rPr>
              <w:t>1、外接电脑设备连接整机且触摸信号连通时，外接电脑设备可直接读取整机前置USB接口的移动存储设备数据，连接整机前置USB接口的翻页笔和无线键鼠外接设备可直接使用于外接电脑。</w:t>
            </w:r>
          </w:p>
          <w:p w14:paraId="40DF4E67">
            <w:pPr>
              <w:spacing w:line="400" w:lineRule="exact"/>
              <w:jc w:val="left"/>
              <w:rPr>
                <w:rFonts w:hint="eastAsia" w:ascii="宋体" w:hAnsi="宋体" w:cs="宋体"/>
                <w:szCs w:val="21"/>
              </w:rPr>
            </w:pPr>
            <w:r>
              <w:rPr>
                <w:rFonts w:hint="eastAsia" w:ascii="宋体" w:hAnsi="宋体" w:cs="宋体"/>
                <w:szCs w:val="21"/>
              </w:rPr>
              <w:t>2、支持智能 U 盘锁功能，U 盘锁开启后整机触摸及按键被锁定，锁定后无法随意自由操作，需要使用时插入 USB key 可解锁。</w:t>
            </w:r>
          </w:p>
          <w:p w14:paraId="51CF99DD">
            <w:pPr>
              <w:spacing w:line="400" w:lineRule="exact"/>
              <w:jc w:val="left"/>
              <w:rPr>
                <w:rFonts w:hint="eastAsia" w:ascii="宋体" w:hAnsi="宋体" w:cs="宋体"/>
                <w:szCs w:val="21"/>
              </w:rPr>
            </w:pPr>
            <w:r>
              <w:rPr>
                <w:rFonts w:hint="eastAsia" w:ascii="宋体" w:hAnsi="宋体" w:cs="宋体"/>
                <w:szCs w:val="21"/>
              </w:rPr>
              <w:t>3、在整机全信号源通道下，支持十指长按屏幕5秒的方式实现触摸锁定及解锁，触摸锁定时整机无法被触控操作。</w:t>
            </w:r>
          </w:p>
          <w:p w14:paraId="244E81F6">
            <w:pPr>
              <w:spacing w:line="400" w:lineRule="exact"/>
              <w:jc w:val="left"/>
              <w:rPr>
                <w:rFonts w:hint="eastAsia" w:ascii="宋体" w:hAnsi="宋体" w:cs="宋体"/>
                <w:szCs w:val="21"/>
              </w:rPr>
            </w:pPr>
            <w:r>
              <w:rPr>
                <w:rFonts w:hint="eastAsia" w:ascii="宋体" w:hAnsi="宋体" w:cs="宋体"/>
                <w:szCs w:val="21"/>
              </w:rPr>
              <w:t>4、支持半屏模式，将Windows显示画面上半部分下拉到屏幕下半部分显示，此时依然可以正常触控操作Windows系统；点击非Windows显示画面区域（屏幕上半部分），即可退出该模式。</w:t>
            </w:r>
          </w:p>
          <w:p w14:paraId="72DC8990">
            <w:pPr>
              <w:spacing w:line="400" w:lineRule="exact"/>
              <w:jc w:val="left"/>
              <w:rPr>
                <w:rFonts w:hint="eastAsia" w:ascii="宋体" w:hAnsi="宋体" w:cs="宋体"/>
                <w:szCs w:val="21"/>
              </w:rPr>
            </w:pPr>
            <w:r>
              <w:rPr>
                <w:rFonts w:hint="eastAsia" w:ascii="宋体" w:hAnsi="宋体" w:cs="宋体"/>
                <w:szCs w:val="21"/>
              </w:rPr>
              <w:t>5、整机具备智能手势识别功能，在整机全信号源通道下均可识别五指上、下、左、右方向手势，五指画O、画~、左右晃动、缩/放方向手势滑动并调用相应功能。支持将各手势滑动方向自定义设置为无操作、熄屏、批注、桌面、半屏模式。</w:t>
            </w:r>
          </w:p>
          <w:p w14:paraId="1196594B">
            <w:pPr>
              <w:spacing w:line="400" w:lineRule="exact"/>
              <w:jc w:val="left"/>
              <w:rPr>
                <w:rFonts w:hint="eastAsia" w:ascii="宋体" w:hAnsi="宋体" w:cs="宋体"/>
                <w:szCs w:val="21"/>
              </w:rPr>
            </w:pPr>
            <w:r>
              <w:rPr>
                <w:rFonts w:hint="eastAsia" w:ascii="宋体" w:hAnsi="宋体" w:cs="宋体"/>
                <w:szCs w:val="21"/>
              </w:rPr>
              <w:t>四、嵌入式系统</w:t>
            </w:r>
          </w:p>
          <w:p w14:paraId="4FEC4F03">
            <w:pPr>
              <w:spacing w:line="400" w:lineRule="exact"/>
              <w:jc w:val="left"/>
              <w:rPr>
                <w:rFonts w:hint="eastAsia" w:ascii="宋体" w:hAnsi="宋体" w:cs="宋体"/>
                <w:szCs w:val="21"/>
              </w:rPr>
            </w:pPr>
            <w:r>
              <w:rPr>
                <w:rFonts w:hint="eastAsia" w:ascii="宋体" w:hAnsi="宋体" w:cs="宋体"/>
                <w:szCs w:val="21"/>
              </w:rPr>
              <w:t>1、整机嵌入式系统版本≥Android 15，内存≥2GB，存储空间≥32GB。（投标时须提供具有CMA或CNAS认证的第三方检测机构所出具的关于该功能的检测报告复印件）</w:t>
            </w:r>
          </w:p>
          <w:p w14:paraId="37A00BD8">
            <w:pPr>
              <w:spacing w:line="400" w:lineRule="exact"/>
              <w:jc w:val="left"/>
              <w:rPr>
                <w:rFonts w:hint="eastAsia" w:ascii="宋体" w:hAnsi="宋体" w:cs="宋体"/>
                <w:szCs w:val="21"/>
              </w:rPr>
            </w:pPr>
            <w:r>
              <w:rPr>
                <w:rFonts w:hint="eastAsia" w:ascii="宋体" w:hAnsi="宋体" w:cs="宋体"/>
                <w:szCs w:val="21"/>
              </w:rPr>
              <w:t>2、嵌入式Android操作系统下，白板支持对已经书写的笔迹和形状和颜色进行更换。</w:t>
            </w:r>
          </w:p>
          <w:p w14:paraId="11F32A93">
            <w:pPr>
              <w:spacing w:line="400" w:lineRule="exact"/>
              <w:jc w:val="left"/>
              <w:rPr>
                <w:rFonts w:hint="eastAsia" w:ascii="宋体" w:hAnsi="宋体" w:cs="宋体"/>
                <w:szCs w:val="21"/>
              </w:rPr>
            </w:pPr>
            <w:r>
              <w:rPr>
                <w:rFonts w:hint="eastAsia" w:ascii="宋体" w:hAnsi="宋体" w:cs="宋体"/>
                <w:szCs w:val="21"/>
              </w:rPr>
              <w:t>3、在嵌入式系统下使用白板软件时，整机可自行调节屏幕亮度。</w:t>
            </w:r>
          </w:p>
          <w:p w14:paraId="38B4F95B">
            <w:pPr>
              <w:spacing w:line="400" w:lineRule="exact"/>
              <w:jc w:val="left"/>
              <w:rPr>
                <w:rFonts w:hint="eastAsia" w:ascii="宋体" w:hAnsi="宋体" w:cs="宋体"/>
                <w:szCs w:val="21"/>
              </w:rPr>
            </w:pPr>
            <w:r>
              <w:rPr>
                <w:rFonts w:hint="eastAsia" w:ascii="宋体" w:hAnsi="宋体" w:cs="宋体"/>
                <w:szCs w:val="21"/>
              </w:rPr>
              <w:t>4、嵌入式Android操作系统下，互动白板支持不同背景颜色，同时提供学科背景，如：五线谱、信纸、田字格、英文格、篮球和足球场地平面图。</w:t>
            </w:r>
          </w:p>
          <w:p w14:paraId="11CEFB7E">
            <w:pPr>
              <w:spacing w:line="400" w:lineRule="exact"/>
              <w:jc w:val="left"/>
              <w:rPr>
                <w:rFonts w:hint="eastAsia" w:ascii="宋体" w:hAnsi="宋体" w:cs="宋体"/>
                <w:szCs w:val="21"/>
              </w:rPr>
            </w:pPr>
            <w:r>
              <w:rPr>
                <w:rFonts w:hint="eastAsia" w:ascii="宋体" w:hAnsi="宋体" w:cs="宋体"/>
                <w:szCs w:val="21"/>
              </w:rPr>
              <w:t>5、无 PC 模块状态下，嵌入式Android 系统内置白板软件支持十笔书写及手掌擦除（手掌擦除面积根据手掌与屏幕的接触面大小自动调整）， 白板书写内容可以 PDF 、IWB 和SVG 格式导出。支持 10 种以上平面图形工具。支持 8 种以上立体图形工具。</w:t>
            </w:r>
          </w:p>
          <w:p w14:paraId="4C92C5AC">
            <w:pPr>
              <w:spacing w:line="400" w:lineRule="exact"/>
              <w:jc w:val="left"/>
              <w:rPr>
                <w:rFonts w:hint="eastAsia" w:ascii="宋体" w:hAnsi="宋体" w:cs="宋体"/>
                <w:szCs w:val="21"/>
              </w:rPr>
            </w:pPr>
            <w:r>
              <w:rPr>
                <w:rFonts w:hint="eastAsia" w:ascii="宋体" w:hAnsi="宋体" w:cs="宋体"/>
                <w:szCs w:val="21"/>
              </w:rPr>
              <w:t>五、画面采集与音频系统设计</w:t>
            </w:r>
          </w:p>
          <w:p w14:paraId="35B63A77">
            <w:pPr>
              <w:spacing w:line="400" w:lineRule="exact"/>
              <w:jc w:val="left"/>
              <w:rPr>
                <w:rFonts w:hint="eastAsia" w:ascii="宋体" w:hAnsi="宋体" w:cs="宋体"/>
                <w:szCs w:val="21"/>
              </w:rPr>
            </w:pPr>
            <w:r>
              <w:rPr>
                <w:rFonts w:hint="eastAsia" w:ascii="宋体" w:hAnsi="宋体" w:cs="宋体"/>
                <w:szCs w:val="21"/>
              </w:rPr>
              <w:t>1、整机上边框内置非独立式摄像头，摄像头数量≥5个，其中至少四个摄像头像素值均≥1300 万，支持拍摄有效像素数≥5200万的照片，支持拍摄8192×2772分辨率的视频。（投标时须提供具有CMA或CNAS认证的第三方检测机构所出具的关于该功能的检测报告复印件）</w:t>
            </w:r>
          </w:p>
          <w:p w14:paraId="2AEDBF0C">
            <w:pPr>
              <w:spacing w:line="400" w:lineRule="exact"/>
              <w:jc w:val="left"/>
              <w:rPr>
                <w:rFonts w:hint="eastAsia" w:ascii="宋体" w:hAnsi="宋体" w:cs="宋体"/>
                <w:szCs w:val="21"/>
              </w:rPr>
            </w:pPr>
            <w:r>
              <w:rPr>
                <w:rFonts w:hint="eastAsia" w:ascii="宋体" w:hAnsi="宋体" w:cs="宋体"/>
                <w:szCs w:val="21"/>
              </w:rPr>
              <w:t>2、整机上边框内置至少5个摄像头，其中广角摄像头最大视场角≥145度且水平视场角≥130度，支持输出4:3、16:9比例的图片和视频；在清晰度为3840x2160分辨率下，支持30帧的视频输出。</w:t>
            </w:r>
          </w:p>
          <w:p w14:paraId="7DC704B3">
            <w:pPr>
              <w:spacing w:line="400" w:lineRule="exact"/>
              <w:jc w:val="left"/>
              <w:rPr>
                <w:rFonts w:hint="eastAsia" w:ascii="宋体" w:hAnsi="宋体" w:cs="宋体"/>
                <w:szCs w:val="21"/>
              </w:rPr>
            </w:pPr>
            <w:r>
              <w:rPr>
                <w:rFonts w:hint="eastAsia" w:ascii="宋体" w:hAnsi="宋体" w:cs="宋体"/>
                <w:szCs w:val="21"/>
              </w:rPr>
              <w:t>3、整机内置广角主摄，支持畸变矫正功能，TV畸变≤10%。</w:t>
            </w:r>
          </w:p>
          <w:p w14:paraId="570C42F5">
            <w:pPr>
              <w:spacing w:line="400" w:lineRule="exact"/>
              <w:jc w:val="left"/>
              <w:rPr>
                <w:rFonts w:hint="eastAsia" w:ascii="宋体" w:hAnsi="宋体" w:cs="宋体"/>
                <w:szCs w:val="21"/>
              </w:rPr>
            </w:pPr>
            <w:r>
              <w:rPr>
                <w:rFonts w:hint="eastAsia" w:ascii="宋体" w:hAnsi="宋体" w:cs="宋体"/>
                <w:szCs w:val="21"/>
              </w:rPr>
              <w:t>4、整机具备多个摄像头画面智能拼接技术，拼接摄像头画面可支持1s内快速动态融合。</w:t>
            </w:r>
          </w:p>
          <w:p w14:paraId="0C719BA1">
            <w:pPr>
              <w:spacing w:line="400" w:lineRule="exact"/>
              <w:jc w:val="left"/>
              <w:rPr>
                <w:rFonts w:hint="eastAsia" w:ascii="宋体" w:hAnsi="宋体" w:cs="宋体"/>
                <w:szCs w:val="21"/>
              </w:rPr>
            </w:pPr>
            <w:r>
              <w:rPr>
                <w:rFonts w:hint="eastAsia" w:ascii="宋体" w:hAnsi="宋体" w:cs="宋体"/>
                <w:szCs w:val="21"/>
              </w:rPr>
              <w:t>5、整机摄像头支持环境色温判断，根据环境调节合适的显示图像效果。</w:t>
            </w:r>
          </w:p>
          <w:p w14:paraId="7D6C352B">
            <w:pPr>
              <w:spacing w:line="400" w:lineRule="exact"/>
              <w:jc w:val="left"/>
              <w:rPr>
                <w:rFonts w:hint="eastAsia" w:ascii="宋体" w:hAnsi="宋体" w:cs="宋体"/>
                <w:szCs w:val="21"/>
              </w:rPr>
            </w:pPr>
            <w:r>
              <w:rPr>
                <w:rFonts w:hint="eastAsia" w:ascii="宋体" w:hAnsi="宋体" w:cs="宋体"/>
                <w:szCs w:val="21"/>
              </w:rPr>
              <w:t>6、整机支持上边框内置非独立摄像头模组，同时输出至少3路视频流，同时支持课堂远程巡课、课堂教学数据采集、本地画面预览（拍照或视频录制）。</w:t>
            </w:r>
          </w:p>
          <w:p w14:paraId="3B40AFFA">
            <w:pPr>
              <w:spacing w:line="400" w:lineRule="exact"/>
              <w:jc w:val="left"/>
              <w:rPr>
                <w:rFonts w:hint="eastAsia" w:ascii="宋体" w:hAnsi="宋体" w:cs="宋体"/>
                <w:szCs w:val="21"/>
              </w:rPr>
            </w:pPr>
            <w:r>
              <w:rPr>
                <w:rFonts w:hint="eastAsia" w:ascii="宋体" w:hAnsi="宋体" w:cs="宋体"/>
                <w:szCs w:val="21"/>
              </w:rPr>
              <w:t>7、整机摄像头支持人脸识别、清点人数、随机抽人；识别所有学生，显示标记，然后随机抽选，同时显示标记不少于60人。</w:t>
            </w:r>
          </w:p>
          <w:p w14:paraId="3BABDF50">
            <w:pPr>
              <w:spacing w:line="400" w:lineRule="exact"/>
              <w:jc w:val="left"/>
              <w:rPr>
                <w:rFonts w:hint="eastAsia" w:ascii="宋体" w:hAnsi="宋体" w:cs="宋体"/>
                <w:szCs w:val="21"/>
              </w:rPr>
            </w:pPr>
            <w:r>
              <w:rPr>
                <w:rFonts w:hint="eastAsia" w:ascii="宋体" w:hAnsi="宋体" w:cs="宋体"/>
                <w:szCs w:val="21"/>
              </w:rPr>
              <w:t>8、整机内置2.2声道扬声器，位于设备上边框，顶置朝前发声，12W高音扬声器2个，上朝向30W中低音扬声器2个，最大功率≥84W，单个扬声器容积≥0.62L，最低谐振频率≤85Hz。（投标时须提供具有CMA或CNAS认证的第三方检测机构所出具的关于该功能的检测报告复印件）</w:t>
            </w:r>
          </w:p>
          <w:p w14:paraId="4BA2E391">
            <w:pPr>
              <w:spacing w:line="400" w:lineRule="exact"/>
              <w:jc w:val="left"/>
              <w:rPr>
                <w:rFonts w:hint="eastAsia" w:ascii="宋体" w:hAnsi="宋体" w:cs="宋体"/>
                <w:szCs w:val="21"/>
              </w:rPr>
            </w:pPr>
            <w:r>
              <w:rPr>
                <w:rFonts w:hint="eastAsia" w:ascii="宋体" w:hAnsi="宋体" w:cs="宋体"/>
                <w:szCs w:val="21"/>
              </w:rPr>
              <w:t>9、整机可选择高级音效设置，支持在左右声道平衡显示范围中进行更改。中低频段可选择调节范围125Hz～1kHz，高频段可选择调节范围 2kHz～16kHz，分贝可选择调节范围-12dB～12dB。</w:t>
            </w:r>
          </w:p>
          <w:p w14:paraId="430113E8">
            <w:pPr>
              <w:spacing w:line="400" w:lineRule="exact"/>
              <w:jc w:val="left"/>
              <w:rPr>
                <w:rFonts w:hint="eastAsia" w:ascii="宋体" w:hAnsi="宋体" w:cs="宋体"/>
                <w:szCs w:val="21"/>
              </w:rPr>
            </w:pPr>
            <w:r>
              <w:rPr>
                <w:rFonts w:hint="eastAsia" w:ascii="宋体" w:hAnsi="宋体" w:cs="宋体"/>
                <w:szCs w:val="21"/>
              </w:rPr>
              <w:t>10、整机内置扬声器采用缝隙发声技术，喇叭采用槽式开口设计。</w:t>
            </w:r>
          </w:p>
          <w:p w14:paraId="1B658A25">
            <w:pPr>
              <w:spacing w:line="400" w:lineRule="exact"/>
              <w:jc w:val="left"/>
              <w:rPr>
                <w:rFonts w:hint="eastAsia" w:ascii="宋体" w:hAnsi="宋体" w:cs="宋体"/>
                <w:szCs w:val="21"/>
              </w:rPr>
            </w:pPr>
            <w:r>
              <w:rPr>
                <w:rFonts w:hint="eastAsia" w:ascii="宋体" w:hAnsi="宋体" w:cs="宋体"/>
                <w:szCs w:val="21"/>
              </w:rPr>
              <w:t>11、整机扬声器在100%音量下，可做到1米处声压级≥92dB，10米处声压级≥82dB。</w:t>
            </w:r>
          </w:p>
          <w:p w14:paraId="21715F45">
            <w:pPr>
              <w:spacing w:line="400" w:lineRule="exact"/>
              <w:jc w:val="left"/>
              <w:rPr>
                <w:rFonts w:hint="eastAsia" w:ascii="宋体" w:hAnsi="宋体" w:cs="宋体"/>
                <w:szCs w:val="21"/>
              </w:rPr>
            </w:pPr>
            <w:r>
              <w:rPr>
                <w:rFonts w:hint="eastAsia" w:ascii="宋体" w:hAnsi="宋体" w:cs="宋体"/>
                <w:szCs w:val="21"/>
              </w:rPr>
              <w:t>六、按键与接口设计</w:t>
            </w:r>
          </w:p>
          <w:p w14:paraId="1560ABE4">
            <w:pPr>
              <w:spacing w:line="400" w:lineRule="exact"/>
              <w:jc w:val="left"/>
              <w:rPr>
                <w:rFonts w:hint="eastAsia" w:ascii="宋体" w:hAnsi="宋体" w:cs="宋体"/>
                <w:szCs w:val="21"/>
              </w:rPr>
            </w:pPr>
            <w:r>
              <w:rPr>
                <w:rFonts w:hint="eastAsia" w:ascii="宋体" w:hAnsi="宋体" w:cs="宋体"/>
                <w:szCs w:val="21"/>
              </w:rPr>
              <w:t>1、支持经典护眼模式，可通过前置面板物理功能按键一键启用经典护眼模式。</w:t>
            </w:r>
          </w:p>
          <w:p w14:paraId="38AF0ACB">
            <w:pPr>
              <w:spacing w:line="400" w:lineRule="exact"/>
              <w:jc w:val="left"/>
              <w:rPr>
                <w:rFonts w:hint="eastAsia" w:ascii="宋体" w:hAnsi="宋体" w:cs="宋体"/>
                <w:szCs w:val="21"/>
              </w:rPr>
            </w:pPr>
            <w:r>
              <w:rPr>
                <w:rFonts w:hint="eastAsia" w:ascii="宋体" w:hAnsi="宋体" w:cs="宋体"/>
                <w:szCs w:val="21"/>
              </w:rPr>
              <w:t>2、设备支持通过前置面板物理按键一键启动录屏功能，可将屏幕中显示的课件、音频内容与人声同时录制。</w:t>
            </w:r>
          </w:p>
          <w:p w14:paraId="2E3DD3BB">
            <w:pPr>
              <w:spacing w:line="400" w:lineRule="exact"/>
              <w:jc w:val="left"/>
              <w:rPr>
                <w:rFonts w:hint="eastAsia" w:ascii="宋体" w:hAnsi="宋体" w:cs="宋体"/>
                <w:szCs w:val="21"/>
              </w:rPr>
            </w:pPr>
            <w:r>
              <w:rPr>
                <w:rFonts w:hint="eastAsia" w:ascii="宋体" w:hAnsi="宋体" w:cs="宋体"/>
                <w:szCs w:val="21"/>
              </w:rPr>
              <w:t>3、整机前置按键支持自定义设置，可通过自定义设置实现前置面板功能按键一键启用任一全局小工具（批注、截屏、计时、降半屏、放大镜、倒数日、日历）、快捷开关（节能模式、纸质护眼模式、经典护眼模式、自动亮度模式）。</w:t>
            </w:r>
          </w:p>
          <w:p w14:paraId="14F07970">
            <w:pPr>
              <w:spacing w:line="400" w:lineRule="exact"/>
              <w:jc w:val="left"/>
              <w:rPr>
                <w:rFonts w:hint="eastAsia" w:ascii="宋体" w:hAnsi="宋体" w:cs="宋体"/>
                <w:szCs w:val="21"/>
              </w:rPr>
            </w:pPr>
            <w:r>
              <w:rPr>
                <w:rFonts w:hint="eastAsia" w:ascii="宋体" w:hAnsi="宋体" w:cs="宋体"/>
                <w:szCs w:val="21"/>
              </w:rPr>
              <w:t>4、侧置输入接口具备2路HDMI、1路RS232（RJ45形态）、1路USB接口。</w:t>
            </w:r>
          </w:p>
          <w:p w14:paraId="686F829F">
            <w:pPr>
              <w:spacing w:line="400" w:lineRule="exact"/>
              <w:jc w:val="left"/>
              <w:rPr>
                <w:rFonts w:hint="eastAsia" w:ascii="宋体" w:hAnsi="宋体" w:cs="宋体"/>
                <w:szCs w:val="21"/>
              </w:rPr>
            </w:pPr>
            <w:r>
              <w:rPr>
                <w:rFonts w:hint="eastAsia" w:ascii="宋体" w:hAnsi="宋体" w:cs="宋体"/>
                <w:szCs w:val="21"/>
              </w:rPr>
              <w:t>5、侧置输出接口具备1路音频输出、1路触控USB输出。</w:t>
            </w:r>
          </w:p>
          <w:p w14:paraId="18F2EBCD">
            <w:pPr>
              <w:spacing w:line="400" w:lineRule="exact"/>
              <w:jc w:val="left"/>
              <w:rPr>
                <w:rFonts w:hint="eastAsia" w:ascii="宋体" w:hAnsi="宋体" w:cs="宋体"/>
                <w:szCs w:val="21"/>
              </w:rPr>
            </w:pPr>
            <w:r>
              <w:rPr>
                <w:rFonts w:hint="eastAsia" w:ascii="宋体" w:hAnsi="宋体" w:cs="宋体"/>
                <w:szCs w:val="21"/>
              </w:rPr>
              <w:t>6、前置输入接口3路USB接口（包含1路Type-C、2路USB）.</w:t>
            </w:r>
          </w:p>
          <w:p w14:paraId="3A4CC960">
            <w:pPr>
              <w:spacing w:line="400" w:lineRule="exact"/>
              <w:jc w:val="left"/>
              <w:rPr>
                <w:rFonts w:hint="eastAsia" w:ascii="宋体" w:hAnsi="宋体" w:cs="宋体"/>
                <w:szCs w:val="21"/>
              </w:rPr>
            </w:pPr>
            <w:r>
              <w:rPr>
                <w:rFonts w:hint="eastAsia" w:ascii="宋体" w:hAnsi="宋体" w:cs="宋体"/>
                <w:szCs w:val="21"/>
              </w:rPr>
              <w:t>7、前置USB接口支持Android系统、Windows系统读取外接移动存储设备。</w:t>
            </w:r>
          </w:p>
          <w:p w14:paraId="2ED640AB">
            <w:pPr>
              <w:spacing w:line="400" w:lineRule="exact"/>
              <w:jc w:val="left"/>
              <w:rPr>
                <w:rFonts w:hint="eastAsia" w:ascii="宋体" w:hAnsi="宋体" w:cs="宋体"/>
                <w:szCs w:val="21"/>
              </w:rPr>
            </w:pPr>
            <w:r>
              <w:rPr>
                <w:rFonts w:hint="eastAsia" w:ascii="宋体" w:hAnsi="宋体" w:cs="宋体"/>
                <w:szCs w:val="21"/>
              </w:rPr>
              <w:t>8、支持通过Type-C接口U盘进行文件传输，兼容Type-C接口手机充电。</w:t>
            </w:r>
          </w:p>
          <w:p w14:paraId="6C7B9CF6">
            <w:pPr>
              <w:spacing w:line="400" w:lineRule="exact"/>
              <w:jc w:val="left"/>
              <w:rPr>
                <w:rFonts w:hint="eastAsia" w:ascii="宋体" w:hAnsi="宋体" w:cs="宋体"/>
                <w:szCs w:val="21"/>
              </w:rPr>
            </w:pPr>
            <w:r>
              <w:rPr>
                <w:rFonts w:hint="eastAsia" w:ascii="宋体" w:hAnsi="宋体" w:cs="宋体"/>
                <w:szCs w:val="21"/>
              </w:rPr>
              <w:t>七、内置电脑模块</w:t>
            </w:r>
          </w:p>
          <w:p w14:paraId="5D417616">
            <w:pPr>
              <w:spacing w:line="400" w:lineRule="exact"/>
              <w:jc w:val="left"/>
              <w:rPr>
                <w:rFonts w:hint="eastAsia" w:ascii="宋体" w:hAnsi="宋体" w:cs="宋体"/>
                <w:szCs w:val="21"/>
              </w:rPr>
            </w:pPr>
            <w:r>
              <w:rPr>
                <w:rFonts w:hint="eastAsia" w:ascii="宋体" w:hAnsi="宋体" w:cs="宋体"/>
                <w:szCs w:val="21"/>
              </w:rPr>
              <w:t>1、搭载CPU：Intel 酷睿i5，内存：16 GB，固态硬盘：512 GB或以上配置。</w:t>
            </w:r>
          </w:p>
          <w:p w14:paraId="335C1969">
            <w:pPr>
              <w:spacing w:line="400" w:lineRule="exact"/>
              <w:jc w:val="left"/>
              <w:rPr>
                <w:rFonts w:hint="eastAsia" w:ascii="宋体" w:hAnsi="宋体" w:cs="宋体"/>
                <w:szCs w:val="21"/>
              </w:rPr>
            </w:pPr>
            <w:r>
              <w:rPr>
                <w:rFonts w:hint="eastAsia" w:ascii="宋体" w:hAnsi="宋体" w:cs="宋体"/>
                <w:szCs w:val="21"/>
              </w:rPr>
              <w:t>3、采用按压式卡扣，无需工具即可快速拆卸电脑模块。</w:t>
            </w:r>
          </w:p>
          <w:p w14:paraId="6F47AECD">
            <w:pPr>
              <w:spacing w:line="400" w:lineRule="exact"/>
              <w:jc w:val="left"/>
              <w:rPr>
                <w:rFonts w:hint="eastAsia" w:ascii="宋体" w:hAnsi="宋体" w:cs="宋体"/>
                <w:szCs w:val="21"/>
              </w:rPr>
            </w:pPr>
            <w:r>
              <w:rPr>
                <w:rFonts w:hint="eastAsia" w:ascii="宋体" w:hAnsi="宋体" w:cs="宋体"/>
                <w:szCs w:val="21"/>
              </w:rPr>
              <w:t>4、PC模块可抽拉式插入整机，可实现无单独接线的拔插。</w:t>
            </w:r>
          </w:p>
          <w:p w14:paraId="2C09F0A0">
            <w:pPr>
              <w:spacing w:line="400" w:lineRule="exact"/>
              <w:jc w:val="left"/>
              <w:rPr>
                <w:rFonts w:hint="eastAsia" w:ascii="宋体" w:hAnsi="宋体" w:cs="宋体"/>
                <w:szCs w:val="21"/>
              </w:rPr>
            </w:pPr>
            <w:r>
              <w:rPr>
                <w:rFonts w:hint="eastAsia" w:ascii="宋体" w:hAnsi="宋体" w:cs="宋体"/>
                <w:szCs w:val="21"/>
              </w:rPr>
              <w:t>5、具有独立非外拓展的视频输出接口：≥1路HDMI，具有独立非外拓展的电脑USB接口：至少具备3个USB3.0接口，3个USB2.0接口。</w:t>
            </w:r>
          </w:p>
          <w:p w14:paraId="1460F13C">
            <w:pPr>
              <w:spacing w:line="400" w:lineRule="exact"/>
              <w:jc w:val="left"/>
              <w:rPr>
                <w:rFonts w:hint="eastAsia" w:ascii="宋体" w:hAnsi="宋体" w:cs="宋体"/>
                <w:szCs w:val="21"/>
              </w:rPr>
            </w:pPr>
            <w:r>
              <w:rPr>
                <w:rFonts w:hint="eastAsia" w:ascii="宋体" w:hAnsi="宋体" w:cs="宋体"/>
                <w:szCs w:val="21"/>
              </w:rPr>
              <w:t>八、无线系统设计</w:t>
            </w:r>
          </w:p>
          <w:p w14:paraId="66134CBB">
            <w:pPr>
              <w:spacing w:line="400" w:lineRule="exact"/>
              <w:jc w:val="left"/>
              <w:rPr>
                <w:rFonts w:hint="eastAsia" w:ascii="宋体" w:hAnsi="宋体" w:cs="宋体"/>
                <w:szCs w:val="21"/>
              </w:rPr>
            </w:pPr>
            <w:r>
              <w:rPr>
                <w:rFonts w:hint="eastAsia" w:ascii="宋体" w:hAnsi="宋体" w:cs="宋体"/>
                <w:szCs w:val="21"/>
              </w:rPr>
              <w:t>1、整机无需外接无线网卡，在Windows系统下可实现Wi-Fi无线上网连接、AP无线热点发射和BT蓝牙连接功能。</w:t>
            </w:r>
          </w:p>
          <w:p w14:paraId="0D739C25">
            <w:pPr>
              <w:spacing w:line="400" w:lineRule="exact"/>
              <w:jc w:val="left"/>
              <w:rPr>
                <w:rFonts w:hint="eastAsia" w:ascii="宋体" w:hAnsi="宋体" w:cs="宋体"/>
                <w:szCs w:val="21"/>
              </w:rPr>
            </w:pPr>
            <w:r>
              <w:rPr>
                <w:rFonts w:hint="eastAsia" w:ascii="宋体" w:hAnsi="宋体" w:cs="宋体"/>
                <w:szCs w:val="21"/>
              </w:rPr>
              <w:t>2、整机无需外接无线网卡，在Windows系统下接入无线网络，切换到嵌入式Android系统下可直接实现无线上网功能，不需手动重复设置。</w:t>
            </w:r>
          </w:p>
          <w:p w14:paraId="2739F4BC">
            <w:pPr>
              <w:spacing w:line="400" w:lineRule="exact"/>
              <w:jc w:val="left"/>
              <w:rPr>
                <w:rFonts w:hint="eastAsia" w:ascii="宋体" w:hAnsi="宋体" w:cs="宋体"/>
                <w:szCs w:val="21"/>
              </w:rPr>
            </w:pPr>
            <w:r>
              <w:rPr>
                <w:rFonts w:hint="eastAsia" w:ascii="宋体" w:hAnsi="宋体" w:cs="宋体"/>
                <w:szCs w:val="21"/>
              </w:rPr>
              <w:t>3、Wi-Fi和AP热点工作距离≥12m。</w:t>
            </w:r>
          </w:p>
          <w:p w14:paraId="756E9A19">
            <w:pPr>
              <w:spacing w:line="400" w:lineRule="exact"/>
              <w:jc w:val="left"/>
              <w:rPr>
                <w:rFonts w:hint="eastAsia" w:ascii="宋体" w:hAnsi="宋体" w:cs="宋体"/>
                <w:szCs w:val="21"/>
              </w:rPr>
            </w:pPr>
            <w:r>
              <w:rPr>
                <w:rFonts w:hint="eastAsia" w:ascii="宋体" w:hAnsi="宋体" w:cs="宋体"/>
                <w:szCs w:val="21"/>
              </w:rPr>
              <w:t>4、整机支持蓝牙Bluetooth 5.4标准，固件版本号HCI13.0/LMP13.0。（投标时须提供具有CMA或CNAS认证的第三方检测机构所出具的关于该功能的检测报告复印件）</w:t>
            </w:r>
          </w:p>
          <w:p w14:paraId="2F1AAE10">
            <w:pPr>
              <w:spacing w:line="400" w:lineRule="exact"/>
              <w:jc w:val="left"/>
              <w:rPr>
                <w:rFonts w:hint="eastAsia" w:ascii="宋体" w:hAnsi="宋体" w:cs="宋体"/>
                <w:szCs w:val="21"/>
              </w:rPr>
            </w:pPr>
            <w:r>
              <w:rPr>
                <w:rFonts w:hint="eastAsia" w:ascii="宋体" w:hAnsi="宋体" w:cs="宋体"/>
                <w:szCs w:val="21"/>
              </w:rPr>
              <w:t>5、整机PC端支持主动发现蓝牙外设从而连接（无需整机进入发现模式），支持连接外部蓝牙音箱播放音频。</w:t>
            </w:r>
          </w:p>
          <w:p w14:paraId="2D9474C1">
            <w:pPr>
              <w:spacing w:line="400" w:lineRule="exact"/>
              <w:jc w:val="left"/>
              <w:rPr>
                <w:rFonts w:hint="eastAsia" w:ascii="宋体" w:hAnsi="宋体" w:cs="宋体"/>
                <w:szCs w:val="21"/>
              </w:rPr>
            </w:pPr>
            <w:r>
              <w:rPr>
                <w:rFonts w:hint="eastAsia" w:ascii="宋体" w:hAnsi="宋体" w:cs="宋体"/>
                <w:szCs w:val="21"/>
              </w:rPr>
              <w:t>6、整机支持发出频率为18kHz-22kHz超声波信号，智能手机和笔记本电脑接收超声波信号后可以自动识别附近投屏设备，点击对应设备即可完成投屏操作。</w:t>
            </w:r>
          </w:p>
          <w:p w14:paraId="334FDAE5">
            <w:pPr>
              <w:spacing w:line="400" w:lineRule="exact"/>
              <w:jc w:val="left"/>
              <w:rPr>
                <w:rFonts w:hint="eastAsia" w:ascii="宋体" w:hAnsi="宋体" w:cs="宋体"/>
                <w:szCs w:val="21"/>
              </w:rPr>
            </w:pPr>
            <w:r>
              <w:rPr>
                <w:rFonts w:hint="eastAsia" w:ascii="宋体" w:hAnsi="宋体" w:cs="宋体"/>
                <w:szCs w:val="21"/>
              </w:rPr>
              <w:t>7、整机内置传屏接收模块，整机不需要连接任何附加设备，可实现外部电脑、手机设备的音视频信号实时传输到整机上；当使用外部电脑传屏时，支持触摸回传，屏幕上部显示传屏工具栏，可以进行触摸回传控制、勿扰模式、暂停投屏功能；开启勿扰模式时，不允许其他人再进行传屏；投屏时可以选择特定应用窗口，从而实现过滤其他应用窗口，如邮件应用窗口。</w:t>
            </w:r>
          </w:p>
          <w:p w14:paraId="198D414F">
            <w:pPr>
              <w:spacing w:line="400" w:lineRule="exact"/>
              <w:jc w:val="left"/>
              <w:rPr>
                <w:rFonts w:hint="eastAsia" w:ascii="宋体" w:hAnsi="宋体" w:cs="宋体"/>
                <w:szCs w:val="21"/>
              </w:rPr>
            </w:pPr>
            <w:r>
              <w:rPr>
                <w:rFonts w:hint="eastAsia" w:ascii="宋体" w:hAnsi="宋体" w:cs="宋体"/>
                <w:szCs w:val="21"/>
              </w:rPr>
              <w:t>8、整机内置双WiFi6无线网卡（不接受外接），在Android和Windows系统下，可实现Wi-Fi无线上网连接、AP无线热点发射。（投标时须提供具有CMA或CNAS认证的第三方检测机构所出具的关于该功能的检测报告复印件）</w:t>
            </w:r>
          </w:p>
          <w:p w14:paraId="5B0F3D6D">
            <w:pPr>
              <w:spacing w:line="400" w:lineRule="exact"/>
              <w:jc w:val="left"/>
              <w:rPr>
                <w:rFonts w:hint="eastAsia" w:ascii="宋体" w:hAnsi="宋体" w:cs="宋体"/>
                <w:szCs w:val="21"/>
              </w:rPr>
            </w:pPr>
            <w:r>
              <w:rPr>
                <w:rFonts w:hint="eastAsia" w:ascii="宋体" w:hAnsi="宋体" w:cs="宋体"/>
                <w:szCs w:val="21"/>
              </w:rPr>
              <w:t>9、整机内置双WiFi6无线网卡（不接受外接），在Android下支持无线设备同时连接数量≥32个，在Windows系统下支持无线设备同时连接≥8个。</w:t>
            </w:r>
          </w:p>
          <w:p w14:paraId="72B4749B">
            <w:pPr>
              <w:spacing w:line="400" w:lineRule="exact"/>
              <w:jc w:val="left"/>
              <w:rPr>
                <w:rFonts w:hint="eastAsia" w:ascii="宋体" w:hAnsi="宋体" w:cs="宋体"/>
                <w:szCs w:val="21"/>
              </w:rPr>
            </w:pPr>
            <w:r>
              <w:rPr>
                <w:rFonts w:hint="eastAsia" w:ascii="宋体" w:hAnsi="宋体" w:cs="宋体"/>
                <w:szCs w:val="21"/>
              </w:rPr>
              <w:t>10、Wi-Fi及AP热点支持频段2.4GHz/5GHz 。</w:t>
            </w:r>
          </w:p>
          <w:p w14:paraId="0FEA61BC">
            <w:pPr>
              <w:spacing w:line="400" w:lineRule="exact"/>
              <w:jc w:val="left"/>
              <w:rPr>
                <w:rFonts w:hint="eastAsia" w:ascii="宋体" w:hAnsi="宋体" w:cs="宋体"/>
                <w:szCs w:val="21"/>
              </w:rPr>
            </w:pPr>
            <w:r>
              <w:rPr>
                <w:rFonts w:hint="eastAsia" w:ascii="宋体" w:hAnsi="宋体" w:cs="宋体"/>
                <w:szCs w:val="21"/>
              </w:rPr>
              <w:t>11、Wi-Fi制式支持IEEE 802.11 a/b/g/n/ac/ax；支持版本Wi-Fi6。</w:t>
            </w:r>
          </w:p>
          <w:p w14:paraId="2DB433DA">
            <w:pPr>
              <w:spacing w:line="400" w:lineRule="exact"/>
              <w:jc w:val="left"/>
              <w:rPr>
                <w:rFonts w:hint="eastAsia" w:ascii="宋体" w:hAnsi="宋体" w:cs="宋体"/>
                <w:szCs w:val="21"/>
              </w:rPr>
            </w:pPr>
            <w:r>
              <w:rPr>
                <w:rFonts w:hint="eastAsia" w:ascii="宋体" w:hAnsi="宋体" w:cs="宋体"/>
                <w:szCs w:val="21"/>
              </w:rPr>
              <w:t>九、全通道侧边栏设计</w:t>
            </w:r>
          </w:p>
          <w:p w14:paraId="753601C4">
            <w:pPr>
              <w:spacing w:line="400" w:lineRule="exact"/>
              <w:jc w:val="left"/>
              <w:rPr>
                <w:rFonts w:hint="eastAsia" w:ascii="宋体" w:hAnsi="宋体" w:cs="宋体"/>
                <w:szCs w:val="21"/>
              </w:rPr>
            </w:pPr>
            <w:r>
              <w:rPr>
                <w:rFonts w:hint="eastAsia" w:ascii="宋体" w:hAnsi="宋体" w:cs="宋体"/>
                <w:szCs w:val="21"/>
              </w:rPr>
              <w:t>1、整机内置全通道侧边栏快捷菜单，小工具、应用软件、快捷设置、亮度/音量调节、教室物联入口。</w:t>
            </w:r>
          </w:p>
          <w:p w14:paraId="33EEB8A9">
            <w:pPr>
              <w:spacing w:line="400" w:lineRule="exact"/>
              <w:jc w:val="left"/>
              <w:rPr>
                <w:rFonts w:hint="eastAsia" w:ascii="宋体" w:hAnsi="宋体" w:cs="宋体"/>
                <w:szCs w:val="21"/>
              </w:rPr>
            </w:pPr>
            <w:r>
              <w:rPr>
                <w:rFonts w:hint="eastAsia" w:ascii="宋体" w:hAnsi="宋体" w:cs="宋体"/>
                <w:szCs w:val="21"/>
              </w:rPr>
              <w:t>2、整机全通道侧边栏支持展示学校名称、设备班级、场地信息。</w:t>
            </w:r>
          </w:p>
          <w:p w14:paraId="682EF9FE">
            <w:pPr>
              <w:spacing w:line="400" w:lineRule="exact"/>
              <w:jc w:val="left"/>
              <w:rPr>
                <w:rFonts w:hint="eastAsia" w:ascii="宋体" w:hAnsi="宋体" w:cs="宋体"/>
                <w:szCs w:val="21"/>
              </w:rPr>
            </w:pPr>
            <w:r>
              <w:rPr>
                <w:rFonts w:hint="eastAsia" w:ascii="宋体" w:hAnsi="宋体" w:cs="宋体"/>
                <w:szCs w:val="21"/>
              </w:rPr>
              <w:t>整机全通道侧边栏快捷菜单包含如下小工具：批注、降半屏、截屏、放大镜、倒计时、日历、聚光灯、秒表、冻屏、倒数日、答题、节拍器。</w:t>
            </w:r>
          </w:p>
          <w:p w14:paraId="6D3973DD">
            <w:pPr>
              <w:spacing w:line="400" w:lineRule="exact"/>
              <w:jc w:val="left"/>
              <w:rPr>
                <w:rFonts w:hint="eastAsia" w:ascii="宋体" w:hAnsi="宋体" w:cs="宋体"/>
                <w:szCs w:val="21"/>
              </w:rPr>
            </w:pPr>
            <w:r>
              <w:rPr>
                <w:rFonts w:hint="eastAsia" w:ascii="宋体" w:hAnsi="宋体" w:cs="宋体"/>
                <w:szCs w:val="21"/>
              </w:rPr>
              <w:t>3、整机全通道侧边栏支持使用批注小工具进行批注讲解，可切换书写笔颜色、截屏保存批注内容、清屏，可根据手与屏幕的接触面积自动调整板擦工具的大小。</w:t>
            </w:r>
          </w:p>
          <w:p w14:paraId="501EE962">
            <w:pPr>
              <w:spacing w:line="400" w:lineRule="exact"/>
              <w:jc w:val="left"/>
              <w:rPr>
                <w:rFonts w:hint="eastAsia" w:ascii="宋体" w:hAnsi="宋体" w:cs="宋体"/>
                <w:szCs w:val="21"/>
              </w:rPr>
            </w:pPr>
            <w:r>
              <w:rPr>
                <w:rFonts w:hint="eastAsia" w:ascii="宋体" w:hAnsi="宋体" w:cs="宋体"/>
                <w:szCs w:val="21"/>
              </w:rPr>
              <w:t>4、整机全通道侧边栏快捷菜单支持快捷调节音量、亮度，支持自动亮度模式，支持点击静音按钮静音。</w:t>
            </w:r>
          </w:p>
          <w:p w14:paraId="4CEC376E">
            <w:pPr>
              <w:spacing w:line="400" w:lineRule="exact"/>
              <w:jc w:val="left"/>
              <w:rPr>
                <w:rFonts w:hint="eastAsia" w:ascii="宋体" w:hAnsi="宋体" w:cs="宋体"/>
                <w:szCs w:val="21"/>
              </w:rPr>
            </w:pPr>
            <w:r>
              <w:rPr>
                <w:rFonts w:hint="eastAsia" w:ascii="宋体" w:hAnsi="宋体" w:cs="宋体"/>
                <w:szCs w:val="21"/>
              </w:rPr>
              <w:t>5、整机全通道侧边栏快捷菜单中可实时查看物联设备的连接情况，点击设备图标即可调出中控菜单进行管控。</w:t>
            </w:r>
          </w:p>
          <w:p w14:paraId="1D176735">
            <w:pPr>
              <w:spacing w:line="400" w:lineRule="exact"/>
              <w:jc w:val="left"/>
              <w:rPr>
                <w:rFonts w:hint="eastAsia" w:ascii="宋体" w:hAnsi="宋体" w:cs="宋体"/>
                <w:szCs w:val="21"/>
              </w:rPr>
            </w:pPr>
            <w:r>
              <w:rPr>
                <w:rFonts w:hint="eastAsia" w:ascii="宋体" w:hAnsi="宋体" w:cs="宋体"/>
                <w:szCs w:val="21"/>
              </w:rPr>
              <w:t>6、整机安卓和外接通道(2路HDMI)下侧边栏支持节拍器，支持设置节拍、轻重、节拍播放速度。全通道下可支持通过自定义按键调出该功能。</w:t>
            </w:r>
          </w:p>
          <w:p w14:paraId="25DF137A">
            <w:pPr>
              <w:spacing w:line="400" w:lineRule="exact"/>
              <w:jc w:val="left"/>
              <w:rPr>
                <w:rFonts w:hint="eastAsia" w:ascii="宋体" w:hAnsi="宋体" w:cs="宋体"/>
                <w:szCs w:val="21"/>
              </w:rPr>
            </w:pPr>
            <w:r>
              <w:rPr>
                <w:rFonts w:hint="eastAsia" w:ascii="宋体" w:hAnsi="宋体" w:cs="宋体"/>
                <w:szCs w:val="21"/>
              </w:rPr>
              <w:t>7、整机全通道侧边栏支持倒计时、正计时功能；倒计时，输入某特定时间值，可精确到秒，点击开始进入倒计时；正计时，点击开始计时便自动开始，并实时显示时间。</w:t>
            </w:r>
          </w:p>
          <w:p w14:paraId="79FB0423">
            <w:pPr>
              <w:spacing w:line="400" w:lineRule="exact"/>
              <w:jc w:val="left"/>
              <w:rPr>
                <w:rFonts w:hint="eastAsia" w:ascii="宋体" w:hAnsi="宋体" w:cs="宋体"/>
                <w:szCs w:val="21"/>
              </w:rPr>
            </w:pPr>
            <w:r>
              <w:rPr>
                <w:rFonts w:hint="eastAsia" w:ascii="宋体" w:hAnsi="宋体" w:cs="宋体"/>
                <w:szCs w:val="21"/>
              </w:rPr>
              <w:t>8、整机全通道侧边栏支持放大选中区域内容，并可支持对未选中区域关灯处理，实现聚光灯效果。</w:t>
            </w:r>
          </w:p>
          <w:p w14:paraId="2DDAA43C">
            <w:pPr>
              <w:spacing w:line="400" w:lineRule="exact"/>
              <w:jc w:val="left"/>
              <w:rPr>
                <w:rFonts w:hint="eastAsia" w:ascii="宋体" w:hAnsi="宋体" w:cs="宋体"/>
                <w:szCs w:val="21"/>
              </w:rPr>
            </w:pPr>
            <w:r>
              <w:rPr>
                <w:rFonts w:hint="eastAsia" w:ascii="宋体" w:hAnsi="宋体" w:cs="宋体"/>
                <w:szCs w:val="21"/>
              </w:rPr>
              <w:t>9、整机安卓和外接通道(2路HDMI)下侧边栏支持通过扫描二维码加入班级，老师设置题型，学生回答后提交，教师查看正确率比例及详细讲解；支持随机抽选、实时弹幕；支持管理当前班级成员；支持导出学生报告。全通道下可支持通过自定义按键调出该功能。</w:t>
            </w:r>
          </w:p>
          <w:p w14:paraId="37DB4C77">
            <w:pPr>
              <w:spacing w:line="400" w:lineRule="exact"/>
              <w:jc w:val="left"/>
              <w:rPr>
                <w:rFonts w:hint="eastAsia" w:ascii="宋体" w:hAnsi="宋体" w:cs="宋体"/>
                <w:szCs w:val="21"/>
              </w:rPr>
            </w:pPr>
            <w:r>
              <w:rPr>
                <w:rFonts w:hint="eastAsia" w:ascii="宋体" w:hAnsi="宋体" w:cs="宋体"/>
                <w:szCs w:val="21"/>
              </w:rPr>
              <w:t>十、教学PPT小工具</w:t>
            </w:r>
          </w:p>
          <w:p w14:paraId="731153AF">
            <w:pPr>
              <w:spacing w:line="400" w:lineRule="exact"/>
              <w:jc w:val="left"/>
              <w:rPr>
                <w:rFonts w:hint="eastAsia" w:ascii="宋体" w:hAnsi="宋体" w:cs="宋体"/>
                <w:szCs w:val="21"/>
              </w:rPr>
            </w:pPr>
            <w:r>
              <w:rPr>
                <w:rFonts w:hint="eastAsia" w:ascii="宋体" w:hAnsi="宋体" w:cs="宋体"/>
                <w:szCs w:val="21"/>
              </w:rPr>
              <w:t>1、不借助其他软件情况下，播放PPT时即可实现书写、擦除功能；可支持课件所有页面的预览、可随意进行页面跳转和实现上下翻页。</w:t>
            </w:r>
          </w:p>
          <w:p w14:paraId="7AC45456">
            <w:pPr>
              <w:spacing w:line="400" w:lineRule="exact"/>
              <w:jc w:val="left"/>
              <w:rPr>
                <w:rFonts w:hint="eastAsia" w:ascii="宋体" w:hAnsi="宋体" w:cs="宋体"/>
                <w:szCs w:val="21"/>
              </w:rPr>
            </w:pPr>
            <w:r>
              <w:rPr>
                <w:rFonts w:hint="eastAsia" w:ascii="宋体" w:hAnsi="宋体" w:cs="宋体"/>
                <w:szCs w:val="21"/>
              </w:rPr>
              <w:t>2、不借助其他软件情况下，播放PPT时即可支持板中板功能，直接调用板中板辅助教学，可实现批注及加页，不影响课件整体内容。</w:t>
            </w:r>
          </w:p>
          <w:p w14:paraId="58E45982">
            <w:pPr>
              <w:spacing w:line="400" w:lineRule="exact"/>
              <w:jc w:val="left"/>
              <w:rPr>
                <w:rFonts w:hint="eastAsia" w:ascii="宋体" w:hAnsi="宋体" w:cs="宋体"/>
                <w:szCs w:val="21"/>
              </w:rPr>
            </w:pPr>
            <w:r>
              <w:rPr>
                <w:rFonts w:hint="eastAsia" w:ascii="宋体" w:hAnsi="宋体" w:cs="宋体"/>
                <w:szCs w:val="21"/>
              </w:rPr>
              <w:t>3、在无需打开除PPT以外的其他软件时，可实现新建PPT并课件及板书内容直接生成二维码分享，且扫码后支持在手持终端生成二维码进行再次分享，支持点赞。支持发送课件链接至邮箱，方便教师下载保存课件板书内容。</w:t>
            </w:r>
          </w:p>
          <w:p w14:paraId="4B4AAA37">
            <w:pPr>
              <w:spacing w:line="400" w:lineRule="exact"/>
              <w:jc w:val="left"/>
              <w:rPr>
                <w:rFonts w:hint="eastAsia" w:ascii="宋体" w:hAnsi="宋体" w:cs="宋体"/>
                <w:szCs w:val="21"/>
              </w:rPr>
            </w:pPr>
            <w:r>
              <w:rPr>
                <w:rFonts w:hint="eastAsia" w:ascii="宋体" w:hAnsi="宋体" w:cs="宋体"/>
                <w:szCs w:val="21"/>
              </w:rPr>
              <w:t>4、不借助其他软件情况下，播放PPT时即可调用放大镜、聚光灯小工具辅助教学。</w:t>
            </w:r>
          </w:p>
          <w:p w14:paraId="0A70DF98">
            <w:pPr>
              <w:spacing w:line="400" w:lineRule="exact"/>
              <w:jc w:val="left"/>
              <w:rPr>
                <w:rFonts w:hint="eastAsia" w:ascii="宋体" w:hAnsi="宋体" w:cs="宋体"/>
                <w:szCs w:val="21"/>
              </w:rPr>
            </w:pPr>
            <w:r>
              <w:rPr>
                <w:rFonts w:hint="eastAsia" w:ascii="宋体" w:hAnsi="宋体" w:cs="宋体"/>
                <w:szCs w:val="21"/>
              </w:rPr>
              <w:t>十一、教学应用</w:t>
            </w:r>
          </w:p>
          <w:p w14:paraId="273E7501">
            <w:pPr>
              <w:spacing w:line="400" w:lineRule="exact"/>
              <w:jc w:val="left"/>
              <w:rPr>
                <w:rFonts w:hint="eastAsia" w:ascii="宋体" w:hAnsi="宋体" w:cs="宋体"/>
                <w:szCs w:val="21"/>
              </w:rPr>
            </w:pPr>
            <w:r>
              <w:rPr>
                <w:rFonts w:hint="eastAsia" w:ascii="宋体" w:hAnsi="宋体" w:cs="宋体"/>
                <w:szCs w:val="21"/>
              </w:rPr>
              <w:t>1、整机设备开机启动后，自动进入教学桌面，支持账号登录、退出，自动获取个人云端教学课件列表、并可进入全部课件列表。</w:t>
            </w:r>
          </w:p>
          <w:p w14:paraId="221B7657">
            <w:pPr>
              <w:spacing w:line="400" w:lineRule="exact"/>
              <w:jc w:val="left"/>
              <w:rPr>
                <w:rFonts w:hint="eastAsia" w:ascii="宋体" w:hAnsi="宋体" w:cs="宋体"/>
                <w:szCs w:val="21"/>
              </w:rPr>
            </w:pPr>
            <w:r>
              <w:rPr>
                <w:rFonts w:hint="eastAsia" w:ascii="宋体" w:hAnsi="宋体" w:cs="宋体"/>
                <w:szCs w:val="21"/>
              </w:rPr>
              <w:t>2、整机可将应用编辑到教学桌面首页，编辑方式支持从教学桌面首页进入编辑，支持在全部应用列表中进入编辑2种方式。教学桌面首页应用支持无需进入应用编辑页面，在首页指定应用上长按进行移除。</w:t>
            </w:r>
          </w:p>
          <w:p w14:paraId="1297AC51">
            <w:pPr>
              <w:spacing w:line="400" w:lineRule="exact"/>
              <w:jc w:val="left"/>
              <w:rPr>
                <w:rFonts w:hint="eastAsia" w:ascii="宋体" w:hAnsi="宋体" w:cs="宋体"/>
                <w:szCs w:val="21"/>
              </w:rPr>
            </w:pPr>
            <w:r>
              <w:rPr>
                <w:rFonts w:hint="eastAsia" w:ascii="宋体" w:hAnsi="宋体" w:cs="宋体"/>
                <w:szCs w:val="21"/>
              </w:rPr>
              <w:t>3、整机教学桌面支持查看设备盘符，支持本地磁盘和外接U盘、移动硬盘，点击可打开该磁盘查看磁盘文件。教学桌面支持显示存储空间状态，当存储空间即将满载时候进行红色标记明显提示。</w:t>
            </w:r>
          </w:p>
          <w:p w14:paraId="5FBA688E">
            <w:pPr>
              <w:spacing w:line="400" w:lineRule="exact"/>
              <w:jc w:val="left"/>
              <w:rPr>
                <w:rFonts w:hint="eastAsia" w:ascii="宋体" w:hAnsi="宋体" w:cs="宋体"/>
                <w:szCs w:val="21"/>
              </w:rPr>
            </w:pPr>
            <w:r>
              <w:rPr>
                <w:rFonts w:hint="eastAsia" w:ascii="宋体" w:hAnsi="宋体" w:cs="宋体"/>
                <w:szCs w:val="21"/>
              </w:rPr>
              <w:t>4、整机教学桌面支持U盘、移动硬盘外接存储设备直接在桌面显示，无需打开文件浏览器即可查看文件列表，并且支持文件打开。支持查看全部文件列表以及按照文档、图片、音视频分类方式查看文件列表。</w:t>
            </w:r>
          </w:p>
          <w:p w14:paraId="0D49F438">
            <w:pPr>
              <w:spacing w:line="400" w:lineRule="exact"/>
              <w:jc w:val="left"/>
              <w:rPr>
                <w:rFonts w:hint="eastAsia" w:ascii="宋体" w:hAnsi="宋体" w:cs="宋体"/>
                <w:szCs w:val="21"/>
              </w:rPr>
            </w:pPr>
            <w:r>
              <w:rPr>
                <w:rFonts w:hint="eastAsia" w:ascii="宋体" w:hAnsi="宋体" w:cs="宋体"/>
                <w:szCs w:val="21"/>
              </w:rPr>
              <w:t>5、整机教学桌面支持进行通道切换，当整机有其他输入源时，可在桌面点击信号源进行输入源切换。</w:t>
            </w:r>
          </w:p>
          <w:p w14:paraId="692AB9A5">
            <w:pPr>
              <w:spacing w:line="400" w:lineRule="exact"/>
              <w:jc w:val="left"/>
              <w:rPr>
                <w:rFonts w:hint="eastAsia" w:ascii="宋体" w:hAnsi="宋体" w:cs="宋体"/>
                <w:szCs w:val="21"/>
              </w:rPr>
            </w:pPr>
            <w:r>
              <w:rPr>
                <w:rFonts w:hint="eastAsia" w:ascii="宋体" w:hAnsi="宋体" w:cs="宋体"/>
                <w:szCs w:val="21"/>
              </w:rPr>
              <w:t>十二、桌面虚拟化管理接入授权系统</w:t>
            </w:r>
          </w:p>
          <w:p w14:paraId="2720DCB7">
            <w:pPr>
              <w:spacing w:line="400" w:lineRule="exact"/>
              <w:jc w:val="left"/>
              <w:rPr>
                <w:rFonts w:hint="eastAsia" w:ascii="宋体" w:hAnsi="宋体" w:cs="宋体"/>
                <w:szCs w:val="21"/>
              </w:rPr>
            </w:pPr>
            <w:r>
              <w:rPr>
                <w:rFonts w:hint="eastAsia" w:ascii="宋体" w:hAnsi="宋体" w:cs="宋体"/>
                <w:szCs w:val="21"/>
              </w:rPr>
              <w:t>1、虚拟桌面用户接入授权，支持同时发布独享桌面、共享桌面和远程应用。</w:t>
            </w:r>
          </w:p>
          <w:p w14:paraId="32C00FEE">
            <w:pPr>
              <w:spacing w:line="400" w:lineRule="exact"/>
              <w:jc w:val="left"/>
              <w:rPr>
                <w:rFonts w:hint="eastAsia" w:ascii="宋体" w:hAnsi="宋体" w:cs="宋体"/>
                <w:szCs w:val="21"/>
              </w:rPr>
            </w:pPr>
            <w:r>
              <w:rPr>
                <w:rFonts w:hint="eastAsia" w:ascii="宋体" w:hAnsi="宋体" w:cs="宋体"/>
                <w:szCs w:val="21"/>
              </w:rPr>
              <w:t>2、VDI支持BS和CS类型的远程应用和Windows虚拟桌面的单点登录功能，实现多系统整合，避免用户重复输入账号或口令的繁琐操作。</w:t>
            </w:r>
          </w:p>
          <w:p w14:paraId="0D2FE0D3">
            <w:pPr>
              <w:spacing w:line="400" w:lineRule="exact"/>
              <w:jc w:val="left"/>
              <w:rPr>
                <w:rFonts w:hint="eastAsia" w:ascii="宋体" w:hAnsi="宋体" w:cs="宋体"/>
                <w:szCs w:val="21"/>
              </w:rPr>
            </w:pPr>
            <w:r>
              <w:rPr>
                <w:rFonts w:hint="eastAsia" w:ascii="宋体" w:hAnsi="宋体" w:cs="宋体"/>
                <w:szCs w:val="21"/>
              </w:rPr>
              <w:t>3、支持本地认证、短信认证、动态令牌、数字证书、第三方认证、硬件特征码等多种认证方式，并且可以自由组合以提升接入安全性。</w:t>
            </w:r>
          </w:p>
          <w:p w14:paraId="00D0BD72">
            <w:pPr>
              <w:spacing w:line="400" w:lineRule="exact"/>
              <w:jc w:val="left"/>
              <w:rPr>
                <w:rFonts w:hint="eastAsia" w:ascii="宋体" w:hAnsi="宋体" w:cs="宋体"/>
                <w:szCs w:val="21"/>
              </w:rPr>
            </w:pPr>
            <w:r>
              <w:rPr>
                <w:rFonts w:hint="eastAsia" w:ascii="宋体" w:hAnsi="宋体" w:cs="宋体"/>
                <w:szCs w:val="21"/>
              </w:rPr>
              <w:t>4、支持多重密码安全策略，可设置密码不能包含用户名、新密码不能与旧密码相同、首次登录强制修改密码、强制要求定时修改密码、密码强度验证；支持图形校验码、软键盘；支持账号防暴力破解。</w:t>
            </w:r>
          </w:p>
          <w:p w14:paraId="63007A21">
            <w:pPr>
              <w:spacing w:line="400" w:lineRule="exact"/>
              <w:jc w:val="left"/>
              <w:rPr>
                <w:rFonts w:hint="eastAsia" w:ascii="宋体" w:hAnsi="宋体" w:cs="宋体"/>
                <w:szCs w:val="21"/>
              </w:rPr>
            </w:pPr>
            <w:r>
              <w:rPr>
                <w:rFonts w:hint="eastAsia" w:ascii="宋体" w:hAnsi="宋体" w:cs="宋体"/>
                <w:szCs w:val="21"/>
              </w:rPr>
              <w:t>5、还原模式：独享桌面资源下，用户使用的虚拟机从模板产生。该模式下，除了指定的一些目录外，用户所做的操作都会在重启后被还原。模板升级后，用户重新打开的虚拟机包含模板升级的内容。</w:t>
            </w:r>
          </w:p>
          <w:p w14:paraId="245A3B47">
            <w:pPr>
              <w:spacing w:line="400" w:lineRule="exact"/>
              <w:jc w:val="left"/>
              <w:rPr>
                <w:rFonts w:hint="eastAsia" w:ascii="宋体" w:hAnsi="宋体" w:cs="宋体"/>
                <w:szCs w:val="21"/>
              </w:rPr>
            </w:pPr>
            <w:r>
              <w:rPr>
                <w:rFonts w:hint="eastAsia" w:ascii="宋体" w:hAnsi="宋体" w:cs="宋体"/>
                <w:szCs w:val="21"/>
              </w:rPr>
              <w:t>6、基于策略的访问控制：可以根据用户、网络、服务、设备、系统等，通过关联的策略为他们分配合适的访问权限。</w:t>
            </w:r>
          </w:p>
          <w:p w14:paraId="34A0D854">
            <w:pPr>
              <w:spacing w:line="400" w:lineRule="exact"/>
              <w:jc w:val="left"/>
              <w:rPr>
                <w:rFonts w:hint="eastAsia" w:ascii="宋体" w:hAnsi="宋体" w:cs="宋体"/>
                <w:szCs w:val="21"/>
              </w:rPr>
            </w:pPr>
            <w:r>
              <w:rPr>
                <w:rFonts w:hint="eastAsia" w:ascii="宋体" w:hAnsi="宋体" w:cs="宋体"/>
                <w:szCs w:val="21"/>
              </w:rPr>
              <w:t xml:space="preserve">7、支持客户端安全检查功能，可以根据客户接入终端的系统版本、接入IP，接入时间，杀毒软件的安装更新情况等，指定用户的访问控制策略。 </w:t>
            </w:r>
          </w:p>
          <w:p w14:paraId="1997D793">
            <w:pPr>
              <w:spacing w:line="400" w:lineRule="exact"/>
              <w:jc w:val="left"/>
              <w:rPr>
                <w:rFonts w:hint="eastAsia" w:ascii="宋体" w:hAnsi="宋体" w:cs="宋体"/>
                <w:szCs w:val="21"/>
              </w:rPr>
            </w:pPr>
            <w:r>
              <w:rPr>
                <w:rFonts w:hint="eastAsia" w:ascii="宋体" w:hAnsi="宋体" w:cs="宋体"/>
                <w:szCs w:val="21"/>
              </w:rPr>
              <w:t>8、支持服务端访问控制策略，可以基于策略控制用户在远程应用、共享桌面或独享桌面中能够访问的网络。</w:t>
            </w:r>
          </w:p>
          <w:p w14:paraId="7135D9B2">
            <w:pPr>
              <w:spacing w:line="400" w:lineRule="exact"/>
              <w:jc w:val="left"/>
              <w:rPr>
                <w:rFonts w:hint="eastAsia" w:ascii="宋体" w:hAnsi="宋体" w:cs="宋体"/>
                <w:szCs w:val="21"/>
              </w:rPr>
            </w:pPr>
            <w:r>
              <w:rPr>
                <w:rFonts w:hint="eastAsia" w:ascii="宋体" w:hAnsi="宋体" w:cs="宋体"/>
                <w:szCs w:val="21"/>
              </w:rPr>
              <w:t>9、支持个人盘加密技术，可对存储个人数据的磁盘文件进行加密，保障个人稳私安全。</w:t>
            </w:r>
          </w:p>
          <w:p w14:paraId="39ED83D1">
            <w:pPr>
              <w:spacing w:line="400" w:lineRule="exact"/>
              <w:jc w:val="left"/>
              <w:rPr>
                <w:rFonts w:hint="eastAsia" w:ascii="宋体" w:hAnsi="宋体" w:cs="宋体"/>
                <w:szCs w:val="21"/>
              </w:rPr>
            </w:pPr>
            <w:r>
              <w:rPr>
                <w:rFonts w:hint="eastAsia" w:ascii="宋体" w:hAnsi="宋体" w:cs="宋体"/>
                <w:szCs w:val="21"/>
              </w:rPr>
              <w:t>10、支持快照技术，当系统故障时可实现故障回滚；同时支持增量保存快照数据，以节省存储空间。</w:t>
            </w:r>
          </w:p>
          <w:p w14:paraId="67E6B008">
            <w:pPr>
              <w:spacing w:line="400" w:lineRule="exact"/>
              <w:jc w:val="left"/>
              <w:rPr>
                <w:rFonts w:hint="eastAsia" w:ascii="宋体" w:hAnsi="宋体" w:cs="宋体"/>
                <w:szCs w:val="21"/>
              </w:rPr>
            </w:pPr>
            <w:r>
              <w:rPr>
                <w:rFonts w:hint="eastAsia" w:ascii="宋体" w:hAnsi="宋体" w:cs="宋体"/>
                <w:szCs w:val="21"/>
              </w:rPr>
              <w:t>11、支持桌面会话连接远程诊断功能，管理员可在控制台上对桌面会话连接进行远程协助，帮助用户在线诊断问题。</w:t>
            </w:r>
          </w:p>
          <w:p w14:paraId="17FC0B36">
            <w:pPr>
              <w:spacing w:line="400" w:lineRule="exact"/>
              <w:jc w:val="left"/>
              <w:rPr>
                <w:rFonts w:hint="eastAsia" w:ascii="宋体" w:hAnsi="宋体" w:cs="宋体"/>
                <w:szCs w:val="21"/>
              </w:rPr>
            </w:pPr>
            <w:r>
              <w:rPr>
                <w:rFonts w:hint="eastAsia" w:ascii="宋体" w:hAnsi="宋体" w:cs="宋体"/>
                <w:szCs w:val="21"/>
              </w:rPr>
              <w:t>12、支持基于用户或用户组对会话资源进行管理和策略控制，比如是否允许用户使用打印机、是否允许用户使用U盘等。</w:t>
            </w:r>
          </w:p>
          <w:p w14:paraId="3B46C419">
            <w:pPr>
              <w:spacing w:line="400" w:lineRule="exact"/>
              <w:jc w:val="left"/>
              <w:rPr>
                <w:rFonts w:hint="eastAsia" w:ascii="宋体" w:hAnsi="宋体" w:cs="宋体"/>
                <w:szCs w:val="21"/>
              </w:rPr>
            </w:pPr>
            <w:r>
              <w:rPr>
                <w:rFonts w:hint="eastAsia" w:ascii="宋体" w:hAnsi="宋体" w:cs="宋体"/>
                <w:szCs w:val="21"/>
              </w:rPr>
              <w:t>13、支持使用虚拟机模板自动生成虚拟桌面实例，且可以对虚拟机指定命名规则，以更好地区分每个用户的虚拟桌面。</w:t>
            </w:r>
          </w:p>
          <w:p w14:paraId="24DDD6BD">
            <w:pPr>
              <w:spacing w:line="400" w:lineRule="exact"/>
              <w:jc w:val="left"/>
              <w:rPr>
                <w:rFonts w:hint="eastAsia" w:ascii="宋体" w:hAnsi="宋体" w:cs="宋体"/>
                <w:szCs w:val="21"/>
              </w:rPr>
            </w:pPr>
            <w:r>
              <w:rPr>
                <w:rFonts w:hint="eastAsia" w:ascii="宋体" w:hAnsi="宋体" w:cs="宋体"/>
                <w:szCs w:val="21"/>
              </w:rPr>
              <w:t>14、支持在控制台查看用户虚拟机的CPU、内存、磁盘的详细情况，且CPU、内存支持正反排序，磁盘支持按比率的大小进行正序和反序排序。</w:t>
            </w:r>
          </w:p>
          <w:p w14:paraId="6D83DA76">
            <w:pPr>
              <w:spacing w:line="400" w:lineRule="exact"/>
              <w:jc w:val="left"/>
              <w:rPr>
                <w:rFonts w:hint="eastAsia" w:ascii="宋体" w:hAnsi="宋体" w:cs="宋体"/>
                <w:szCs w:val="21"/>
              </w:rPr>
            </w:pPr>
            <w:r>
              <w:rPr>
                <w:rFonts w:hint="eastAsia" w:ascii="宋体" w:hAnsi="宋体" w:cs="宋体"/>
                <w:szCs w:val="21"/>
              </w:rPr>
              <w:t>15、为保证兼容性，虚拟化管理接入授权软件能够与学校原有建设的（生产厂家：深信服科技股份有限公司、深信服VDI5.4.5 SP1）虚拟桌面接入管理系统无缝对接。</w:t>
            </w:r>
          </w:p>
          <w:p w14:paraId="7660DDD8">
            <w:pPr>
              <w:spacing w:line="400" w:lineRule="exact"/>
              <w:jc w:val="left"/>
              <w:rPr>
                <w:rFonts w:hint="eastAsia" w:ascii="宋体" w:hAnsi="宋体" w:cs="宋体"/>
                <w:szCs w:val="21"/>
              </w:rPr>
            </w:pPr>
            <w:r>
              <w:rPr>
                <w:rFonts w:hint="eastAsia" w:ascii="宋体" w:hAnsi="宋体" w:cs="宋体"/>
                <w:szCs w:val="21"/>
              </w:rPr>
              <w:t>十三、其他要求</w:t>
            </w:r>
          </w:p>
          <w:p w14:paraId="7D2BA6C5">
            <w:pPr>
              <w:spacing w:line="400" w:lineRule="exact"/>
              <w:jc w:val="left"/>
              <w:rPr>
                <w:rFonts w:hint="eastAsia" w:ascii="宋体" w:hAnsi="宋体" w:cs="宋体"/>
                <w:szCs w:val="21"/>
              </w:rPr>
            </w:pPr>
            <w:r>
              <w:rPr>
                <w:rFonts w:hint="eastAsia" w:ascii="宋体" w:hAnsi="宋体" w:cs="宋体"/>
                <w:szCs w:val="21"/>
              </w:rPr>
              <w:t>1.为确保功能的真实性和有效性，在签订合同后正式供货时，业主有权要求供应商提供与标书技术要求及功能符合的设备一套，与标书文件进行所有性能的核对，作为项目验收的依据，如出现所提供设备不符合招标要求，即视为虚假应标处理并依法追究责任。</w:t>
            </w:r>
          </w:p>
          <w:p w14:paraId="0EA9C4C9">
            <w:pPr>
              <w:spacing w:line="400" w:lineRule="exact"/>
              <w:jc w:val="left"/>
              <w:rPr>
                <w:rFonts w:hint="eastAsia" w:ascii="宋体" w:hAnsi="宋体" w:cs="宋体"/>
                <w:szCs w:val="21"/>
              </w:rPr>
            </w:pPr>
            <w:r>
              <w:rPr>
                <w:rFonts w:hint="eastAsia" w:ascii="宋体" w:hAnsi="宋体" w:cs="宋体"/>
                <w:szCs w:val="21"/>
              </w:rPr>
              <w:t>2.为确保所供应货物为全新且含质保产品，在签订合同后正式供货时，中标单位须提供制造商针对此项目的供货证明原件、售后服务承诺函原件，且均须加盖生产厂家公章。</w:t>
            </w:r>
          </w:p>
        </w:tc>
        <w:tc>
          <w:tcPr>
            <w:tcW w:w="600" w:type="dxa"/>
            <w:tcBorders>
              <w:top w:val="single" w:color="auto" w:sz="4" w:space="0"/>
              <w:left w:val="single" w:color="auto" w:sz="4" w:space="0"/>
              <w:bottom w:val="single" w:color="auto" w:sz="4" w:space="0"/>
              <w:right w:val="single" w:color="auto" w:sz="4" w:space="0"/>
            </w:tcBorders>
            <w:vAlign w:val="center"/>
          </w:tcPr>
          <w:p w14:paraId="21EF182E">
            <w:pPr>
              <w:spacing w:line="400" w:lineRule="exact"/>
              <w:jc w:val="center"/>
              <w:rPr>
                <w:rFonts w:hint="eastAsia" w:ascii="宋体" w:hAnsi="宋体" w:cs="宋体"/>
                <w:color w:val="000000"/>
                <w:kern w:val="0"/>
                <w:szCs w:val="21"/>
                <w:lang w:bidi="ar"/>
              </w:rPr>
            </w:pPr>
            <w:r>
              <w:rPr>
                <w:rFonts w:hint="eastAsia" w:ascii="宋体" w:hAnsi="宋体" w:cs="宋体"/>
              </w:rPr>
              <w:t>台</w:t>
            </w:r>
          </w:p>
        </w:tc>
        <w:tc>
          <w:tcPr>
            <w:tcW w:w="600" w:type="dxa"/>
            <w:tcBorders>
              <w:top w:val="single" w:color="auto" w:sz="4" w:space="0"/>
              <w:left w:val="single" w:color="auto" w:sz="4" w:space="0"/>
              <w:bottom w:val="single" w:color="auto" w:sz="4" w:space="0"/>
              <w:right w:val="single" w:color="auto" w:sz="4" w:space="0"/>
            </w:tcBorders>
            <w:vAlign w:val="center"/>
          </w:tcPr>
          <w:p w14:paraId="6C7F6949">
            <w:pPr>
              <w:tabs>
                <w:tab w:val="left" w:pos="270"/>
              </w:tabs>
              <w:spacing w:line="400" w:lineRule="exact"/>
              <w:jc w:val="center"/>
              <w:rPr>
                <w:rFonts w:hint="eastAsia" w:ascii="宋体" w:hAnsi="宋体" w:cs="宋体"/>
                <w:color w:val="000000"/>
                <w:kern w:val="0"/>
                <w:szCs w:val="21"/>
                <w:lang w:bidi="ar"/>
              </w:rPr>
            </w:pPr>
            <w:r>
              <w:rPr>
                <w:rFonts w:hint="eastAsia" w:ascii="宋体" w:hAnsi="宋体" w:cs="宋体"/>
                <w:szCs w:val="21"/>
              </w:rPr>
              <w:t>4</w:t>
            </w:r>
          </w:p>
        </w:tc>
        <w:tc>
          <w:tcPr>
            <w:tcW w:w="805" w:type="dxa"/>
            <w:tcBorders>
              <w:top w:val="single" w:color="auto" w:sz="4" w:space="0"/>
              <w:left w:val="single" w:color="auto" w:sz="4" w:space="0"/>
              <w:bottom w:val="single" w:color="auto" w:sz="4" w:space="0"/>
              <w:right w:val="single" w:color="auto" w:sz="4" w:space="0"/>
            </w:tcBorders>
            <w:vAlign w:val="center"/>
          </w:tcPr>
          <w:p w14:paraId="6EF707C8">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21000</w:t>
            </w:r>
          </w:p>
        </w:tc>
        <w:tc>
          <w:tcPr>
            <w:tcW w:w="791" w:type="dxa"/>
            <w:tcBorders>
              <w:top w:val="single" w:color="auto" w:sz="4" w:space="0"/>
              <w:left w:val="single" w:color="auto" w:sz="4" w:space="0"/>
              <w:bottom w:val="single" w:color="auto" w:sz="4" w:space="0"/>
              <w:right w:val="single" w:color="auto" w:sz="4" w:space="0"/>
            </w:tcBorders>
            <w:vAlign w:val="center"/>
          </w:tcPr>
          <w:p w14:paraId="15F28403">
            <w:pPr>
              <w:widowControl/>
              <w:jc w:val="center"/>
              <w:textAlignment w:val="center"/>
              <w:rPr>
                <w:rFonts w:hint="eastAsia" w:ascii="宋体" w:hAnsi="宋体" w:cs="宋体"/>
              </w:rPr>
            </w:pPr>
            <w:r>
              <w:rPr>
                <w:rFonts w:hint="eastAsia" w:ascii="宋体" w:hAnsi="宋体" w:cs="宋体"/>
                <w:color w:val="000000"/>
                <w:kern w:val="0"/>
                <w:szCs w:val="21"/>
                <w:lang w:bidi="ar"/>
              </w:rPr>
              <w:t>84000</w:t>
            </w:r>
          </w:p>
        </w:tc>
      </w:tr>
      <w:tr w14:paraId="2FFAA7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14:paraId="264B3443">
            <w:pPr>
              <w:tabs>
                <w:tab w:val="left" w:pos="180"/>
                <w:tab w:val="left" w:pos="1620"/>
              </w:tabs>
              <w:spacing w:line="400" w:lineRule="exact"/>
              <w:jc w:val="center"/>
              <w:rPr>
                <w:rFonts w:hint="eastAsia" w:ascii="宋体" w:hAnsi="宋体" w:cs="宋体"/>
                <w:color w:val="000000"/>
                <w:szCs w:val="21"/>
              </w:rPr>
            </w:pPr>
            <w:r>
              <w:rPr>
                <w:rFonts w:hint="eastAsia" w:ascii="宋体" w:hAnsi="宋体" w:cs="宋体"/>
                <w:color w:val="000000"/>
                <w:szCs w:val="21"/>
              </w:rPr>
              <w:t>2</w:t>
            </w:r>
          </w:p>
        </w:tc>
        <w:tc>
          <w:tcPr>
            <w:tcW w:w="1550" w:type="dxa"/>
            <w:tcBorders>
              <w:top w:val="single" w:color="auto" w:sz="4" w:space="0"/>
              <w:left w:val="single" w:color="auto" w:sz="4" w:space="0"/>
              <w:bottom w:val="single" w:color="auto" w:sz="4" w:space="0"/>
              <w:right w:val="single" w:color="auto" w:sz="4" w:space="0"/>
            </w:tcBorders>
            <w:vAlign w:val="center"/>
          </w:tcPr>
          <w:p w14:paraId="2E20B932">
            <w:pPr>
              <w:widowControl/>
              <w:jc w:val="center"/>
              <w:textAlignment w:val="center"/>
              <w:rPr>
                <w:rFonts w:hint="eastAsia" w:ascii="宋体" w:hAnsi="宋体" w:cs="宋体"/>
                <w:szCs w:val="21"/>
              </w:rPr>
            </w:pPr>
            <w:r>
              <w:rPr>
                <w:rFonts w:hint="eastAsia" w:ascii="宋体" w:hAnsi="宋体" w:cs="宋体"/>
                <w:color w:val="000000"/>
                <w:kern w:val="0"/>
                <w:sz w:val="22"/>
                <w:szCs w:val="22"/>
                <w:lang w:bidi="ar"/>
              </w:rPr>
              <w:t>移动支架</w:t>
            </w:r>
          </w:p>
        </w:tc>
        <w:tc>
          <w:tcPr>
            <w:tcW w:w="4694" w:type="dxa"/>
            <w:tcBorders>
              <w:top w:val="single" w:color="auto" w:sz="4" w:space="0"/>
              <w:left w:val="single" w:color="auto" w:sz="4" w:space="0"/>
              <w:bottom w:val="single" w:color="auto" w:sz="4" w:space="0"/>
              <w:right w:val="single" w:color="auto" w:sz="4" w:space="0"/>
            </w:tcBorders>
            <w:vAlign w:val="center"/>
          </w:tcPr>
          <w:p w14:paraId="5AAAF4DB">
            <w:pPr>
              <w:widowControl/>
              <w:spacing w:line="320" w:lineRule="exact"/>
              <w:jc w:val="left"/>
              <w:rPr>
                <w:rFonts w:hint="eastAsia" w:ascii="宋体" w:hAnsi="宋体" w:cs="宋体"/>
                <w:szCs w:val="21"/>
              </w:rPr>
            </w:pPr>
            <w:r>
              <w:rPr>
                <w:rFonts w:hint="eastAsia" w:ascii="宋体" w:hAnsi="宋体" w:cs="宋体"/>
                <w:szCs w:val="21"/>
              </w:rPr>
              <w:t xml:space="preserve">1、移动支架通过防倾斜实验，正负10度倾斜角度下不能翻倒； </w:t>
            </w:r>
          </w:p>
          <w:p w14:paraId="6B806BF1">
            <w:pPr>
              <w:widowControl/>
              <w:spacing w:line="320" w:lineRule="exact"/>
              <w:jc w:val="left"/>
              <w:rPr>
                <w:rFonts w:hint="eastAsia" w:ascii="宋体" w:hAnsi="宋体" w:cs="宋体"/>
                <w:szCs w:val="21"/>
              </w:rPr>
            </w:pPr>
            <w:r>
              <w:rPr>
                <w:rFonts w:hint="eastAsia" w:ascii="宋体" w:hAnsi="宋体" w:cs="宋体"/>
                <w:szCs w:val="21"/>
              </w:rPr>
              <w:t xml:space="preserve">2、承挂≥100kg，壁挂高度可调；整体高度≥1597mm；                                    </w:t>
            </w:r>
          </w:p>
          <w:p w14:paraId="38B9FC74">
            <w:pPr>
              <w:widowControl/>
              <w:spacing w:line="320" w:lineRule="exact"/>
              <w:jc w:val="left"/>
              <w:rPr>
                <w:rFonts w:hint="eastAsia" w:ascii="宋体" w:hAnsi="宋体" w:cs="宋体"/>
                <w:szCs w:val="21"/>
              </w:rPr>
            </w:pPr>
            <w:r>
              <w:rPr>
                <w:rFonts w:hint="eastAsia" w:ascii="宋体" w:hAnsi="宋体" w:cs="宋体"/>
                <w:szCs w:val="21"/>
              </w:rPr>
              <w:t>3、托盘承重25KG,模具设置U型置物槽，方便触摸笔、遥控器等物品放置；</w:t>
            </w:r>
          </w:p>
          <w:p w14:paraId="5216CA60">
            <w:pPr>
              <w:widowControl/>
              <w:spacing w:line="320" w:lineRule="exact"/>
              <w:jc w:val="left"/>
              <w:rPr>
                <w:rFonts w:hint="eastAsia" w:ascii="宋体" w:hAnsi="宋体" w:cs="宋体"/>
                <w:szCs w:val="21"/>
              </w:rPr>
            </w:pPr>
            <w:r>
              <w:rPr>
                <w:rFonts w:hint="eastAsia" w:ascii="宋体" w:hAnsi="宋体" w:cs="宋体"/>
                <w:szCs w:val="21"/>
              </w:rPr>
              <w:t>4、支撑立杆采用壁厚≥1.8mm方通冷轧钢材质，表面黑色喷涂；</w:t>
            </w:r>
          </w:p>
          <w:p w14:paraId="4F5EB5B7">
            <w:pPr>
              <w:widowControl/>
              <w:spacing w:line="320" w:lineRule="exact"/>
              <w:jc w:val="left"/>
              <w:rPr>
                <w:rFonts w:hint="eastAsia" w:ascii="宋体" w:hAnsi="宋体" w:cs="宋体"/>
                <w:szCs w:val="21"/>
              </w:rPr>
            </w:pPr>
            <w:r>
              <w:rPr>
                <w:rFonts w:hint="eastAsia" w:ascii="宋体" w:hAnsi="宋体" w:cs="宋体"/>
                <w:szCs w:val="21"/>
              </w:rPr>
              <w:t>5、脚轮为万向轮，聚氨酯（PU）材质，均带脚刹，直径不小于∮75mm；</w:t>
            </w:r>
          </w:p>
          <w:p w14:paraId="7F6E1C72">
            <w:pPr>
              <w:widowControl/>
              <w:spacing w:line="320" w:lineRule="exact"/>
              <w:jc w:val="left"/>
              <w:rPr>
                <w:rFonts w:hint="eastAsia" w:ascii="宋体" w:hAnsi="宋体" w:cs="宋体"/>
                <w:szCs w:val="21"/>
              </w:rPr>
            </w:pPr>
            <w:r>
              <w:rPr>
                <w:rFonts w:hint="eastAsia" w:ascii="宋体" w:hAnsi="宋体" w:cs="宋体"/>
                <w:szCs w:val="21"/>
              </w:rPr>
              <w:t>6、脚轮中心距横向≥1115mm，纵向≥627mm</w:t>
            </w:r>
          </w:p>
        </w:tc>
        <w:tc>
          <w:tcPr>
            <w:tcW w:w="600" w:type="dxa"/>
            <w:tcBorders>
              <w:top w:val="single" w:color="auto" w:sz="4" w:space="0"/>
              <w:left w:val="single" w:color="auto" w:sz="4" w:space="0"/>
              <w:bottom w:val="single" w:color="auto" w:sz="4" w:space="0"/>
              <w:right w:val="single" w:color="auto" w:sz="4" w:space="0"/>
            </w:tcBorders>
            <w:vAlign w:val="center"/>
          </w:tcPr>
          <w:p w14:paraId="3E4641FE">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台</w:t>
            </w:r>
          </w:p>
        </w:tc>
        <w:tc>
          <w:tcPr>
            <w:tcW w:w="600" w:type="dxa"/>
            <w:tcBorders>
              <w:top w:val="single" w:color="auto" w:sz="4" w:space="0"/>
              <w:left w:val="single" w:color="auto" w:sz="4" w:space="0"/>
              <w:bottom w:val="single" w:color="auto" w:sz="4" w:space="0"/>
              <w:right w:val="single" w:color="auto" w:sz="4" w:space="0"/>
            </w:tcBorders>
            <w:vAlign w:val="center"/>
          </w:tcPr>
          <w:p w14:paraId="285E7B6D">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w:t>
            </w:r>
          </w:p>
        </w:tc>
        <w:tc>
          <w:tcPr>
            <w:tcW w:w="805" w:type="dxa"/>
            <w:tcBorders>
              <w:top w:val="single" w:color="auto" w:sz="4" w:space="0"/>
              <w:left w:val="single" w:color="auto" w:sz="4" w:space="0"/>
              <w:bottom w:val="single" w:color="auto" w:sz="4" w:space="0"/>
              <w:right w:val="single" w:color="auto" w:sz="4" w:space="0"/>
            </w:tcBorders>
            <w:vAlign w:val="center"/>
          </w:tcPr>
          <w:p w14:paraId="4BB1C962">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800</w:t>
            </w:r>
          </w:p>
        </w:tc>
        <w:tc>
          <w:tcPr>
            <w:tcW w:w="791" w:type="dxa"/>
            <w:tcBorders>
              <w:top w:val="single" w:color="auto" w:sz="4" w:space="0"/>
              <w:left w:val="single" w:color="auto" w:sz="4" w:space="0"/>
              <w:bottom w:val="single" w:color="auto" w:sz="4" w:space="0"/>
              <w:right w:val="single" w:color="auto" w:sz="4" w:space="0"/>
            </w:tcBorders>
            <w:vAlign w:val="center"/>
          </w:tcPr>
          <w:p w14:paraId="7E8784B2">
            <w:pPr>
              <w:widowControl/>
              <w:jc w:val="center"/>
              <w:textAlignment w:val="center"/>
              <w:rPr>
                <w:rFonts w:hint="eastAsia" w:ascii="宋体" w:hAnsi="宋体" w:cs="宋体"/>
              </w:rPr>
            </w:pPr>
            <w:r>
              <w:rPr>
                <w:rFonts w:hint="eastAsia" w:ascii="宋体" w:hAnsi="宋体" w:cs="宋体"/>
                <w:color w:val="000000"/>
                <w:kern w:val="0"/>
                <w:szCs w:val="21"/>
                <w:lang w:bidi="ar"/>
              </w:rPr>
              <w:t>3200</w:t>
            </w:r>
          </w:p>
        </w:tc>
      </w:tr>
      <w:tr w14:paraId="23FBC9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14:paraId="3DFA0AD0">
            <w:pPr>
              <w:tabs>
                <w:tab w:val="left" w:pos="180"/>
                <w:tab w:val="left" w:pos="1620"/>
              </w:tabs>
              <w:spacing w:line="400" w:lineRule="exact"/>
              <w:jc w:val="center"/>
              <w:rPr>
                <w:rFonts w:hint="eastAsia" w:ascii="宋体" w:hAnsi="宋体" w:cs="宋体"/>
                <w:color w:val="000000"/>
                <w:szCs w:val="21"/>
              </w:rPr>
            </w:pPr>
            <w:r>
              <w:rPr>
                <w:rFonts w:hint="eastAsia" w:ascii="宋体" w:hAnsi="宋体" w:cs="宋体"/>
                <w:color w:val="000000"/>
                <w:szCs w:val="21"/>
              </w:rPr>
              <w:t>3</w:t>
            </w:r>
          </w:p>
        </w:tc>
        <w:tc>
          <w:tcPr>
            <w:tcW w:w="1550" w:type="dxa"/>
            <w:tcBorders>
              <w:top w:val="single" w:color="auto" w:sz="4" w:space="0"/>
              <w:left w:val="single" w:color="auto" w:sz="4" w:space="0"/>
              <w:bottom w:val="single" w:color="auto" w:sz="4" w:space="0"/>
              <w:right w:val="single" w:color="auto" w:sz="4" w:space="0"/>
            </w:tcBorders>
            <w:vAlign w:val="center"/>
          </w:tcPr>
          <w:p w14:paraId="3C7D9173">
            <w:pPr>
              <w:widowControl/>
              <w:jc w:val="center"/>
              <w:textAlignment w:val="center"/>
              <w:rPr>
                <w:rFonts w:hint="eastAsia" w:ascii="宋体" w:hAnsi="宋体" w:cs="宋体"/>
                <w:szCs w:val="21"/>
              </w:rPr>
            </w:pPr>
            <w:r>
              <w:rPr>
                <w:rFonts w:hint="eastAsia" w:ascii="宋体" w:hAnsi="宋体" w:cs="宋体"/>
                <w:color w:val="000000"/>
                <w:kern w:val="0"/>
                <w:sz w:val="22"/>
                <w:szCs w:val="22"/>
                <w:lang w:bidi="ar"/>
              </w:rPr>
              <w:t>视频展台</w:t>
            </w:r>
          </w:p>
        </w:tc>
        <w:tc>
          <w:tcPr>
            <w:tcW w:w="4694" w:type="dxa"/>
            <w:tcBorders>
              <w:top w:val="single" w:color="auto" w:sz="4" w:space="0"/>
              <w:left w:val="single" w:color="auto" w:sz="4" w:space="0"/>
              <w:bottom w:val="single" w:color="auto" w:sz="4" w:space="0"/>
              <w:right w:val="single" w:color="auto" w:sz="4" w:space="0"/>
            </w:tcBorders>
            <w:vAlign w:val="center"/>
          </w:tcPr>
          <w:p w14:paraId="4B55D5C8">
            <w:pPr>
              <w:widowControl/>
              <w:spacing w:line="320" w:lineRule="exact"/>
              <w:jc w:val="left"/>
              <w:rPr>
                <w:rFonts w:hint="eastAsia" w:ascii="宋体" w:hAnsi="宋体" w:cs="宋体"/>
                <w:szCs w:val="21"/>
              </w:rPr>
            </w:pPr>
            <w:r>
              <w:rPr>
                <w:rFonts w:hint="eastAsia" w:ascii="宋体" w:hAnsi="宋体" w:cs="宋体"/>
                <w:szCs w:val="21"/>
              </w:rPr>
              <w:t>1、采用≥800万像素摄像头；采用 USB五伏电源直接供电，无需额外配置电源适配器，环保无辐射；箱内USB连线采用隐藏式设计，箱内无可见连线且USB口下出，有效防止积尘，且方便布线和返修。</w:t>
            </w:r>
          </w:p>
          <w:p w14:paraId="36F72D34">
            <w:pPr>
              <w:widowControl/>
              <w:spacing w:line="320" w:lineRule="exact"/>
              <w:jc w:val="left"/>
              <w:rPr>
                <w:rFonts w:hint="eastAsia" w:ascii="宋体" w:hAnsi="宋体" w:cs="宋体"/>
                <w:szCs w:val="21"/>
              </w:rPr>
            </w:pPr>
            <w:r>
              <w:rPr>
                <w:rFonts w:hint="eastAsia" w:ascii="宋体" w:hAnsi="宋体" w:cs="宋体"/>
                <w:szCs w:val="21"/>
              </w:rPr>
              <w:t>2、A4大小拍摄幅面，1080P动态视频预览达到30帧/秒；托板及挂墙部分采用金属加强，托板可承重3kg，整机壁挂式安装。</w:t>
            </w:r>
          </w:p>
          <w:p w14:paraId="438DEBAC">
            <w:pPr>
              <w:widowControl/>
              <w:spacing w:line="320" w:lineRule="exact"/>
              <w:jc w:val="left"/>
              <w:rPr>
                <w:rFonts w:hint="eastAsia" w:ascii="宋体" w:hAnsi="宋体" w:cs="宋体"/>
                <w:szCs w:val="21"/>
              </w:rPr>
            </w:pPr>
            <w:r>
              <w:rPr>
                <w:rFonts w:hint="eastAsia" w:ascii="宋体" w:hAnsi="宋体" w:cs="宋体"/>
                <w:szCs w:val="21"/>
              </w:rPr>
              <w:t>3、支持展台成像画面实时批注，预设多种笔划粗细及颜色供选择，且支持对展台成像画面联同批注内容进行同步缩放、移动。</w:t>
            </w:r>
          </w:p>
          <w:p w14:paraId="3696FFC6">
            <w:pPr>
              <w:widowControl/>
              <w:spacing w:line="320" w:lineRule="exact"/>
              <w:jc w:val="left"/>
              <w:rPr>
                <w:rFonts w:hint="eastAsia" w:ascii="宋体" w:hAnsi="宋体" w:cs="宋体"/>
                <w:szCs w:val="21"/>
              </w:rPr>
            </w:pPr>
            <w:r>
              <w:rPr>
                <w:rFonts w:hint="eastAsia" w:ascii="宋体" w:hAnsi="宋体" w:cs="宋体"/>
                <w:szCs w:val="21"/>
              </w:rPr>
              <w:t>4、展示托板正上方具备LED补光灯，保证展示区域的亮度及展示效果，补光灯开关采用触摸按键设计，同时可通过交互智能平板中的软件直接控制开关；带自动对焦摄像头。</w:t>
            </w:r>
          </w:p>
          <w:p w14:paraId="59DF240C">
            <w:pPr>
              <w:widowControl/>
              <w:spacing w:line="320" w:lineRule="exact"/>
              <w:jc w:val="left"/>
              <w:rPr>
                <w:rFonts w:hint="eastAsia" w:ascii="宋体" w:hAnsi="宋体" w:cs="宋体"/>
                <w:szCs w:val="21"/>
              </w:rPr>
            </w:pPr>
            <w:r>
              <w:rPr>
                <w:rFonts w:hint="eastAsia" w:ascii="宋体" w:hAnsi="宋体" w:cs="宋体"/>
                <w:szCs w:val="21"/>
              </w:rPr>
              <w:t>5、具有故障自动检测功能：在调用展台却无法出现镜头采集画面信号时，可自动出现检测链接，并给出导致性原因（如硬件连接、摄像头占用、配套软件版本等问题）。</w:t>
            </w:r>
          </w:p>
          <w:p w14:paraId="6076C762">
            <w:pPr>
              <w:widowControl/>
              <w:spacing w:line="320" w:lineRule="exact"/>
              <w:jc w:val="left"/>
              <w:rPr>
                <w:rFonts w:hint="eastAsia" w:ascii="宋体" w:hAnsi="宋体" w:cs="宋体"/>
                <w:szCs w:val="21"/>
              </w:rPr>
            </w:pPr>
          </w:p>
        </w:tc>
        <w:tc>
          <w:tcPr>
            <w:tcW w:w="600" w:type="dxa"/>
            <w:tcBorders>
              <w:top w:val="single" w:color="auto" w:sz="4" w:space="0"/>
              <w:left w:val="single" w:color="auto" w:sz="4" w:space="0"/>
              <w:bottom w:val="single" w:color="auto" w:sz="4" w:space="0"/>
              <w:right w:val="single" w:color="auto" w:sz="4" w:space="0"/>
            </w:tcBorders>
            <w:vAlign w:val="center"/>
          </w:tcPr>
          <w:p w14:paraId="47CBF170">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台</w:t>
            </w:r>
          </w:p>
        </w:tc>
        <w:tc>
          <w:tcPr>
            <w:tcW w:w="600" w:type="dxa"/>
            <w:tcBorders>
              <w:top w:val="single" w:color="auto" w:sz="4" w:space="0"/>
              <w:left w:val="single" w:color="auto" w:sz="4" w:space="0"/>
              <w:bottom w:val="single" w:color="auto" w:sz="4" w:space="0"/>
              <w:right w:val="single" w:color="auto" w:sz="4" w:space="0"/>
            </w:tcBorders>
            <w:vAlign w:val="center"/>
          </w:tcPr>
          <w:p w14:paraId="75FA32AC">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w:t>
            </w:r>
          </w:p>
        </w:tc>
        <w:tc>
          <w:tcPr>
            <w:tcW w:w="805" w:type="dxa"/>
            <w:tcBorders>
              <w:top w:val="single" w:color="auto" w:sz="4" w:space="0"/>
              <w:left w:val="single" w:color="auto" w:sz="4" w:space="0"/>
              <w:bottom w:val="single" w:color="auto" w:sz="4" w:space="0"/>
              <w:right w:val="single" w:color="auto" w:sz="4" w:space="0"/>
            </w:tcBorders>
            <w:vAlign w:val="center"/>
          </w:tcPr>
          <w:p w14:paraId="1A76DA49">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1200</w:t>
            </w:r>
          </w:p>
        </w:tc>
        <w:tc>
          <w:tcPr>
            <w:tcW w:w="791" w:type="dxa"/>
            <w:tcBorders>
              <w:top w:val="single" w:color="auto" w:sz="4" w:space="0"/>
              <w:left w:val="single" w:color="auto" w:sz="4" w:space="0"/>
              <w:bottom w:val="single" w:color="auto" w:sz="4" w:space="0"/>
              <w:right w:val="single" w:color="auto" w:sz="4" w:space="0"/>
            </w:tcBorders>
            <w:vAlign w:val="center"/>
          </w:tcPr>
          <w:p w14:paraId="5CA0E847">
            <w:pPr>
              <w:widowControl/>
              <w:jc w:val="center"/>
              <w:textAlignment w:val="center"/>
              <w:rPr>
                <w:rFonts w:hint="eastAsia" w:ascii="宋体" w:hAnsi="宋体" w:cs="宋体"/>
              </w:rPr>
            </w:pPr>
            <w:r>
              <w:rPr>
                <w:rFonts w:hint="eastAsia" w:ascii="宋体" w:hAnsi="宋体" w:cs="宋体"/>
                <w:color w:val="000000"/>
                <w:kern w:val="0"/>
                <w:szCs w:val="21"/>
                <w:lang w:bidi="ar"/>
              </w:rPr>
              <w:t>2400</w:t>
            </w:r>
          </w:p>
        </w:tc>
      </w:tr>
      <w:tr w14:paraId="024928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14:paraId="0D77C26A">
            <w:pPr>
              <w:tabs>
                <w:tab w:val="left" w:pos="180"/>
                <w:tab w:val="left" w:pos="1620"/>
              </w:tabs>
              <w:spacing w:line="400" w:lineRule="exact"/>
              <w:jc w:val="center"/>
              <w:rPr>
                <w:rFonts w:hint="eastAsia" w:ascii="宋体" w:hAnsi="宋体" w:cs="宋体"/>
                <w:color w:val="000000"/>
                <w:szCs w:val="21"/>
              </w:rPr>
            </w:pPr>
          </w:p>
        </w:tc>
        <w:tc>
          <w:tcPr>
            <w:tcW w:w="1550" w:type="dxa"/>
            <w:tcBorders>
              <w:top w:val="single" w:color="auto" w:sz="4" w:space="0"/>
              <w:left w:val="single" w:color="auto" w:sz="4" w:space="0"/>
              <w:bottom w:val="single" w:color="auto" w:sz="4" w:space="0"/>
              <w:right w:val="single" w:color="auto" w:sz="4" w:space="0"/>
            </w:tcBorders>
            <w:vAlign w:val="center"/>
          </w:tcPr>
          <w:p w14:paraId="466A130E">
            <w:pPr>
              <w:widowControl/>
              <w:jc w:val="center"/>
              <w:textAlignment w:val="center"/>
              <w:rPr>
                <w:rFonts w:hint="eastAsia" w:ascii="宋体" w:hAnsi="宋体" w:cs="宋体"/>
                <w:color w:val="000000"/>
                <w:kern w:val="0"/>
                <w:sz w:val="22"/>
                <w:szCs w:val="22"/>
                <w:lang w:bidi="ar"/>
              </w:rPr>
            </w:pPr>
          </w:p>
        </w:tc>
        <w:tc>
          <w:tcPr>
            <w:tcW w:w="4694" w:type="dxa"/>
            <w:tcBorders>
              <w:top w:val="single" w:color="auto" w:sz="4" w:space="0"/>
              <w:left w:val="single" w:color="auto" w:sz="4" w:space="0"/>
              <w:bottom w:val="single" w:color="auto" w:sz="4" w:space="0"/>
              <w:right w:val="single" w:color="auto" w:sz="4" w:space="0"/>
            </w:tcBorders>
            <w:vAlign w:val="center"/>
          </w:tcPr>
          <w:p w14:paraId="6E69E2EA">
            <w:pPr>
              <w:widowControl/>
              <w:spacing w:line="320" w:lineRule="exact"/>
              <w:jc w:val="right"/>
              <w:rPr>
                <w:rFonts w:hint="eastAsia" w:ascii="宋体" w:hAnsi="宋体" w:cs="宋体"/>
                <w:szCs w:val="21"/>
              </w:rPr>
            </w:pPr>
          </w:p>
        </w:tc>
        <w:tc>
          <w:tcPr>
            <w:tcW w:w="600" w:type="dxa"/>
            <w:tcBorders>
              <w:top w:val="single" w:color="auto" w:sz="4" w:space="0"/>
              <w:left w:val="single" w:color="auto" w:sz="4" w:space="0"/>
              <w:bottom w:val="single" w:color="auto" w:sz="4" w:space="0"/>
              <w:right w:val="single" w:color="auto" w:sz="4" w:space="0"/>
            </w:tcBorders>
            <w:vAlign w:val="center"/>
          </w:tcPr>
          <w:p w14:paraId="6F331B3F">
            <w:pPr>
              <w:widowControl/>
              <w:jc w:val="center"/>
              <w:textAlignment w:val="center"/>
              <w:rPr>
                <w:rFonts w:hint="eastAsia" w:ascii="宋体" w:hAnsi="宋体" w:cs="宋体"/>
                <w:color w:val="000000"/>
                <w:kern w:val="0"/>
                <w:szCs w:val="21"/>
                <w:lang w:bidi="ar"/>
              </w:rPr>
            </w:pPr>
          </w:p>
        </w:tc>
        <w:tc>
          <w:tcPr>
            <w:tcW w:w="600" w:type="dxa"/>
            <w:tcBorders>
              <w:top w:val="single" w:color="auto" w:sz="4" w:space="0"/>
              <w:left w:val="single" w:color="auto" w:sz="4" w:space="0"/>
              <w:bottom w:val="single" w:color="auto" w:sz="4" w:space="0"/>
              <w:right w:val="single" w:color="auto" w:sz="4" w:space="0"/>
            </w:tcBorders>
            <w:vAlign w:val="center"/>
          </w:tcPr>
          <w:p w14:paraId="16A943FD">
            <w:pPr>
              <w:widowControl/>
              <w:jc w:val="center"/>
              <w:textAlignment w:val="center"/>
              <w:rPr>
                <w:rFonts w:hint="eastAsia" w:ascii="宋体" w:hAnsi="宋体" w:cs="宋体"/>
                <w:color w:val="000000"/>
                <w:kern w:val="0"/>
                <w:szCs w:val="21"/>
                <w:lang w:bidi="ar"/>
              </w:rPr>
            </w:pPr>
          </w:p>
        </w:tc>
        <w:tc>
          <w:tcPr>
            <w:tcW w:w="805" w:type="dxa"/>
            <w:tcBorders>
              <w:top w:val="single" w:color="auto" w:sz="4" w:space="0"/>
              <w:left w:val="single" w:color="auto" w:sz="4" w:space="0"/>
              <w:bottom w:val="single" w:color="auto" w:sz="4" w:space="0"/>
              <w:right w:val="single" w:color="auto" w:sz="4" w:space="0"/>
            </w:tcBorders>
            <w:vAlign w:val="center"/>
          </w:tcPr>
          <w:p w14:paraId="76A1FD60">
            <w:pPr>
              <w:widowControl/>
              <w:jc w:val="center"/>
              <w:textAlignment w:val="center"/>
              <w:rPr>
                <w:rFonts w:hint="eastAsia" w:ascii="宋体" w:hAnsi="宋体" w:cs="宋体"/>
                <w:color w:val="000000"/>
                <w:kern w:val="0"/>
                <w:szCs w:val="21"/>
                <w:lang w:bidi="ar"/>
              </w:rPr>
            </w:pPr>
            <w:r>
              <w:rPr>
                <w:rFonts w:hint="eastAsia" w:ascii="宋体" w:hAnsi="宋体" w:cs="宋体"/>
                <w:szCs w:val="21"/>
              </w:rPr>
              <w:t>总价</w:t>
            </w:r>
          </w:p>
        </w:tc>
        <w:tc>
          <w:tcPr>
            <w:tcW w:w="791" w:type="dxa"/>
            <w:tcBorders>
              <w:top w:val="single" w:color="auto" w:sz="4" w:space="0"/>
              <w:left w:val="single" w:color="auto" w:sz="4" w:space="0"/>
              <w:bottom w:val="single" w:color="auto" w:sz="4" w:space="0"/>
              <w:right w:val="single" w:color="auto" w:sz="4" w:space="0"/>
            </w:tcBorders>
            <w:vAlign w:val="center"/>
          </w:tcPr>
          <w:p w14:paraId="3F823C1E">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89600</w:t>
            </w:r>
          </w:p>
        </w:tc>
      </w:tr>
    </w:tbl>
    <w:p w14:paraId="4BA8B19B"/>
    <w:p w14:paraId="21B27096">
      <w:pPr>
        <w:pStyle w:val="9"/>
      </w:pPr>
    </w:p>
    <w:sectPr>
      <w:footerReference r:id="rId3" w:type="default"/>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方正公文小标宋">
    <w:panose1 w:val="02000500000000000000"/>
    <w:charset w:val="86"/>
    <w:family w:val="auto"/>
    <w:pitch w:val="default"/>
    <w:sig w:usb0="A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1" w:fontKey="{306830A3-CCA2-45D4-829A-82CFBDB336CD}"/>
  </w:font>
  <w:font w:name="方正仿宋_GB2312">
    <w:panose1 w:val="02000000000000000000"/>
    <w:charset w:val="86"/>
    <w:family w:val="auto"/>
    <w:pitch w:val="default"/>
    <w:sig w:usb0="A00002BF" w:usb1="184F6CFA" w:usb2="00000012" w:usb3="00000000" w:csb0="00040001" w:csb1="00000000"/>
    <w:embedRegular r:id="rId2" w:fontKey="{8402E726-E2DC-437A-9F0A-A70886CADE47}"/>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384E3">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D2708E4">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2D2708E4">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3C34861"/>
    <w:multiLevelType w:val="singleLevel"/>
    <w:tmpl w:val="73C3486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695859"/>
    <w:rsid w:val="000E10B0"/>
    <w:rsid w:val="00117BDD"/>
    <w:rsid w:val="001401F2"/>
    <w:rsid w:val="00370B41"/>
    <w:rsid w:val="0038363F"/>
    <w:rsid w:val="004901D4"/>
    <w:rsid w:val="00794200"/>
    <w:rsid w:val="00B10641"/>
    <w:rsid w:val="00B745C2"/>
    <w:rsid w:val="00CD42C5"/>
    <w:rsid w:val="00FC6A62"/>
    <w:rsid w:val="010B5723"/>
    <w:rsid w:val="02056778"/>
    <w:rsid w:val="03A10668"/>
    <w:rsid w:val="081B3BDB"/>
    <w:rsid w:val="0C126BE9"/>
    <w:rsid w:val="0D0613D3"/>
    <w:rsid w:val="0DB11902"/>
    <w:rsid w:val="10323EE1"/>
    <w:rsid w:val="140B5688"/>
    <w:rsid w:val="149C463D"/>
    <w:rsid w:val="164037CB"/>
    <w:rsid w:val="16BF3714"/>
    <w:rsid w:val="171034DF"/>
    <w:rsid w:val="17CB459A"/>
    <w:rsid w:val="195C2E49"/>
    <w:rsid w:val="1A6836E2"/>
    <w:rsid w:val="1CE1063D"/>
    <w:rsid w:val="1E1C7B69"/>
    <w:rsid w:val="1F303A5C"/>
    <w:rsid w:val="216435EB"/>
    <w:rsid w:val="228C4BA7"/>
    <w:rsid w:val="24C271F2"/>
    <w:rsid w:val="25A246E2"/>
    <w:rsid w:val="26A737FD"/>
    <w:rsid w:val="28D20734"/>
    <w:rsid w:val="28FC05AD"/>
    <w:rsid w:val="2A705369"/>
    <w:rsid w:val="2B7145AF"/>
    <w:rsid w:val="2F8A1324"/>
    <w:rsid w:val="2FCC431A"/>
    <w:rsid w:val="34F8703A"/>
    <w:rsid w:val="3786210B"/>
    <w:rsid w:val="380E11B5"/>
    <w:rsid w:val="3C3B116F"/>
    <w:rsid w:val="3D684A0B"/>
    <w:rsid w:val="3FDB036F"/>
    <w:rsid w:val="42E6744A"/>
    <w:rsid w:val="42FF2189"/>
    <w:rsid w:val="43A37B4B"/>
    <w:rsid w:val="45B71E2A"/>
    <w:rsid w:val="45DE30BD"/>
    <w:rsid w:val="49A960E1"/>
    <w:rsid w:val="4B83672E"/>
    <w:rsid w:val="4C572BCB"/>
    <w:rsid w:val="4DF36CC9"/>
    <w:rsid w:val="4F767502"/>
    <w:rsid w:val="4F81207C"/>
    <w:rsid w:val="50B82DD6"/>
    <w:rsid w:val="54161C73"/>
    <w:rsid w:val="54F473FF"/>
    <w:rsid w:val="55A90193"/>
    <w:rsid w:val="57975564"/>
    <w:rsid w:val="58E95658"/>
    <w:rsid w:val="5A207543"/>
    <w:rsid w:val="5A235F34"/>
    <w:rsid w:val="5A556D96"/>
    <w:rsid w:val="5ABD7CE2"/>
    <w:rsid w:val="5C5F7B9D"/>
    <w:rsid w:val="5C7D4F86"/>
    <w:rsid w:val="60F5227A"/>
    <w:rsid w:val="62695859"/>
    <w:rsid w:val="63BD3EBA"/>
    <w:rsid w:val="653930C7"/>
    <w:rsid w:val="66B45A48"/>
    <w:rsid w:val="67C20952"/>
    <w:rsid w:val="683F0A35"/>
    <w:rsid w:val="684D1601"/>
    <w:rsid w:val="6ABF3227"/>
    <w:rsid w:val="6CC77BE6"/>
    <w:rsid w:val="6E3E13DC"/>
    <w:rsid w:val="702F4391"/>
    <w:rsid w:val="72D965A9"/>
    <w:rsid w:val="7322018E"/>
    <w:rsid w:val="746721C8"/>
    <w:rsid w:val="75FC3666"/>
    <w:rsid w:val="767D74CB"/>
    <w:rsid w:val="78DA6D60"/>
    <w:rsid w:val="7A432BAD"/>
    <w:rsid w:val="7AD43BF5"/>
    <w:rsid w:val="7C015368"/>
    <w:rsid w:val="7C5C2629"/>
    <w:rsid w:val="7D9871FF"/>
    <w:rsid w:val="D8EE90CE"/>
    <w:rsid w:val="DADFEB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autoSpaceDE w:val="0"/>
      <w:autoSpaceDN w:val="0"/>
      <w:spacing w:after="120"/>
      <w:jc w:val="left"/>
    </w:pPr>
    <w:rPr>
      <w:rFonts w:ascii="宋体"/>
      <w:kern w:val="0"/>
      <w:sz w:val="34"/>
      <w:szCs w:val="20"/>
    </w:rPr>
  </w:style>
  <w:style w:type="paragraph" w:styleId="3">
    <w:name w:val="Plain Text"/>
    <w:basedOn w:val="1"/>
    <w:qFormat/>
    <w:uiPriority w:val="0"/>
    <w:rPr>
      <w:rFonts w:ascii="宋体" w:hAnsi="Courier New"/>
      <w:szCs w:val="20"/>
    </w:rPr>
  </w:style>
  <w:style w:type="paragraph" w:styleId="4">
    <w:name w:val="Body Text Indent"/>
    <w:basedOn w:val="1"/>
    <w:unhideWhenUsed/>
    <w:qFormat/>
    <w:uiPriority w:val="99"/>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100" w:beforeAutospacing="1" w:after="100" w:afterAutospacing="1"/>
      <w:jc w:val="left"/>
    </w:pPr>
    <w:rPr>
      <w:kern w:val="0"/>
      <w:sz w:val="24"/>
    </w:rPr>
  </w:style>
  <w:style w:type="paragraph" w:styleId="8">
    <w:name w:val="Body Text First Indent"/>
    <w:basedOn w:val="2"/>
    <w:qFormat/>
    <w:uiPriority w:val="0"/>
    <w:pPr>
      <w:snapToGrid w:val="0"/>
      <w:spacing w:line="360" w:lineRule="auto"/>
      <w:ind w:right="240" w:firstLine="420" w:firstLineChars="100"/>
    </w:pPr>
    <w:rPr>
      <w:rFonts w:hAnsi="宋体" w:eastAsia="方正仿宋_GBK"/>
      <w:kern w:val="2"/>
      <w:sz w:val="21"/>
      <w:szCs w:val="28"/>
    </w:rPr>
  </w:style>
  <w:style w:type="paragraph" w:styleId="9">
    <w:name w:val="Body Text First Indent 2"/>
    <w:basedOn w:val="4"/>
    <w:qFormat/>
    <w:uiPriority w:val="0"/>
    <w:pPr>
      <w:ind w:firstLine="420" w:firstLineChars="200"/>
    </w:pPr>
  </w:style>
  <w:style w:type="paragraph" w:customStyle="1" w:styleId="12">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7998</Words>
  <Characters>8782</Characters>
  <Lines>65</Lines>
  <Paragraphs>18</Paragraphs>
  <TotalTime>6</TotalTime>
  <ScaleCrop>false</ScaleCrop>
  <LinksUpToDate>false</LinksUpToDate>
  <CharactersWithSpaces>8897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2026-06-16T08:27:00Z</dcterms:created>
  <dc:creator>shimmer</dc:creator>
  <cp:lastModifiedBy>木才</cp:lastModifiedBy>
  <dcterms:modified xsi:type="dcterms:W3CDTF">2026-06-21T14:13:23Z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AB29DA536DBA43469E75671B6C2BB941_13</vt:lpwstr>
  </property>
  <property fmtid="{D5CDD505-2E9C-101B-9397-08002B2CF9AE}" pid="4" name="KSOTemplateDocerSaveRecord">
    <vt:lpwstr>eyJoZGlkIjoiMmExMzc4YjMwZGEzNjAzMjI4OTA0ZTQyOTc0OWFmZjgiLCJ1c2VySWQiOiI0MjI2NjI0NTMifQ==</vt:lpwstr>
  </property>
</Properties>
</file>