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10.odttf" ContentType="application/vnd.openxmlformats-officedocument.obfuscatedFont"/>
  <Override PartName="/word/fonts/font11.odttf" ContentType="application/vnd.openxmlformats-officedocument.obfuscatedFont"/>
  <Override PartName="/word/fonts/font12.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nts/font8.odttf" ContentType="application/vnd.openxmlformats-officedocument.obfuscatedFont"/>
  <Override PartName="/word/fonts/font9.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ackground w:color="FFFFFF"/>
  <w:body>
    <w:p w14:paraId="77DD3304">
      <w:pPr>
        <w:spacing w:before="165" w:beforeLines="50" w:line="360" w:lineRule="auto"/>
        <w:jc w:val="center"/>
        <w:rPr>
          <w:rFonts w:ascii="宋体" w:hAnsi="宋体"/>
          <w:color w:val="auto"/>
          <w:sz w:val="52"/>
          <w:szCs w:val="52"/>
          <w:highlight w:val="none"/>
        </w:rPr>
      </w:pPr>
      <w:r>
        <w:rPr>
          <w:rFonts w:hint="eastAsia" w:ascii="宋体" w:hAnsi="宋体"/>
          <w:color w:val="auto"/>
          <w:sz w:val="52"/>
          <w:szCs w:val="52"/>
          <w:highlight w:val="none"/>
        </w:rPr>
        <w:t xml:space="preserve">  南宁市政府采购</w:t>
      </w:r>
    </w:p>
    <w:p w14:paraId="5E754941">
      <w:pPr>
        <w:spacing w:before="165" w:beforeLines="50" w:line="360" w:lineRule="auto"/>
        <w:jc w:val="center"/>
        <w:rPr>
          <w:rFonts w:ascii="宋体" w:hAnsi="宋体"/>
          <w:color w:val="auto"/>
          <w:sz w:val="52"/>
          <w:szCs w:val="52"/>
          <w:highlight w:val="none"/>
        </w:rPr>
      </w:pPr>
      <w:r>
        <w:rPr>
          <w:rFonts w:hint="eastAsia" w:ascii="宋体" w:hAnsi="宋体"/>
          <w:color w:val="auto"/>
          <w:sz w:val="52"/>
          <w:szCs w:val="52"/>
          <w:highlight w:val="none"/>
        </w:rPr>
        <w:t>公开招标文件（服务类）</w:t>
      </w:r>
    </w:p>
    <w:p w14:paraId="2B015BA7">
      <w:pPr>
        <w:bidi w:val="0"/>
        <w:rPr>
          <w:color w:val="auto"/>
          <w:highlight w:val="none"/>
        </w:rPr>
      </w:pPr>
    </w:p>
    <w:p w14:paraId="02C1CBAA">
      <w:pPr>
        <w:snapToGrid w:val="0"/>
        <w:spacing w:before="165" w:beforeLines="50" w:line="360" w:lineRule="auto"/>
        <w:jc w:val="center"/>
        <w:rPr>
          <w:rFonts w:ascii="华文新魏" w:hAnsi="宋体" w:eastAsia="华文新魏"/>
          <w:color w:val="auto"/>
          <w:sz w:val="72"/>
          <w:szCs w:val="72"/>
          <w:highlight w:val="none"/>
        </w:rPr>
      </w:pPr>
      <w:r>
        <w:rPr>
          <w:rFonts w:hint="eastAsia" w:ascii="华文新魏" w:hAnsi="宋体" w:eastAsia="华文新魏"/>
          <w:color w:val="auto"/>
          <w:sz w:val="72"/>
          <w:szCs w:val="72"/>
          <w:highlight w:val="none"/>
        </w:rPr>
        <w:t>招 标 文 件</w:t>
      </w:r>
    </w:p>
    <w:p w14:paraId="4AE7C765">
      <w:pPr>
        <w:snapToGrid w:val="0"/>
        <w:spacing w:before="165" w:beforeLines="50" w:line="360" w:lineRule="auto"/>
        <w:jc w:val="center"/>
        <w:rPr>
          <w:rFonts w:ascii="方正仿宋_GB2312" w:hAnsi="宋体" w:eastAsia="方正仿宋_GB2312"/>
          <w:color w:val="auto"/>
          <w:sz w:val="30"/>
          <w:szCs w:val="72"/>
          <w:highlight w:val="none"/>
        </w:rPr>
      </w:pPr>
      <w:r>
        <w:rPr>
          <w:rFonts w:hint="eastAsia" w:ascii="方正仿宋_GB2312" w:hAnsi="宋体" w:eastAsia="方正仿宋_GB2312"/>
          <w:color w:val="auto"/>
          <w:sz w:val="30"/>
          <w:szCs w:val="72"/>
          <w:highlight w:val="none"/>
        </w:rPr>
        <w:t>（全流程电子化评标）</w:t>
      </w:r>
    </w:p>
    <w:p w14:paraId="0CF57AFF">
      <w:pPr>
        <w:snapToGrid w:val="0"/>
        <w:spacing w:before="165" w:beforeLines="50" w:line="360" w:lineRule="auto"/>
        <w:rPr>
          <w:rFonts w:ascii="方正仿宋_GB2312" w:hAnsi="宋体" w:eastAsia="方正仿宋_GB2312"/>
          <w:color w:val="auto"/>
          <w:sz w:val="30"/>
          <w:szCs w:val="72"/>
          <w:highlight w:val="none"/>
        </w:rPr>
      </w:pPr>
    </w:p>
    <w:p w14:paraId="67CB9CC6">
      <w:pPr>
        <w:pStyle w:val="7"/>
        <w:keepNext w:val="0"/>
        <w:keepLines w:val="0"/>
        <w:pageBreakBefore w:val="0"/>
        <w:widowControl w:val="0"/>
        <w:kinsoku/>
        <w:wordWrap/>
        <w:overflowPunct/>
        <w:topLinePunct w:val="0"/>
        <w:autoSpaceDE/>
        <w:autoSpaceDN/>
        <w:bidi w:val="0"/>
        <w:adjustRightInd/>
        <w:snapToGrid w:val="0"/>
        <w:spacing w:before="50" w:after="120" w:line="240" w:lineRule="auto"/>
        <w:ind w:left="2699" w:leftChars="568" w:hanging="1506" w:hangingChars="500"/>
        <w:textAlignment w:val="auto"/>
        <w:rPr>
          <w:rFonts w:hint="eastAsia" w:ascii="方正仿宋_GB2312" w:hAnsi="宋体" w:eastAsia="方正仿宋_GB2312"/>
          <w:b/>
          <w:bCs/>
          <w:color w:val="auto"/>
          <w:sz w:val="30"/>
          <w:szCs w:val="30"/>
          <w:highlight w:val="none"/>
        </w:rPr>
      </w:pPr>
      <w:r>
        <w:rPr>
          <w:rFonts w:hint="eastAsia" w:ascii="方正仿宋_GB2312" w:hAnsi="宋体" w:eastAsia="方正仿宋_GB2312"/>
          <w:b/>
          <w:bCs/>
          <w:color w:val="auto"/>
          <w:sz w:val="30"/>
          <w:szCs w:val="30"/>
          <w:highlight w:val="none"/>
        </w:rPr>
        <w:t>项目</w:t>
      </w:r>
      <w:r>
        <w:rPr>
          <w:rFonts w:hint="eastAsia" w:ascii="方正仿宋_GB2312" w:hAnsi="宋体" w:eastAsia="方正仿宋_GB2312" w:cs="Courier New"/>
          <w:b/>
          <w:bCs/>
          <w:color w:val="auto"/>
          <w:w w:val="95"/>
          <w:sz w:val="30"/>
          <w:szCs w:val="30"/>
          <w:highlight w:val="none"/>
        </w:rPr>
        <w:t>名称</w:t>
      </w:r>
      <w:r>
        <w:rPr>
          <w:rFonts w:hint="eastAsia" w:ascii="方正仿宋_GB2312" w:hAnsi="宋体" w:eastAsia="方正仿宋_GB2312"/>
          <w:b/>
          <w:bCs/>
          <w:color w:val="auto"/>
          <w:sz w:val="30"/>
          <w:szCs w:val="30"/>
          <w:highlight w:val="none"/>
        </w:rPr>
        <w:t>：南宁市卫生学校口腔专业AI国际化智慧课程</w:t>
      </w:r>
    </w:p>
    <w:p w14:paraId="4AFFE22A">
      <w:pPr>
        <w:pStyle w:val="7"/>
        <w:keepNext w:val="0"/>
        <w:keepLines w:val="0"/>
        <w:pageBreakBefore w:val="0"/>
        <w:widowControl w:val="0"/>
        <w:kinsoku/>
        <w:wordWrap/>
        <w:overflowPunct/>
        <w:topLinePunct w:val="0"/>
        <w:autoSpaceDE/>
        <w:autoSpaceDN/>
        <w:bidi w:val="0"/>
        <w:adjustRightInd/>
        <w:snapToGrid w:val="0"/>
        <w:spacing w:before="50" w:after="120" w:line="240" w:lineRule="auto"/>
        <w:ind w:left="2684" w:leftChars="1278" w:firstLine="0" w:firstLineChars="0"/>
        <w:textAlignment w:val="auto"/>
        <w:rPr>
          <w:rFonts w:ascii="方正仿宋_GB2312" w:hAnsi="宋体" w:eastAsia="方正仿宋_GB2312"/>
          <w:b/>
          <w:bCs/>
          <w:color w:val="auto"/>
          <w:sz w:val="30"/>
          <w:szCs w:val="30"/>
          <w:highlight w:val="none"/>
        </w:rPr>
      </w:pPr>
      <w:r>
        <w:rPr>
          <w:rFonts w:hint="eastAsia" w:ascii="方正仿宋_GB2312" w:hAnsi="宋体" w:eastAsia="方正仿宋_GB2312"/>
          <w:b/>
          <w:bCs/>
          <w:color w:val="auto"/>
          <w:sz w:val="30"/>
          <w:szCs w:val="30"/>
          <w:highlight w:val="none"/>
        </w:rPr>
        <w:t>及资源库建设</w:t>
      </w:r>
    </w:p>
    <w:p w14:paraId="465AB5B3">
      <w:pPr>
        <w:pStyle w:val="7"/>
        <w:keepNext w:val="0"/>
        <w:keepLines w:val="0"/>
        <w:pageBreakBefore w:val="0"/>
        <w:widowControl w:val="0"/>
        <w:kinsoku/>
        <w:wordWrap/>
        <w:overflowPunct/>
        <w:topLinePunct w:val="0"/>
        <w:autoSpaceDE/>
        <w:autoSpaceDN/>
        <w:bidi w:val="0"/>
        <w:adjustRightInd/>
        <w:snapToGrid w:val="0"/>
        <w:spacing w:before="50" w:after="120" w:line="360" w:lineRule="auto"/>
        <w:ind w:firstLine="1145" w:firstLineChars="400"/>
        <w:textAlignment w:val="auto"/>
        <w:rPr>
          <w:rFonts w:hint="eastAsia" w:ascii="方正仿宋_GB2312" w:hAnsi="宋体" w:eastAsia="方正仿宋_GB2312"/>
          <w:b/>
          <w:color w:val="auto"/>
          <w:sz w:val="30"/>
          <w:szCs w:val="48"/>
          <w:highlight w:val="none"/>
          <w:lang w:eastAsia="zh-CN"/>
        </w:rPr>
      </w:pPr>
      <w:r>
        <w:rPr>
          <w:rFonts w:hint="eastAsia" w:ascii="方正仿宋_GB2312" w:hAnsi="宋体" w:eastAsia="方正仿宋_GB2312" w:cs="Courier New"/>
          <w:b/>
          <w:bCs/>
          <w:color w:val="auto"/>
          <w:w w:val="95"/>
          <w:sz w:val="30"/>
          <w:szCs w:val="30"/>
          <w:highlight w:val="none"/>
        </w:rPr>
        <w:t>项目</w:t>
      </w:r>
      <w:r>
        <w:rPr>
          <w:rFonts w:hint="eastAsia" w:ascii="方正仿宋_GB2312" w:hAnsi="宋体" w:eastAsia="方正仿宋_GB2312"/>
          <w:b/>
          <w:bCs/>
          <w:color w:val="auto"/>
          <w:sz w:val="30"/>
          <w:szCs w:val="30"/>
          <w:highlight w:val="none"/>
        </w:rPr>
        <w:t>编号</w:t>
      </w:r>
      <w:r>
        <w:rPr>
          <w:rFonts w:hint="eastAsia" w:ascii="方正仿宋_GB2312" w:hAnsi="宋体" w:eastAsia="方正仿宋_GB2312" w:cs="Courier New"/>
          <w:b/>
          <w:bCs/>
          <w:color w:val="auto"/>
          <w:w w:val="95"/>
          <w:sz w:val="30"/>
          <w:szCs w:val="30"/>
          <w:highlight w:val="none"/>
        </w:rPr>
        <w:t>：</w:t>
      </w:r>
      <w:r>
        <w:rPr>
          <w:rFonts w:hint="eastAsia" w:ascii="方正仿宋_GB2312" w:hAnsi="宋体" w:eastAsia="方正仿宋_GB2312" w:cs="Courier New"/>
          <w:b/>
          <w:bCs/>
          <w:color w:val="auto"/>
          <w:w w:val="95"/>
          <w:sz w:val="30"/>
          <w:szCs w:val="30"/>
          <w:highlight w:val="none"/>
          <w:lang w:eastAsia="zh-CN"/>
        </w:rPr>
        <w:t>NNZC2026-G3-990247-YZLZ</w:t>
      </w:r>
    </w:p>
    <w:p w14:paraId="2D06BC6B">
      <w:pPr>
        <w:keepNext w:val="0"/>
        <w:keepLines w:val="0"/>
        <w:pageBreakBefore w:val="0"/>
        <w:widowControl w:val="0"/>
        <w:kinsoku/>
        <w:wordWrap/>
        <w:overflowPunct/>
        <w:topLinePunct w:val="0"/>
        <w:autoSpaceDE/>
        <w:autoSpaceDN/>
        <w:bidi w:val="0"/>
        <w:adjustRightInd/>
        <w:snapToGrid w:val="0"/>
        <w:spacing w:before="165" w:beforeLines="50" w:line="360" w:lineRule="auto"/>
        <w:ind w:firstLine="1205" w:firstLineChars="400"/>
        <w:textAlignment w:val="auto"/>
        <w:rPr>
          <w:rFonts w:ascii="方正仿宋_GB2312" w:hAnsi="宋体" w:eastAsia="方正仿宋_GB2312"/>
          <w:b/>
          <w:color w:val="auto"/>
          <w:sz w:val="30"/>
          <w:szCs w:val="48"/>
          <w:highlight w:val="none"/>
        </w:rPr>
      </w:pPr>
      <w:r>
        <w:rPr>
          <w:rFonts w:hint="eastAsia" w:ascii="方正仿宋_GB2312" w:hAnsi="宋体" w:eastAsia="方正仿宋_GB2312"/>
          <w:b/>
          <w:color w:val="auto"/>
          <w:sz w:val="30"/>
          <w:szCs w:val="48"/>
          <w:highlight w:val="none"/>
        </w:rPr>
        <w:t>项目所属区划：南宁市本级</w:t>
      </w:r>
    </w:p>
    <w:p w14:paraId="4E456E77">
      <w:pPr>
        <w:pStyle w:val="7"/>
        <w:keepNext w:val="0"/>
        <w:keepLines w:val="0"/>
        <w:pageBreakBefore w:val="0"/>
        <w:widowControl w:val="0"/>
        <w:kinsoku/>
        <w:wordWrap/>
        <w:overflowPunct/>
        <w:topLinePunct w:val="0"/>
        <w:autoSpaceDE/>
        <w:autoSpaceDN/>
        <w:bidi w:val="0"/>
        <w:adjustRightInd/>
        <w:snapToGrid w:val="0"/>
        <w:spacing w:before="50" w:after="120" w:line="360" w:lineRule="auto"/>
        <w:ind w:firstLine="1145" w:firstLineChars="400"/>
        <w:textAlignment w:val="auto"/>
        <w:rPr>
          <w:rFonts w:ascii="方正仿宋_GB2312" w:hAnsi="宋体" w:eastAsia="方正仿宋_GB2312"/>
          <w:b/>
          <w:bCs/>
          <w:color w:val="auto"/>
          <w:w w:val="95"/>
          <w:sz w:val="30"/>
          <w:szCs w:val="30"/>
          <w:highlight w:val="none"/>
        </w:rPr>
      </w:pPr>
      <w:r>
        <w:rPr>
          <w:rFonts w:hint="eastAsia" w:ascii="方正仿宋_GB2312" w:hAnsi="宋体" w:eastAsia="方正仿宋_GB2312"/>
          <w:b/>
          <w:bCs/>
          <w:color w:val="auto"/>
          <w:w w:val="95"/>
          <w:sz w:val="30"/>
          <w:szCs w:val="30"/>
          <w:highlight w:val="none"/>
        </w:rPr>
        <w:t>采 购 人：</w:t>
      </w:r>
      <w:r>
        <w:rPr>
          <w:rFonts w:hint="eastAsia" w:ascii="方正仿宋_GB2312" w:hAnsi="宋体" w:eastAsia="方正仿宋_GB2312"/>
          <w:b/>
          <w:bCs/>
          <w:color w:val="auto"/>
          <w:sz w:val="30"/>
          <w:szCs w:val="30"/>
          <w:highlight w:val="none"/>
        </w:rPr>
        <w:t>南宁市卫生学校</w:t>
      </w:r>
    </w:p>
    <w:p w14:paraId="2D59D774">
      <w:pPr>
        <w:pStyle w:val="7"/>
        <w:keepNext w:val="0"/>
        <w:keepLines w:val="0"/>
        <w:pageBreakBefore w:val="0"/>
        <w:widowControl w:val="0"/>
        <w:kinsoku/>
        <w:wordWrap/>
        <w:overflowPunct/>
        <w:topLinePunct w:val="0"/>
        <w:autoSpaceDE/>
        <w:autoSpaceDN/>
        <w:bidi w:val="0"/>
        <w:adjustRightInd/>
        <w:snapToGrid w:val="0"/>
        <w:spacing w:before="50" w:after="120" w:line="360" w:lineRule="auto"/>
        <w:ind w:firstLine="1145" w:firstLineChars="400"/>
        <w:textAlignment w:val="auto"/>
        <w:rPr>
          <w:rFonts w:ascii="方正仿宋_GB2312" w:hAnsi="宋体" w:eastAsia="方正仿宋_GB2312"/>
          <w:b/>
          <w:bCs/>
          <w:color w:val="auto"/>
          <w:w w:val="95"/>
          <w:sz w:val="30"/>
          <w:szCs w:val="30"/>
          <w:highlight w:val="none"/>
        </w:rPr>
      </w:pPr>
      <w:r>
        <w:rPr>
          <w:rFonts w:hint="eastAsia" w:ascii="方正仿宋_GB2312" w:hAnsi="宋体" w:eastAsia="方正仿宋_GB2312"/>
          <w:b/>
          <w:bCs/>
          <w:color w:val="auto"/>
          <w:w w:val="95"/>
          <w:sz w:val="30"/>
          <w:szCs w:val="30"/>
          <w:highlight w:val="none"/>
        </w:rPr>
        <w:t>采购代理机构：云之龙咨询集团有限公司</w:t>
      </w:r>
    </w:p>
    <w:p w14:paraId="71D08FDF">
      <w:pPr>
        <w:pStyle w:val="7"/>
        <w:keepNext w:val="0"/>
        <w:keepLines w:val="0"/>
        <w:pageBreakBefore w:val="0"/>
        <w:widowControl w:val="0"/>
        <w:kinsoku/>
        <w:wordWrap/>
        <w:overflowPunct/>
        <w:topLinePunct w:val="0"/>
        <w:autoSpaceDE/>
        <w:autoSpaceDN/>
        <w:bidi w:val="0"/>
        <w:adjustRightInd/>
        <w:snapToGrid w:val="0"/>
        <w:spacing w:before="50" w:after="120" w:line="360" w:lineRule="auto"/>
        <w:ind w:firstLine="1145" w:firstLineChars="400"/>
        <w:textAlignment w:val="auto"/>
        <w:rPr>
          <w:rFonts w:ascii="方正仿宋_GB2312" w:hAnsi="宋体" w:eastAsia="方正仿宋_GB2312"/>
          <w:b/>
          <w:bCs/>
          <w:color w:val="auto"/>
          <w:w w:val="95"/>
          <w:sz w:val="30"/>
          <w:szCs w:val="30"/>
          <w:highlight w:val="none"/>
        </w:rPr>
      </w:pPr>
      <w:r>
        <w:rPr>
          <w:rFonts w:hint="eastAsia" w:ascii="方正仿宋_GB2312" w:hAnsi="宋体" w:eastAsia="方正仿宋_GB2312"/>
          <w:b/>
          <w:bCs/>
          <w:color w:val="auto"/>
          <w:w w:val="95"/>
          <w:sz w:val="30"/>
          <w:szCs w:val="30"/>
          <w:highlight w:val="none"/>
        </w:rPr>
        <w:t>（采购代理机构编号：YZLNN2026-G3-157-NNZC</w:t>
      </w:r>
      <w:r>
        <w:rPr>
          <w:rFonts w:hint="eastAsia" w:ascii="方正仿宋_GB2312" w:hAnsi="宋体" w:eastAsia="方正仿宋_GB2312"/>
          <w:b/>
          <w:bCs/>
          <w:color w:val="auto"/>
          <w:w w:val="95"/>
          <w:sz w:val="30"/>
          <w:szCs w:val="30"/>
          <w:highlight w:val="none"/>
          <w:lang w:val="en-US" w:eastAsia="zh-CN"/>
        </w:rPr>
        <w:t xml:space="preserve"> </w:t>
      </w:r>
      <w:r>
        <w:rPr>
          <w:rFonts w:hint="eastAsia" w:ascii="方正仿宋_GB2312" w:hAnsi="宋体" w:eastAsia="方正仿宋_GB2312"/>
          <w:b/>
          <w:bCs/>
          <w:color w:val="auto"/>
          <w:w w:val="95"/>
          <w:sz w:val="30"/>
          <w:szCs w:val="30"/>
          <w:highlight w:val="none"/>
        </w:rPr>
        <w:t>）</w:t>
      </w:r>
    </w:p>
    <w:p w14:paraId="657404E0">
      <w:pPr>
        <w:pStyle w:val="7"/>
        <w:snapToGrid w:val="0"/>
        <w:spacing w:before="50" w:after="120" w:line="360" w:lineRule="auto"/>
        <w:ind w:firstLine="1125" w:firstLineChars="393"/>
        <w:rPr>
          <w:rFonts w:ascii="方正仿宋_GB2312" w:hAnsi="宋体" w:eastAsia="方正仿宋_GB2312"/>
          <w:b/>
          <w:bCs/>
          <w:color w:val="auto"/>
          <w:w w:val="95"/>
          <w:sz w:val="30"/>
          <w:szCs w:val="30"/>
          <w:highlight w:val="none"/>
        </w:rPr>
      </w:pPr>
    </w:p>
    <w:p w14:paraId="0D49E3F7">
      <w:pPr>
        <w:rPr>
          <w:rFonts w:ascii="方正仿宋_GB2312" w:hAnsi="宋体" w:eastAsia="方正仿宋_GB2312"/>
          <w:b/>
          <w:bCs/>
          <w:color w:val="auto"/>
          <w:w w:val="95"/>
          <w:sz w:val="30"/>
          <w:szCs w:val="30"/>
          <w:highlight w:val="none"/>
        </w:rPr>
      </w:pPr>
    </w:p>
    <w:p w14:paraId="3D36C4A0">
      <w:pPr>
        <w:rPr>
          <w:rFonts w:ascii="方正仿宋_GB2312" w:hAnsi="宋体" w:eastAsia="方正仿宋_GB2312"/>
          <w:b/>
          <w:bCs/>
          <w:color w:val="auto"/>
          <w:w w:val="95"/>
          <w:sz w:val="30"/>
          <w:szCs w:val="30"/>
          <w:highlight w:val="none"/>
        </w:rPr>
      </w:pPr>
    </w:p>
    <w:p w14:paraId="62F687B4">
      <w:pPr>
        <w:pStyle w:val="7"/>
        <w:snapToGrid w:val="0"/>
        <w:spacing w:before="50" w:after="120" w:line="360" w:lineRule="auto"/>
        <w:ind w:right="1148" w:firstLine="3414" w:firstLineChars="1193"/>
        <w:rPr>
          <w:rFonts w:ascii="方正仿宋_GB2312" w:hAnsi="宋体" w:eastAsia="方正仿宋_GB2312"/>
          <w:color w:val="auto"/>
          <w:sz w:val="30"/>
          <w:szCs w:val="30"/>
          <w:highlight w:val="none"/>
        </w:rPr>
      </w:pPr>
      <w:r>
        <w:rPr>
          <w:rFonts w:ascii="方正仿宋_GB2312" w:hAnsi="宋体" w:eastAsia="方正仿宋_GB2312"/>
          <w:b/>
          <w:bCs/>
          <w:color w:val="auto"/>
          <w:w w:val="95"/>
          <w:sz w:val="30"/>
          <w:szCs w:val="30"/>
          <w:highlight w:val="none"/>
        </w:rPr>
        <w:t>202</w:t>
      </w:r>
      <w:r>
        <w:rPr>
          <w:rFonts w:hint="eastAsia" w:ascii="方正仿宋_GB2312" w:hAnsi="宋体" w:eastAsia="方正仿宋_GB2312"/>
          <w:b/>
          <w:bCs/>
          <w:color w:val="auto"/>
          <w:w w:val="95"/>
          <w:sz w:val="30"/>
          <w:szCs w:val="30"/>
          <w:highlight w:val="none"/>
        </w:rPr>
        <w:t>6年</w:t>
      </w:r>
      <w:r>
        <w:rPr>
          <w:rFonts w:hint="eastAsia" w:ascii="方正仿宋_GB2312" w:hAnsi="宋体" w:eastAsia="方正仿宋_GB2312"/>
          <w:b/>
          <w:bCs/>
          <w:color w:val="auto"/>
          <w:w w:val="95"/>
          <w:sz w:val="30"/>
          <w:szCs w:val="30"/>
          <w:highlight w:val="none"/>
          <w:lang w:val="en-US" w:eastAsia="zh-CN"/>
        </w:rPr>
        <w:t>5</w:t>
      </w:r>
      <w:r>
        <w:rPr>
          <w:rFonts w:hint="eastAsia" w:ascii="方正仿宋_GB2312" w:hAnsi="宋体" w:eastAsia="方正仿宋_GB2312"/>
          <w:b/>
          <w:bCs/>
          <w:color w:val="auto"/>
          <w:w w:val="95"/>
          <w:sz w:val="30"/>
          <w:szCs w:val="30"/>
          <w:highlight w:val="none"/>
        </w:rPr>
        <w:t>月</w:t>
      </w:r>
      <w:r>
        <w:rPr>
          <w:rFonts w:hint="eastAsia" w:ascii="方正仿宋_GB2312" w:hAnsi="宋体" w:eastAsia="方正仿宋_GB2312"/>
          <w:b/>
          <w:bCs/>
          <w:color w:val="auto"/>
          <w:w w:val="95"/>
          <w:sz w:val="30"/>
          <w:szCs w:val="30"/>
          <w:highlight w:val="none"/>
          <w:lang w:val="en-US" w:eastAsia="zh-CN"/>
        </w:rPr>
        <w:t>18</w:t>
      </w:r>
      <w:r>
        <w:rPr>
          <w:rFonts w:hint="eastAsia" w:ascii="方正仿宋_GB2312" w:hAnsi="宋体" w:eastAsia="方正仿宋_GB2312"/>
          <w:b/>
          <w:bCs/>
          <w:color w:val="auto"/>
          <w:w w:val="95"/>
          <w:sz w:val="30"/>
          <w:szCs w:val="30"/>
          <w:highlight w:val="none"/>
        </w:rPr>
        <w:t>日</w:t>
      </w:r>
    </w:p>
    <w:p w14:paraId="3D384C21">
      <w:pPr>
        <w:rPr>
          <w:rFonts w:ascii="方正仿宋_GB2312" w:hAnsi="宋体" w:eastAsia="方正仿宋_GB2312"/>
          <w:color w:val="auto"/>
          <w:sz w:val="30"/>
          <w:szCs w:val="30"/>
          <w:highlight w:val="none"/>
        </w:rPr>
      </w:pPr>
    </w:p>
    <w:p w14:paraId="12FE96AC">
      <w:pPr>
        <w:pStyle w:val="7"/>
        <w:jc w:val="center"/>
        <w:rPr>
          <w:rFonts w:hint="eastAsia" w:ascii="Times New Roman" w:hAnsi="Times New Roman"/>
          <w:b/>
          <w:color w:val="auto"/>
          <w:sz w:val="48"/>
          <w:szCs w:val="48"/>
          <w:highlight w:val="none"/>
        </w:rPr>
        <w:sectPr>
          <w:headerReference r:id="rId3" w:type="default"/>
          <w:footerReference r:id="rId4" w:type="default"/>
          <w:pgSz w:w="11906" w:h="16838"/>
          <w:pgMar w:top="1134" w:right="1134" w:bottom="1134" w:left="1134" w:header="720" w:footer="720" w:gutter="0"/>
          <w:pgNumType w:fmt="decimal" w:start="1"/>
          <w:cols w:space="720" w:num="1"/>
          <w:docGrid w:type="lines" w:linePitch="331" w:charSpace="0"/>
        </w:sectPr>
      </w:pPr>
    </w:p>
    <w:p w14:paraId="52A63D5D">
      <w:pPr>
        <w:pStyle w:val="7"/>
        <w:jc w:val="center"/>
        <w:rPr>
          <w:rFonts w:ascii="Times New Roman" w:hAnsi="Times New Roman"/>
          <w:b/>
          <w:color w:val="auto"/>
          <w:sz w:val="48"/>
          <w:szCs w:val="48"/>
          <w:highlight w:val="none"/>
        </w:rPr>
      </w:pPr>
      <w:r>
        <w:rPr>
          <w:rFonts w:hint="eastAsia" w:ascii="Times New Roman" w:hAnsi="Times New Roman"/>
          <w:b/>
          <w:color w:val="auto"/>
          <w:sz w:val="48"/>
          <w:szCs w:val="48"/>
          <w:highlight w:val="none"/>
        </w:rPr>
        <w:t>目录</w:t>
      </w:r>
    </w:p>
    <w:p w14:paraId="6872332A">
      <w:pPr>
        <w:pStyle w:val="28"/>
        <w:keepNext w:val="0"/>
        <w:keepLines w:val="0"/>
        <w:pageBreakBefore w:val="0"/>
        <w:widowControl w:val="0"/>
        <w:tabs>
          <w:tab w:val="right" w:leader="dot" w:pos="9628"/>
        </w:tabs>
        <w:kinsoku/>
        <w:wordWrap/>
        <w:overflowPunct/>
        <w:topLinePunct w:val="0"/>
        <w:autoSpaceDE/>
        <w:autoSpaceDN/>
        <w:bidi w:val="0"/>
        <w:adjustRightInd/>
        <w:snapToGrid/>
        <w:spacing w:before="0" w:after="0" w:line="400" w:lineRule="exact"/>
        <w:textAlignment w:val="auto"/>
        <w:rPr>
          <w:rStyle w:val="44"/>
          <w:rFonts w:ascii="Times New Roman" w:hAnsi="Times New Roman"/>
          <w:color w:val="auto"/>
          <w:highlight w:val="none"/>
          <w:u w:val="none"/>
        </w:rPr>
      </w:pPr>
      <w:r>
        <w:rPr>
          <w:rStyle w:val="44"/>
          <w:rFonts w:ascii="Times New Roman" w:hAnsi="Times New Roman"/>
          <w:color w:val="auto"/>
          <w:highlight w:val="none"/>
          <w:u w:val="none"/>
        </w:rPr>
        <w:t>第一章</w:t>
      </w:r>
      <w:r>
        <w:rPr>
          <w:rStyle w:val="44"/>
          <w:rFonts w:hint="eastAsia" w:ascii="Times New Roman" w:hAnsi="Times New Roman"/>
          <w:color w:val="auto"/>
          <w:highlight w:val="none"/>
          <w:u w:val="none"/>
        </w:rPr>
        <w:t>招标公告</w:t>
      </w:r>
      <w:r>
        <w:rPr>
          <w:color w:val="auto"/>
          <w:highlight w:val="none"/>
          <w:u w:val="none"/>
        </w:rPr>
        <w:tab/>
      </w:r>
      <w:r>
        <w:rPr>
          <w:color w:val="auto"/>
          <w:highlight w:val="none"/>
          <w:u w:val="none"/>
        </w:rPr>
        <w:t>3</w:t>
      </w:r>
    </w:p>
    <w:p w14:paraId="25F73FD3">
      <w:pPr>
        <w:pStyle w:val="28"/>
        <w:keepNext w:val="0"/>
        <w:keepLines w:val="0"/>
        <w:pageBreakBefore w:val="0"/>
        <w:widowControl w:val="0"/>
        <w:tabs>
          <w:tab w:val="right" w:leader="dot" w:pos="9628"/>
        </w:tabs>
        <w:kinsoku/>
        <w:wordWrap/>
        <w:overflowPunct/>
        <w:topLinePunct w:val="0"/>
        <w:autoSpaceDE/>
        <w:autoSpaceDN/>
        <w:bidi w:val="0"/>
        <w:adjustRightInd/>
        <w:snapToGrid/>
        <w:spacing w:before="0" w:after="0" w:line="400" w:lineRule="exact"/>
        <w:textAlignment w:val="auto"/>
        <w:rPr>
          <w:rFonts w:asciiTheme="minorHAnsi" w:hAnsiTheme="minorHAnsi" w:eastAsiaTheme="minorEastAsia" w:cstheme="minorBidi"/>
          <w:b w:val="0"/>
          <w:bCs w:val="0"/>
          <w:caps w:val="0"/>
          <w:color w:val="auto"/>
          <w:sz w:val="21"/>
          <w:highlight w:val="none"/>
          <w:u w:val="none"/>
        </w:rPr>
      </w:pPr>
      <w:r>
        <w:rPr>
          <w:rFonts w:hAnsi="宋体"/>
          <w:b w:val="0"/>
          <w:bCs w:val="0"/>
          <w:caps w:val="0"/>
          <w:color w:val="auto"/>
          <w:sz w:val="28"/>
          <w:szCs w:val="28"/>
          <w:highlight w:val="none"/>
          <w:u w:val="none"/>
        </w:rPr>
        <w:fldChar w:fldCharType="begin"/>
      </w:r>
      <w:r>
        <w:rPr>
          <w:rFonts w:hAnsi="宋体"/>
          <w:b w:val="0"/>
          <w:bCs w:val="0"/>
          <w:caps w:val="0"/>
          <w:color w:val="auto"/>
          <w:sz w:val="28"/>
          <w:szCs w:val="28"/>
          <w:highlight w:val="none"/>
          <w:u w:val="none"/>
        </w:rPr>
        <w:instrText xml:space="preserve"> TOC \o "1-3" \h \z \u </w:instrText>
      </w:r>
      <w:r>
        <w:rPr>
          <w:rFonts w:hAnsi="宋体"/>
          <w:b w:val="0"/>
          <w:bCs w:val="0"/>
          <w:caps w:val="0"/>
          <w:color w:val="auto"/>
          <w:sz w:val="28"/>
          <w:szCs w:val="28"/>
          <w:highlight w:val="none"/>
          <w:u w:val="none"/>
        </w:rPr>
        <w:fldChar w:fldCharType="separate"/>
      </w:r>
      <w:r>
        <w:rPr>
          <w:color w:val="auto"/>
          <w:highlight w:val="none"/>
        </w:rPr>
        <w:fldChar w:fldCharType="begin"/>
      </w:r>
      <w:r>
        <w:rPr>
          <w:color w:val="auto"/>
          <w:highlight w:val="none"/>
        </w:rPr>
        <w:instrText xml:space="preserve"> HYPERLINK \l "_Toc187761550" </w:instrText>
      </w:r>
      <w:r>
        <w:rPr>
          <w:color w:val="auto"/>
          <w:highlight w:val="none"/>
        </w:rPr>
        <w:fldChar w:fldCharType="separate"/>
      </w:r>
      <w:r>
        <w:rPr>
          <w:rStyle w:val="44"/>
          <w:rFonts w:ascii="Times New Roman" w:hAnsi="Times New Roman"/>
          <w:color w:val="auto"/>
          <w:highlight w:val="none"/>
        </w:rPr>
        <w:t>第二章采购需求</w:t>
      </w:r>
      <w:r>
        <w:rPr>
          <w:color w:val="auto"/>
          <w:highlight w:val="none"/>
        </w:rPr>
        <w:tab/>
      </w:r>
      <w:r>
        <w:rPr>
          <w:color w:val="auto"/>
          <w:highlight w:val="none"/>
        </w:rPr>
        <w:fldChar w:fldCharType="begin"/>
      </w:r>
      <w:r>
        <w:rPr>
          <w:color w:val="auto"/>
          <w:highlight w:val="none"/>
        </w:rPr>
        <w:instrText xml:space="preserve"> PAGEREF _Toc187761550 \h </w:instrText>
      </w:r>
      <w:r>
        <w:rPr>
          <w:color w:val="auto"/>
          <w:highlight w:val="none"/>
        </w:rPr>
        <w:fldChar w:fldCharType="separate"/>
      </w:r>
      <w:r>
        <w:rPr>
          <w:color w:val="auto"/>
          <w:highlight w:val="none"/>
        </w:rPr>
        <w:t>7</w:t>
      </w:r>
      <w:r>
        <w:rPr>
          <w:color w:val="auto"/>
          <w:highlight w:val="none"/>
        </w:rPr>
        <w:fldChar w:fldCharType="end"/>
      </w:r>
      <w:r>
        <w:rPr>
          <w:color w:val="auto"/>
          <w:highlight w:val="none"/>
        </w:rPr>
        <w:fldChar w:fldCharType="end"/>
      </w:r>
    </w:p>
    <w:p w14:paraId="2505AD71">
      <w:pPr>
        <w:pStyle w:val="28"/>
        <w:keepNext w:val="0"/>
        <w:keepLines w:val="0"/>
        <w:pageBreakBefore w:val="0"/>
        <w:widowControl w:val="0"/>
        <w:tabs>
          <w:tab w:val="right" w:leader="dot" w:pos="9628"/>
        </w:tabs>
        <w:kinsoku/>
        <w:wordWrap/>
        <w:overflowPunct/>
        <w:topLinePunct w:val="0"/>
        <w:autoSpaceDE/>
        <w:autoSpaceDN/>
        <w:bidi w:val="0"/>
        <w:adjustRightInd/>
        <w:snapToGrid/>
        <w:spacing w:before="0" w:after="0" w:line="400" w:lineRule="exact"/>
        <w:textAlignment w:val="auto"/>
        <w:rPr>
          <w:rFonts w:asciiTheme="minorHAnsi" w:hAnsiTheme="minorHAnsi" w:eastAsiaTheme="minorEastAsia" w:cstheme="minorBidi"/>
          <w:b w:val="0"/>
          <w:bCs w:val="0"/>
          <w:caps w:val="0"/>
          <w:color w:val="auto"/>
          <w:sz w:val="21"/>
          <w:highlight w:val="none"/>
          <w:u w:val="none"/>
        </w:rPr>
      </w:pPr>
      <w:r>
        <w:rPr>
          <w:color w:val="auto"/>
          <w:highlight w:val="none"/>
        </w:rPr>
        <w:fldChar w:fldCharType="begin"/>
      </w:r>
      <w:r>
        <w:rPr>
          <w:color w:val="auto"/>
          <w:highlight w:val="none"/>
        </w:rPr>
        <w:instrText xml:space="preserve"> HYPERLINK \l "_Toc187761551" </w:instrText>
      </w:r>
      <w:r>
        <w:rPr>
          <w:color w:val="auto"/>
          <w:highlight w:val="none"/>
        </w:rPr>
        <w:fldChar w:fldCharType="separate"/>
      </w:r>
      <w:r>
        <w:rPr>
          <w:rStyle w:val="44"/>
          <w:rFonts w:ascii="Times New Roman" w:hAnsi="Times New Roman"/>
          <w:color w:val="auto"/>
          <w:highlight w:val="none"/>
        </w:rPr>
        <w:t>第三章投标人须知</w:t>
      </w:r>
      <w:r>
        <w:rPr>
          <w:color w:val="auto"/>
          <w:highlight w:val="none"/>
        </w:rPr>
        <w:tab/>
      </w:r>
      <w:r>
        <w:rPr>
          <w:color w:val="auto"/>
          <w:highlight w:val="none"/>
        </w:rPr>
        <w:fldChar w:fldCharType="begin"/>
      </w:r>
      <w:r>
        <w:rPr>
          <w:color w:val="auto"/>
          <w:highlight w:val="none"/>
        </w:rPr>
        <w:instrText xml:space="preserve"> PAGEREF _Toc187761551 \h </w:instrText>
      </w:r>
      <w:r>
        <w:rPr>
          <w:color w:val="auto"/>
          <w:highlight w:val="none"/>
        </w:rPr>
        <w:fldChar w:fldCharType="separate"/>
      </w:r>
      <w:r>
        <w:rPr>
          <w:color w:val="auto"/>
          <w:highlight w:val="none"/>
        </w:rPr>
        <w:t>45</w:t>
      </w:r>
      <w:r>
        <w:rPr>
          <w:color w:val="auto"/>
          <w:highlight w:val="none"/>
        </w:rPr>
        <w:fldChar w:fldCharType="end"/>
      </w:r>
      <w:r>
        <w:rPr>
          <w:color w:val="auto"/>
          <w:highlight w:val="none"/>
        </w:rPr>
        <w:fldChar w:fldCharType="end"/>
      </w:r>
    </w:p>
    <w:p w14:paraId="09E21AC4">
      <w:pPr>
        <w:pStyle w:val="32"/>
        <w:keepNext w:val="0"/>
        <w:keepLines w:val="0"/>
        <w:pageBreakBefore w:val="0"/>
        <w:widowControl w:val="0"/>
        <w:tabs>
          <w:tab w:val="right" w:leader="dot" w:pos="9628"/>
        </w:tabs>
        <w:kinsoku/>
        <w:wordWrap/>
        <w:overflowPunct/>
        <w:topLinePunct w:val="0"/>
        <w:autoSpaceDE/>
        <w:autoSpaceDN/>
        <w:bidi w:val="0"/>
        <w:adjustRightInd/>
        <w:snapToGrid/>
        <w:spacing w:line="400" w:lineRule="exact"/>
        <w:textAlignment w:val="auto"/>
        <w:rPr>
          <w:rFonts w:asciiTheme="minorHAnsi" w:hAnsiTheme="minorHAnsi" w:eastAsiaTheme="minorEastAsia" w:cstheme="minorBidi"/>
          <w:b w:val="0"/>
          <w:bCs w:val="0"/>
          <w:smallCaps w:val="0"/>
          <w:color w:val="auto"/>
          <w:sz w:val="21"/>
          <w:highlight w:val="none"/>
        </w:rPr>
      </w:pPr>
      <w:r>
        <w:rPr>
          <w:color w:val="auto"/>
          <w:highlight w:val="none"/>
        </w:rPr>
        <w:fldChar w:fldCharType="begin"/>
      </w:r>
      <w:r>
        <w:rPr>
          <w:color w:val="auto"/>
          <w:highlight w:val="none"/>
        </w:rPr>
        <w:instrText xml:space="preserve"> HYPERLINK \l "_Toc187761552" </w:instrText>
      </w:r>
      <w:r>
        <w:rPr>
          <w:color w:val="auto"/>
          <w:highlight w:val="none"/>
        </w:rPr>
        <w:fldChar w:fldCharType="separate"/>
      </w:r>
      <w:r>
        <w:rPr>
          <w:rStyle w:val="44"/>
          <w:rFonts w:ascii="Times New Roman" w:hAnsi="Times New Roman"/>
          <w:color w:val="auto"/>
          <w:highlight w:val="none"/>
        </w:rPr>
        <w:t>第一节投标人须知前附表</w:t>
      </w:r>
      <w:r>
        <w:rPr>
          <w:color w:val="auto"/>
          <w:highlight w:val="none"/>
        </w:rPr>
        <w:tab/>
      </w:r>
      <w:r>
        <w:rPr>
          <w:color w:val="auto"/>
          <w:highlight w:val="none"/>
        </w:rPr>
        <w:fldChar w:fldCharType="begin"/>
      </w:r>
      <w:r>
        <w:rPr>
          <w:color w:val="auto"/>
          <w:highlight w:val="none"/>
        </w:rPr>
        <w:instrText xml:space="preserve"> PAGEREF _Toc187761552 \h </w:instrText>
      </w:r>
      <w:r>
        <w:rPr>
          <w:color w:val="auto"/>
          <w:highlight w:val="none"/>
        </w:rPr>
        <w:fldChar w:fldCharType="separate"/>
      </w:r>
      <w:r>
        <w:rPr>
          <w:color w:val="auto"/>
          <w:highlight w:val="none"/>
        </w:rPr>
        <w:t>45</w:t>
      </w:r>
      <w:r>
        <w:rPr>
          <w:color w:val="auto"/>
          <w:highlight w:val="none"/>
        </w:rPr>
        <w:fldChar w:fldCharType="end"/>
      </w:r>
      <w:r>
        <w:rPr>
          <w:color w:val="auto"/>
          <w:highlight w:val="none"/>
        </w:rPr>
        <w:fldChar w:fldCharType="end"/>
      </w:r>
    </w:p>
    <w:p w14:paraId="42C82107">
      <w:pPr>
        <w:pStyle w:val="32"/>
        <w:keepNext w:val="0"/>
        <w:keepLines w:val="0"/>
        <w:pageBreakBefore w:val="0"/>
        <w:widowControl w:val="0"/>
        <w:tabs>
          <w:tab w:val="right" w:leader="dot" w:pos="9628"/>
        </w:tabs>
        <w:kinsoku/>
        <w:wordWrap/>
        <w:overflowPunct/>
        <w:topLinePunct w:val="0"/>
        <w:autoSpaceDE/>
        <w:autoSpaceDN/>
        <w:bidi w:val="0"/>
        <w:adjustRightInd/>
        <w:snapToGrid/>
        <w:spacing w:line="400" w:lineRule="exact"/>
        <w:textAlignment w:val="auto"/>
        <w:rPr>
          <w:rFonts w:asciiTheme="minorHAnsi" w:hAnsiTheme="minorHAnsi" w:eastAsiaTheme="minorEastAsia" w:cstheme="minorBidi"/>
          <w:b w:val="0"/>
          <w:bCs w:val="0"/>
          <w:smallCaps w:val="0"/>
          <w:color w:val="auto"/>
          <w:sz w:val="21"/>
          <w:highlight w:val="none"/>
        </w:rPr>
      </w:pPr>
      <w:r>
        <w:rPr>
          <w:color w:val="auto"/>
          <w:highlight w:val="none"/>
        </w:rPr>
        <w:fldChar w:fldCharType="begin"/>
      </w:r>
      <w:r>
        <w:rPr>
          <w:color w:val="auto"/>
          <w:highlight w:val="none"/>
        </w:rPr>
        <w:instrText xml:space="preserve"> HYPERLINK \l "_Toc187761553" </w:instrText>
      </w:r>
      <w:r>
        <w:rPr>
          <w:color w:val="auto"/>
          <w:highlight w:val="none"/>
        </w:rPr>
        <w:fldChar w:fldCharType="separate"/>
      </w:r>
      <w:r>
        <w:rPr>
          <w:rStyle w:val="44"/>
          <w:color w:val="auto"/>
          <w:highlight w:val="none"/>
        </w:rPr>
        <w:t>第二节投标人须知正文</w:t>
      </w:r>
      <w:r>
        <w:rPr>
          <w:color w:val="auto"/>
          <w:highlight w:val="none"/>
        </w:rPr>
        <w:tab/>
      </w:r>
      <w:r>
        <w:rPr>
          <w:color w:val="auto"/>
          <w:highlight w:val="none"/>
        </w:rPr>
        <w:fldChar w:fldCharType="begin"/>
      </w:r>
      <w:r>
        <w:rPr>
          <w:color w:val="auto"/>
          <w:highlight w:val="none"/>
        </w:rPr>
        <w:instrText xml:space="preserve"> PAGEREF _Toc187761553 \h </w:instrText>
      </w:r>
      <w:r>
        <w:rPr>
          <w:color w:val="auto"/>
          <w:highlight w:val="none"/>
        </w:rPr>
        <w:fldChar w:fldCharType="separate"/>
      </w:r>
      <w:r>
        <w:rPr>
          <w:color w:val="auto"/>
          <w:highlight w:val="none"/>
        </w:rPr>
        <w:t>53</w:t>
      </w:r>
      <w:r>
        <w:rPr>
          <w:color w:val="auto"/>
          <w:highlight w:val="none"/>
        </w:rPr>
        <w:fldChar w:fldCharType="end"/>
      </w:r>
      <w:r>
        <w:rPr>
          <w:color w:val="auto"/>
          <w:highlight w:val="none"/>
        </w:rPr>
        <w:fldChar w:fldCharType="end"/>
      </w:r>
    </w:p>
    <w:p w14:paraId="0D3C7A5E">
      <w:pPr>
        <w:pStyle w:val="21"/>
        <w:keepNext w:val="0"/>
        <w:keepLines w:val="0"/>
        <w:pageBreakBefore w:val="0"/>
        <w:widowControl w:val="0"/>
        <w:tabs>
          <w:tab w:val="right" w:leader="dot" w:pos="9628"/>
        </w:tabs>
        <w:kinsoku/>
        <w:wordWrap/>
        <w:overflowPunct/>
        <w:topLinePunct w:val="0"/>
        <w:autoSpaceDE/>
        <w:autoSpaceDN/>
        <w:bidi w:val="0"/>
        <w:adjustRightInd/>
        <w:snapToGrid/>
        <w:spacing w:line="400" w:lineRule="exact"/>
        <w:textAlignment w:val="auto"/>
        <w:rPr>
          <w:rFonts w:asciiTheme="minorHAnsi" w:hAnsiTheme="minorHAnsi" w:eastAsiaTheme="minorEastAsia" w:cstheme="minorBidi"/>
          <w:smallCaps w:val="0"/>
          <w:color w:val="auto"/>
          <w:sz w:val="21"/>
          <w:highlight w:val="none"/>
        </w:rPr>
      </w:pPr>
      <w:r>
        <w:rPr>
          <w:color w:val="auto"/>
          <w:highlight w:val="none"/>
        </w:rPr>
        <w:fldChar w:fldCharType="begin"/>
      </w:r>
      <w:r>
        <w:rPr>
          <w:color w:val="auto"/>
          <w:highlight w:val="none"/>
        </w:rPr>
        <w:instrText xml:space="preserve"> HYPERLINK \l "_Toc187761554" </w:instrText>
      </w:r>
      <w:r>
        <w:rPr>
          <w:color w:val="auto"/>
          <w:highlight w:val="none"/>
        </w:rPr>
        <w:fldChar w:fldCharType="separate"/>
      </w:r>
      <w:r>
        <w:rPr>
          <w:rStyle w:val="44"/>
          <w:color w:val="auto"/>
          <w:highlight w:val="none"/>
        </w:rPr>
        <w:t>一、总则</w:t>
      </w:r>
      <w:r>
        <w:rPr>
          <w:color w:val="auto"/>
          <w:highlight w:val="none"/>
        </w:rPr>
        <w:tab/>
      </w:r>
      <w:r>
        <w:rPr>
          <w:color w:val="auto"/>
          <w:highlight w:val="none"/>
        </w:rPr>
        <w:fldChar w:fldCharType="begin"/>
      </w:r>
      <w:r>
        <w:rPr>
          <w:color w:val="auto"/>
          <w:highlight w:val="none"/>
        </w:rPr>
        <w:instrText xml:space="preserve"> PAGEREF _Toc187761554 \h </w:instrText>
      </w:r>
      <w:r>
        <w:rPr>
          <w:color w:val="auto"/>
          <w:highlight w:val="none"/>
        </w:rPr>
        <w:fldChar w:fldCharType="separate"/>
      </w:r>
      <w:r>
        <w:rPr>
          <w:color w:val="auto"/>
          <w:highlight w:val="none"/>
        </w:rPr>
        <w:t>53</w:t>
      </w:r>
      <w:r>
        <w:rPr>
          <w:color w:val="auto"/>
          <w:highlight w:val="none"/>
        </w:rPr>
        <w:fldChar w:fldCharType="end"/>
      </w:r>
      <w:r>
        <w:rPr>
          <w:color w:val="auto"/>
          <w:highlight w:val="none"/>
        </w:rPr>
        <w:fldChar w:fldCharType="end"/>
      </w:r>
    </w:p>
    <w:p w14:paraId="1DDD4564">
      <w:pPr>
        <w:pStyle w:val="21"/>
        <w:keepNext w:val="0"/>
        <w:keepLines w:val="0"/>
        <w:pageBreakBefore w:val="0"/>
        <w:widowControl w:val="0"/>
        <w:tabs>
          <w:tab w:val="right" w:leader="dot" w:pos="9628"/>
        </w:tabs>
        <w:kinsoku/>
        <w:wordWrap/>
        <w:overflowPunct/>
        <w:topLinePunct w:val="0"/>
        <w:autoSpaceDE/>
        <w:autoSpaceDN/>
        <w:bidi w:val="0"/>
        <w:adjustRightInd/>
        <w:snapToGrid/>
        <w:spacing w:line="400" w:lineRule="exact"/>
        <w:textAlignment w:val="auto"/>
        <w:rPr>
          <w:rFonts w:asciiTheme="minorHAnsi" w:hAnsiTheme="minorHAnsi" w:eastAsiaTheme="minorEastAsia" w:cstheme="minorBidi"/>
          <w:smallCaps w:val="0"/>
          <w:color w:val="auto"/>
          <w:sz w:val="21"/>
          <w:highlight w:val="none"/>
        </w:rPr>
      </w:pPr>
      <w:r>
        <w:rPr>
          <w:color w:val="auto"/>
          <w:highlight w:val="none"/>
        </w:rPr>
        <w:fldChar w:fldCharType="begin"/>
      </w:r>
      <w:r>
        <w:rPr>
          <w:color w:val="auto"/>
          <w:highlight w:val="none"/>
        </w:rPr>
        <w:instrText xml:space="preserve"> HYPERLINK \l "_Toc187761555" </w:instrText>
      </w:r>
      <w:r>
        <w:rPr>
          <w:color w:val="auto"/>
          <w:highlight w:val="none"/>
        </w:rPr>
        <w:fldChar w:fldCharType="separate"/>
      </w:r>
      <w:r>
        <w:rPr>
          <w:rStyle w:val="44"/>
          <w:color w:val="auto"/>
          <w:highlight w:val="none"/>
        </w:rPr>
        <w:t>二、招标文件</w:t>
      </w:r>
      <w:r>
        <w:rPr>
          <w:color w:val="auto"/>
          <w:highlight w:val="none"/>
        </w:rPr>
        <w:tab/>
      </w:r>
      <w:r>
        <w:rPr>
          <w:color w:val="auto"/>
          <w:highlight w:val="none"/>
        </w:rPr>
        <w:fldChar w:fldCharType="begin"/>
      </w:r>
      <w:r>
        <w:rPr>
          <w:color w:val="auto"/>
          <w:highlight w:val="none"/>
        </w:rPr>
        <w:instrText xml:space="preserve"> PAGEREF _Toc187761555 \h </w:instrText>
      </w:r>
      <w:r>
        <w:rPr>
          <w:color w:val="auto"/>
          <w:highlight w:val="none"/>
        </w:rPr>
        <w:fldChar w:fldCharType="separate"/>
      </w:r>
      <w:r>
        <w:rPr>
          <w:color w:val="auto"/>
          <w:highlight w:val="none"/>
        </w:rPr>
        <w:t>55</w:t>
      </w:r>
      <w:r>
        <w:rPr>
          <w:color w:val="auto"/>
          <w:highlight w:val="none"/>
        </w:rPr>
        <w:fldChar w:fldCharType="end"/>
      </w:r>
      <w:r>
        <w:rPr>
          <w:color w:val="auto"/>
          <w:highlight w:val="none"/>
        </w:rPr>
        <w:fldChar w:fldCharType="end"/>
      </w:r>
    </w:p>
    <w:p w14:paraId="73E37BC6">
      <w:pPr>
        <w:pStyle w:val="21"/>
        <w:keepNext w:val="0"/>
        <w:keepLines w:val="0"/>
        <w:pageBreakBefore w:val="0"/>
        <w:widowControl w:val="0"/>
        <w:tabs>
          <w:tab w:val="right" w:leader="dot" w:pos="9628"/>
        </w:tabs>
        <w:kinsoku/>
        <w:wordWrap/>
        <w:overflowPunct/>
        <w:topLinePunct w:val="0"/>
        <w:autoSpaceDE/>
        <w:autoSpaceDN/>
        <w:bidi w:val="0"/>
        <w:adjustRightInd/>
        <w:snapToGrid/>
        <w:spacing w:line="400" w:lineRule="exact"/>
        <w:textAlignment w:val="auto"/>
        <w:rPr>
          <w:rFonts w:asciiTheme="minorHAnsi" w:hAnsiTheme="minorHAnsi" w:eastAsiaTheme="minorEastAsia" w:cstheme="minorBidi"/>
          <w:smallCaps w:val="0"/>
          <w:color w:val="auto"/>
          <w:sz w:val="21"/>
          <w:highlight w:val="none"/>
        </w:rPr>
      </w:pPr>
      <w:r>
        <w:rPr>
          <w:color w:val="auto"/>
          <w:highlight w:val="none"/>
        </w:rPr>
        <w:fldChar w:fldCharType="begin"/>
      </w:r>
      <w:r>
        <w:rPr>
          <w:color w:val="auto"/>
          <w:highlight w:val="none"/>
        </w:rPr>
        <w:instrText xml:space="preserve"> HYPERLINK \l "_Toc187761556" </w:instrText>
      </w:r>
      <w:r>
        <w:rPr>
          <w:color w:val="auto"/>
          <w:highlight w:val="none"/>
        </w:rPr>
        <w:fldChar w:fldCharType="separate"/>
      </w:r>
      <w:r>
        <w:rPr>
          <w:rStyle w:val="44"/>
          <w:color w:val="auto"/>
          <w:highlight w:val="none"/>
        </w:rPr>
        <w:t>三、投标文件的编制</w:t>
      </w:r>
      <w:r>
        <w:rPr>
          <w:color w:val="auto"/>
          <w:highlight w:val="none"/>
        </w:rPr>
        <w:tab/>
      </w:r>
      <w:r>
        <w:rPr>
          <w:color w:val="auto"/>
          <w:highlight w:val="none"/>
        </w:rPr>
        <w:fldChar w:fldCharType="begin"/>
      </w:r>
      <w:r>
        <w:rPr>
          <w:color w:val="auto"/>
          <w:highlight w:val="none"/>
        </w:rPr>
        <w:instrText xml:space="preserve"> PAGEREF _Toc187761556 \h </w:instrText>
      </w:r>
      <w:r>
        <w:rPr>
          <w:color w:val="auto"/>
          <w:highlight w:val="none"/>
        </w:rPr>
        <w:fldChar w:fldCharType="separate"/>
      </w:r>
      <w:r>
        <w:rPr>
          <w:color w:val="auto"/>
          <w:highlight w:val="none"/>
        </w:rPr>
        <w:t>56</w:t>
      </w:r>
      <w:r>
        <w:rPr>
          <w:color w:val="auto"/>
          <w:highlight w:val="none"/>
        </w:rPr>
        <w:fldChar w:fldCharType="end"/>
      </w:r>
      <w:r>
        <w:rPr>
          <w:color w:val="auto"/>
          <w:highlight w:val="none"/>
        </w:rPr>
        <w:fldChar w:fldCharType="end"/>
      </w:r>
    </w:p>
    <w:p w14:paraId="31207855">
      <w:pPr>
        <w:pStyle w:val="21"/>
        <w:keepNext w:val="0"/>
        <w:keepLines w:val="0"/>
        <w:pageBreakBefore w:val="0"/>
        <w:widowControl w:val="0"/>
        <w:tabs>
          <w:tab w:val="right" w:leader="dot" w:pos="9628"/>
        </w:tabs>
        <w:kinsoku/>
        <w:wordWrap/>
        <w:overflowPunct/>
        <w:topLinePunct w:val="0"/>
        <w:autoSpaceDE/>
        <w:autoSpaceDN/>
        <w:bidi w:val="0"/>
        <w:adjustRightInd/>
        <w:snapToGrid/>
        <w:spacing w:line="400" w:lineRule="exact"/>
        <w:textAlignment w:val="auto"/>
        <w:rPr>
          <w:rFonts w:asciiTheme="minorHAnsi" w:hAnsiTheme="minorHAnsi" w:eastAsiaTheme="minorEastAsia" w:cstheme="minorBidi"/>
          <w:smallCaps w:val="0"/>
          <w:color w:val="auto"/>
          <w:sz w:val="21"/>
          <w:highlight w:val="none"/>
        </w:rPr>
      </w:pPr>
      <w:r>
        <w:rPr>
          <w:color w:val="auto"/>
          <w:highlight w:val="none"/>
        </w:rPr>
        <w:fldChar w:fldCharType="begin"/>
      </w:r>
      <w:r>
        <w:rPr>
          <w:color w:val="auto"/>
          <w:highlight w:val="none"/>
        </w:rPr>
        <w:instrText xml:space="preserve"> HYPERLINK \l "_Toc187761557" </w:instrText>
      </w:r>
      <w:r>
        <w:rPr>
          <w:color w:val="auto"/>
          <w:highlight w:val="none"/>
        </w:rPr>
        <w:fldChar w:fldCharType="separate"/>
      </w:r>
      <w:r>
        <w:rPr>
          <w:rStyle w:val="44"/>
          <w:color w:val="auto"/>
          <w:highlight w:val="none"/>
        </w:rPr>
        <w:t>四、开标</w:t>
      </w:r>
      <w:r>
        <w:rPr>
          <w:color w:val="auto"/>
          <w:highlight w:val="none"/>
        </w:rPr>
        <w:tab/>
      </w:r>
      <w:r>
        <w:rPr>
          <w:color w:val="auto"/>
          <w:highlight w:val="none"/>
        </w:rPr>
        <w:fldChar w:fldCharType="begin"/>
      </w:r>
      <w:r>
        <w:rPr>
          <w:color w:val="auto"/>
          <w:highlight w:val="none"/>
        </w:rPr>
        <w:instrText xml:space="preserve"> PAGEREF _Toc187761557 \h </w:instrText>
      </w:r>
      <w:r>
        <w:rPr>
          <w:color w:val="auto"/>
          <w:highlight w:val="none"/>
        </w:rPr>
        <w:fldChar w:fldCharType="separate"/>
      </w:r>
      <w:r>
        <w:rPr>
          <w:color w:val="auto"/>
          <w:highlight w:val="none"/>
        </w:rPr>
        <w:t>59</w:t>
      </w:r>
      <w:r>
        <w:rPr>
          <w:color w:val="auto"/>
          <w:highlight w:val="none"/>
        </w:rPr>
        <w:fldChar w:fldCharType="end"/>
      </w:r>
      <w:r>
        <w:rPr>
          <w:color w:val="auto"/>
          <w:highlight w:val="none"/>
        </w:rPr>
        <w:fldChar w:fldCharType="end"/>
      </w:r>
    </w:p>
    <w:p w14:paraId="46E3072A">
      <w:pPr>
        <w:pStyle w:val="21"/>
        <w:keepNext w:val="0"/>
        <w:keepLines w:val="0"/>
        <w:pageBreakBefore w:val="0"/>
        <w:widowControl w:val="0"/>
        <w:tabs>
          <w:tab w:val="right" w:leader="dot" w:pos="9628"/>
        </w:tabs>
        <w:kinsoku/>
        <w:wordWrap/>
        <w:overflowPunct/>
        <w:topLinePunct w:val="0"/>
        <w:autoSpaceDE/>
        <w:autoSpaceDN/>
        <w:bidi w:val="0"/>
        <w:adjustRightInd/>
        <w:snapToGrid/>
        <w:spacing w:line="400" w:lineRule="exact"/>
        <w:textAlignment w:val="auto"/>
        <w:rPr>
          <w:rFonts w:asciiTheme="minorHAnsi" w:hAnsiTheme="minorHAnsi" w:eastAsiaTheme="minorEastAsia" w:cstheme="minorBidi"/>
          <w:smallCaps w:val="0"/>
          <w:color w:val="auto"/>
          <w:sz w:val="21"/>
          <w:highlight w:val="none"/>
        </w:rPr>
      </w:pPr>
      <w:r>
        <w:rPr>
          <w:color w:val="auto"/>
          <w:highlight w:val="none"/>
        </w:rPr>
        <w:fldChar w:fldCharType="begin"/>
      </w:r>
      <w:r>
        <w:rPr>
          <w:color w:val="auto"/>
          <w:highlight w:val="none"/>
        </w:rPr>
        <w:instrText xml:space="preserve"> HYPERLINK \l "_Toc187761558" </w:instrText>
      </w:r>
      <w:r>
        <w:rPr>
          <w:color w:val="auto"/>
          <w:highlight w:val="none"/>
        </w:rPr>
        <w:fldChar w:fldCharType="separate"/>
      </w:r>
      <w:r>
        <w:rPr>
          <w:rStyle w:val="44"/>
          <w:color w:val="auto"/>
          <w:highlight w:val="none"/>
        </w:rPr>
        <w:t>五、资格审查</w:t>
      </w:r>
      <w:r>
        <w:rPr>
          <w:color w:val="auto"/>
          <w:highlight w:val="none"/>
        </w:rPr>
        <w:tab/>
      </w:r>
      <w:r>
        <w:rPr>
          <w:color w:val="auto"/>
          <w:highlight w:val="none"/>
        </w:rPr>
        <w:fldChar w:fldCharType="begin"/>
      </w:r>
      <w:r>
        <w:rPr>
          <w:color w:val="auto"/>
          <w:highlight w:val="none"/>
        </w:rPr>
        <w:instrText xml:space="preserve"> PAGEREF _Toc187761558 \h </w:instrText>
      </w:r>
      <w:r>
        <w:rPr>
          <w:color w:val="auto"/>
          <w:highlight w:val="none"/>
        </w:rPr>
        <w:fldChar w:fldCharType="separate"/>
      </w:r>
      <w:r>
        <w:rPr>
          <w:color w:val="auto"/>
          <w:highlight w:val="none"/>
        </w:rPr>
        <w:t>60</w:t>
      </w:r>
      <w:r>
        <w:rPr>
          <w:color w:val="auto"/>
          <w:highlight w:val="none"/>
        </w:rPr>
        <w:fldChar w:fldCharType="end"/>
      </w:r>
      <w:r>
        <w:rPr>
          <w:color w:val="auto"/>
          <w:highlight w:val="none"/>
        </w:rPr>
        <w:fldChar w:fldCharType="end"/>
      </w:r>
    </w:p>
    <w:p w14:paraId="47651269">
      <w:pPr>
        <w:pStyle w:val="21"/>
        <w:keepNext w:val="0"/>
        <w:keepLines w:val="0"/>
        <w:pageBreakBefore w:val="0"/>
        <w:widowControl w:val="0"/>
        <w:tabs>
          <w:tab w:val="right" w:leader="dot" w:pos="9628"/>
        </w:tabs>
        <w:kinsoku/>
        <w:wordWrap/>
        <w:overflowPunct/>
        <w:topLinePunct w:val="0"/>
        <w:autoSpaceDE/>
        <w:autoSpaceDN/>
        <w:bidi w:val="0"/>
        <w:adjustRightInd/>
        <w:snapToGrid/>
        <w:spacing w:line="400" w:lineRule="exact"/>
        <w:textAlignment w:val="auto"/>
        <w:rPr>
          <w:rFonts w:asciiTheme="minorHAnsi" w:hAnsiTheme="minorHAnsi" w:eastAsiaTheme="minorEastAsia" w:cstheme="minorBidi"/>
          <w:smallCaps w:val="0"/>
          <w:color w:val="auto"/>
          <w:sz w:val="21"/>
          <w:highlight w:val="none"/>
        </w:rPr>
      </w:pPr>
      <w:r>
        <w:rPr>
          <w:color w:val="auto"/>
          <w:highlight w:val="none"/>
        </w:rPr>
        <w:fldChar w:fldCharType="begin"/>
      </w:r>
      <w:r>
        <w:rPr>
          <w:color w:val="auto"/>
          <w:highlight w:val="none"/>
        </w:rPr>
        <w:instrText xml:space="preserve"> HYPERLINK \l "_Toc187761559" </w:instrText>
      </w:r>
      <w:r>
        <w:rPr>
          <w:color w:val="auto"/>
          <w:highlight w:val="none"/>
        </w:rPr>
        <w:fldChar w:fldCharType="separate"/>
      </w:r>
      <w:r>
        <w:rPr>
          <w:rStyle w:val="44"/>
          <w:color w:val="auto"/>
          <w:highlight w:val="none"/>
        </w:rPr>
        <w:t>六、评标</w:t>
      </w:r>
      <w:r>
        <w:rPr>
          <w:color w:val="auto"/>
          <w:highlight w:val="none"/>
        </w:rPr>
        <w:tab/>
      </w:r>
      <w:r>
        <w:rPr>
          <w:color w:val="auto"/>
          <w:highlight w:val="none"/>
        </w:rPr>
        <w:fldChar w:fldCharType="begin"/>
      </w:r>
      <w:r>
        <w:rPr>
          <w:color w:val="auto"/>
          <w:highlight w:val="none"/>
        </w:rPr>
        <w:instrText xml:space="preserve"> PAGEREF _Toc187761559 \h </w:instrText>
      </w:r>
      <w:r>
        <w:rPr>
          <w:color w:val="auto"/>
          <w:highlight w:val="none"/>
        </w:rPr>
        <w:fldChar w:fldCharType="separate"/>
      </w:r>
      <w:r>
        <w:rPr>
          <w:color w:val="auto"/>
          <w:highlight w:val="none"/>
        </w:rPr>
        <w:t>61</w:t>
      </w:r>
      <w:r>
        <w:rPr>
          <w:color w:val="auto"/>
          <w:highlight w:val="none"/>
        </w:rPr>
        <w:fldChar w:fldCharType="end"/>
      </w:r>
      <w:r>
        <w:rPr>
          <w:color w:val="auto"/>
          <w:highlight w:val="none"/>
        </w:rPr>
        <w:fldChar w:fldCharType="end"/>
      </w:r>
    </w:p>
    <w:p w14:paraId="51F104E4">
      <w:pPr>
        <w:pStyle w:val="21"/>
        <w:keepNext w:val="0"/>
        <w:keepLines w:val="0"/>
        <w:pageBreakBefore w:val="0"/>
        <w:widowControl w:val="0"/>
        <w:tabs>
          <w:tab w:val="right" w:leader="dot" w:pos="9628"/>
        </w:tabs>
        <w:kinsoku/>
        <w:wordWrap/>
        <w:overflowPunct/>
        <w:topLinePunct w:val="0"/>
        <w:autoSpaceDE/>
        <w:autoSpaceDN/>
        <w:bidi w:val="0"/>
        <w:adjustRightInd/>
        <w:snapToGrid/>
        <w:spacing w:line="400" w:lineRule="exact"/>
        <w:textAlignment w:val="auto"/>
        <w:rPr>
          <w:rFonts w:asciiTheme="minorHAnsi" w:hAnsiTheme="minorHAnsi" w:eastAsiaTheme="minorEastAsia" w:cstheme="minorBidi"/>
          <w:smallCaps w:val="0"/>
          <w:color w:val="auto"/>
          <w:sz w:val="21"/>
          <w:highlight w:val="none"/>
        </w:rPr>
      </w:pPr>
      <w:r>
        <w:rPr>
          <w:color w:val="auto"/>
          <w:highlight w:val="none"/>
        </w:rPr>
        <w:fldChar w:fldCharType="begin"/>
      </w:r>
      <w:r>
        <w:rPr>
          <w:color w:val="auto"/>
          <w:highlight w:val="none"/>
        </w:rPr>
        <w:instrText xml:space="preserve"> HYPERLINK \l "_Toc187761560" </w:instrText>
      </w:r>
      <w:r>
        <w:rPr>
          <w:color w:val="auto"/>
          <w:highlight w:val="none"/>
        </w:rPr>
        <w:fldChar w:fldCharType="separate"/>
      </w:r>
      <w:r>
        <w:rPr>
          <w:rStyle w:val="44"/>
          <w:color w:val="auto"/>
          <w:highlight w:val="none"/>
        </w:rPr>
        <w:t>七、中标和合同</w:t>
      </w:r>
      <w:r>
        <w:rPr>
          <w:color w:val="auto"/>
          <w:highlight w:val="none"/>
        </w:rPr>
        <w:tab/>
      </w:r>
      <w:r>
        <w:rPr>
          <w:color w:val="auto"/>
          <w:highlight w:val="none"/>
        </w:rPr>
        <w:fldChar w:fldCharType="begin"/>
      </w:r>
      <w:r>
        <w:rPr>
          <w:color w:val="auto"/>
          <w:highlight w:val="none"/>
        </w:rPr>
        <w:instrText xml:space="preserve"> PAGEREF _Toc187761560 \h </w:instrText>
      </w:r>
      <w:r>
        <w:rPr>
          <w:color w:val="auto"/>
          <w:highlight w:val="none"/>
        </w:rPr>
        <w:fldChar w:fldCharType="separate"/>
      </w:r>
      <w:r>
        <w:rPr>
          <w:color w:val="auto"/>
          <w:highlight w:val="none"/>
        </w:rPr>
        <w:t>62</w:t>
      </w:r>
      <w:r>
        <w:rPr>
          <w:color w:val="auto"/>
          <w:highlight w:val="none"/>
        </w:rPr>
        <w:fldChar w:fldCharType="end"/>
      </w:r>
      <w:r>
        <w:rPr>
          <w:color w:val="auto"/>
          <w:highlight w:val="none"/>
        </w:rPr>
        <w:fldChar w:fldCharType="end"/>
      </w:r>
    </w:p>
    <w:p w14:paraId="70757F5B">
      <w:pPr>
        <w:pStyle w:val="21"/>
        <w:keepNext w:val="0"/>
        <w:keepLines w:val="0"/>
        <w:pageBreakBefore w:val="0"/>
        <w:widowControl w:val="0"/>
        <w:tabs>
          <w:tab w:val="right" w:leader="dot" w:pos="9628"/>
        </w:tabs>
        <w:kinsoku/>
        <w:wordWrap/>
        <w:overflowPunct/>
        <w:topLinePunct w:val="0"/>
        <w:autoSpaceDE/>
        <w:autoSpaceDN/>
        <w:bidi w:val="0"/>
        <w:adjustRightInd/>
        <w:snapToGrid/>
        <w:spacing w:line="400" w:lineRule="exact"/>
        <w:textAlignment w:val="auto"/>
        <w:rPr>
          <w:rFonts w:asciiTheme="minorHAnsi" w:hAnsiTheme="minorHAnsi" w:eastAsiaTheme="minorEastAsia" w:cstheme="minorBidi"/>
          <w:smallCaps w:val="0"/>
          <w:color w:val="auto"/>
          <w:sz w:val="21"/>
          <w:highlight w:val="none"/>
        </w:rPr>
      </w:pPr>
      <w:r>
        <w:rPr>
          <w:color w:val="auto"/>
          <w:highlight w:val="none"/>
        </w:rPr>
        <w:fldChar w:fldCharType="begin"/>
      </w:r>
      <w:r>
        <w:rPr>
          <w:color w:val="auto"/>
          <w:highlight w:val="none"/>
        </w:rPr>
        <w:instrText xml:space="preserve"> HYPERLINK \l "_Toc187761561" </w:instrText>
      </w:r>
      <w:r>
        <w:rPr>
          <w:color w:val="auto"/>
          <w:highlight w:val="none"/>
        </w:rPr>
        <w:fldChar w:fldCharType="separate"/>
      </w:r>
      <w:r>
        <w:rPr>
          <w:rStyle w:val="44"/>
          <w:b/>
          <w:bCs/>
          <w:color w:val="auto"/>
          <w:highlight w:val="none"/>
        </w:rPr>
        <w:t>八、验收</w:t>
      </w:r>
      <w:r>
        <w:rPr>
          <w:color w:val="auto"/>
          <w:highlight w:val="none"/>
        </w:rPr>
        <w:tab/>
      </w:r>
      <w:r>
        <w:rPr>
          <w:color w:val="auto"/>
          <w:highlight w:val="none"/>
        </w:rPr>
        <w:fldChar w:fldCharType="begin"/>
      </w:r>
      <w:r>
        <w:rPr>
          <w:color w:val="auto"/>
          <w:highlight w:val="none"/>
        </w:rPr>
        <w:instrText xml:space="preserve"> PAGEREF _Toc187761561 \h </w:instrText>
      </w:r>
      <w:r>
        <w:rPr>
          <w:color w:val="auto"/>
          <w:highlight w:val="none"/>
        </w:rPr>
        <w:fldChar w:fldCharType="separate"/>
      </w:r>
      <w:r>
        <w:rPr>
          <w:color w:val="auto"/>
          <w:highlight w:val="none"/>
        </w:rPr>
        <w:t>67</w:t>
      </w:r>
      <w:r>
        <w:rPr>
          <w:color w:val="auto"/>
          <w:highlight w:val="none"/>
        </w:rPr>
        <w:fldChar w:fldCharType="end"/>
      </w:r>
      <w:r>
        <w:rPr>
          <w:color w:val="auto"/>
          <w:highlight w:val="none"/>
        </w:rPr>
        <w:fldChar w:fldCharType="end"/>
      </w:r>
    </w:p>
    <w:p w14:paraId="403A757B">
      <w:pPr>
        <w:pStyle w:val="21"/>
        <w:keepNext w:val="0"/>
        <w:keepLines w:val="0"/>
        <w:pageBreakBefore w:val="0"/>
        <w:widowControl w:val="0"/>
        <w:tabs>
          <w:tab w:val="right" w:leader="dot" w:pos="9628"/>
        </w:tabs>
        <w:kinsoku/>
        <w:wordWrap/>
        <w:overflowPunct/>
        <w:topLinePunct w:val="0"/>
        <w:autoSpaceDE/>
        <w:autoSpaceDN/>
        <w:bidi w:val="0"/>
        <w:adjustRightInd/>
        <w:snapToGrid/>
        <w:spacing w:line="400" w:lineRule="exact"/>
        <w:textAlignment w:val="auto"/>
        <w:rPr>
          <w:rFonts w:asciiTheme="minorHAnsi" w:hAnsiTheme="minorHAnsi" w:eastAsiaTheme="minorEastAsia" w:cstheme="minorBidi"/>
          <w:smallCaps w:val="0"/>
          <w:color w:val="auto"/>
          <w:sz w:val="21"/>
          <w:highlight w:val="none"/>
        </w:rPr>
      </w:pPr>
      <w:r>
        <w:rPr>
          <w:color w:val="auto"/>
          <w:highlight w:val="none"/>
        </w:rPr>
        <w:fldChar w:fldCharType="begin"/>
      </w:r>
      <w:r>
        <w:rPr>
          <w:color w:val="auto"/>
          <w:highlight w:val="none"/>
        </w:rPr>
        <w:instrText xml:space="preserve"> HYPERLINK \l "_Toc187761562" </w:instrText>
      </w:r>
      <w:r>
        <w:rPr>
          <w:color w:val="auto"/>
          <w:highlight w:val="none"/>
        </w:rPr>
        <w:fldChar w:fldCharType="separate"/>
      </w:r>
      <w:r>
        <w:rPr>
          <w:rStyle w:val="44"/>
          <w:color w:val="auto"/>
          <w:highlight w:val="none"/>
        </w:rPr>
        <w:t>九、其他事项</w:t>
      </w:r>
      <w:r>
        <w:rPr>
          <w:color w:val="auto"/>
          <w:highlight w:val="none"/>
        </w:rPr>
        <w:tab/>
      </w:r>
      <w:r>
        <w:rPr>
          <w:color w:val="auto"/>
          <w:highlight w:val="none"/>
        </w:rPr>
        <w:fldChar w:fldCharType="begin"/>
      </w:r>
      <w:r>
        <w:rPr>
          <w:color w:val="auto"/>
          <w:highlight w:val="none"/>
        </w:rPr>
        <w:instrText xml:space="preserve"> PAGEREF _Toc187761562 \h </w:instrText>
      </w:r>
      <w:r>
        <w:rPr>
          <w:color w:val="auto"/>
          <w:highlight w:val="none"/>
        </w:rPr>
        <w:fldChar w:fldCharType="separate"/>
      </w:r>
      <w:r>
        <w:rPr>
          <w:color w:val="auto"/>
          <w:highlight w:val="none"/>
        </w:rPr>
        <w:t>67</w:t>
      </w:r>
      <w:r>
        <w:rPr>
          <w:color w:val="auto"/>
          <w:highlight w:val="none"/>
        </w:rPr>
        <w:fldChar w:fldCharType="end"/>
      </w:r>
      <w:r>
        <w:rPr>
          <w:color w:val="auto"/>
          <w:highlight w:val="none"/>
        </w:rPr>
        <w:fldChar w:fldCharType="end"/>
      </w:r>
    </w:p>
    <w:p w14:paraId="1F2B15F6">
      <w:pPr>
        <w:pStyle w:val="28"/>
        <w:keepNext w:val="0"/>
        <w:keepLines w:val="0"/>
        <w:pageBreakBefore w:val="0"/>
        <w:widowControl w:val="0"/>
        <w:tabs>
          <w:tab w:val="right" w:leader="dot" w:pos="9628"/>
        </w:tabs>
        <w:kinsoku/>
        <w:wordWrap/>
        <w:overflowPunct/>
        <w:topLinePunct w:val="0"/>
        <w:autoSpaceDE/>
        <w:autoSpaceDN/>
        <w:bidi w:val="0"/>
        <w:adjustRightInd/>
        <w:snapToGrid/>
        <w:spacing w:before="0" w:after="0" w:line="400" w:lineRule="exact"/>
        <w:textAlignment w:val="auto"/>
        <w:rPr>
          <w:rFonts w:asciiTheme="minorHAnsi" w:hAnsiTheme="minorHAnsi" w:eastAsiaTheme="minorEastAsia" w:cstheme="minorBidi"/>
          <w:b w:val="0"/>
          <w:bCs w:val="0"/>
          <w:caps w:val="0"/>
          <w:color w:val="auto"/>
          <w:sz w:val="21"/>
          <w:highlight w:val="none"/>
          <w:u w:val="none"/>
        </w:rPr>
      </w:pPr>
      <w:r>
        <w:rPr>
          <w:color w:val="auto"/>
          <w:highlight w:val="none"/>
        </w:rPr>
        <w:fldChar w:fldCharType="begin"/>
      </w:r>
      <w:r>
        <w:rPr>
          <w:color w:val="auto"/>
          <w:highlight w:val="none"/>
        </w:rPr>
        <w:instrText xml:space="preserve"> HYPERLINK \l "_Toc187761563" </w:instrText>
      </w:r>
      <w:r>
        <w:rPr>
          <w:color w:val="auto"/>
          <w:highlight w:val="none"/>
        </w:rPr>
        <w:fldChar w:fldCharType="separate"/>
      </w:r>
      <w:r>
        <w:rPr>
          <w:rStyle w:val="44"/>
          <w:rFonts w:ascii="Times New Roman" w:hAnsi="Times New Roman"/>
          <w:color w:val="auto"/>
          <w:highlight w:val="none"/>
        </w:rPr>
        <w:t>第四章评标方法及评分标准</w:t>
      </w:r>
      <w:r>
        <w:rPr>
          <w:color w:val="auto"/>
          <w:highlight w:val="none"/>
        </w:rPr>
        <w:tab/>
      </w:r>
      <w:r>
        <w:rPr>
          <w:color w:val="auto"/>
          <w:highlight w:val="none"/>
        </w:rPr>
        <w:fldChar w:fldCharType="begin"/>
      </w:r>
      <w:r>
        <w:rPr>
          <w:color w:val="auto"/>
          <w:highlight w:val="none"/>
        </w:rPr>
        <w:instrText xml:space="preserve"> PAGEREF _Toc187761563 \h </w:instrText>
      </w:r>
      <w:r>
        <w:rPr>
          <w:color w:val="auto"/>
          <w:highlight w:val="none"/>
        </w:rPr>
        <w:fldChar w:fldCharType="separate"/>
      </w:r>
      <w:r>
        <w:rPr>
          <w:color w:val="auto"/>
          <w:highlight w:val="none"/>
        </w:rPr>
        <w:t>69</w:t>
      </w:r>
      <w:r>
        <w:rPr>
          <w:color w:val="auto"/>
          <w:highlight w:val="none"/>
        </w:rPr>
        <w:fldChar w:fldCharType="end"/>
      </w:r>
      <w:r>
        <w:rPr>
          <w:color w:val="auto"/>
          <w:highlight w:val="none"/>
        </w:rPr>
        <w:fldChar w:fldCharType="end"/>
      </w:r>
    </w:p>
    <w:p w14:paraId="4194FDCE">
      <w:pPr>
        <w:pStyle w:val="32"/>
        <w:keepNext w:val="0"/>
        <w:keepLines w:val="0"/>
        <w:pageBreakBefore w:val="0"/>
        <w:widowControl w:val="0"/>
        <w:tabs>
          <w:tab w:val="right" w:leader="dot" w:pos="9628"/>
        </w:tabs>
        <w:kinsoku/>
        <w:wordWrap/>
        <w:overflowPunct/>
        <w:topLinePunct w:val="0"/>
        <w:autoSpaceDE/>
        <w:autoSpaceDN/>
        <w:bidi w:val="0"/>
        <w:adjustRightInd/>
        <w:snapToGrid/>
        <w:spacing w:line="400" w:lineRule="exact"/>
        <w:textAlignment w:val="auto"/>
        <w:rPr>
          <w:rFonts w:asciiTheme="minorHAnsi" w:hAnsiTheme="minorHAnsi" w:eastAsiaTheme="minorEastAsia" w:cstheme="minorBidi"/>
          <w:b w:val="0"/>
          <w:bCs w:val="0"/>
          <w:smallCaps w:val="0"/>
          <w:color w:val="auto"/>
          <w:sz w:val="21"/>
          <w:highlight w:val="none"/>
        </w:rPr>
      </w:pPr>
      <w:r>
        <w:rPr>
          <w:color w:val="auto"/>
          <w:highlight w:val="none"/>
        </w:rPr>
        <w:fldChar w:fldCharType="begin"/>
      </w:r>
      <w:r>
        <w:rPr>
          <w:color w:val="auto"/>
          <w:highlight w:val="none"/>
        </w:rPr>
        <w:instrText xml:space="preserve"> HYPERLINK \l "_Toc187761564" </w:instrText>
      </w:r>
      <w:r>
        <w:rPr>
          <w:color w:val="auto"/>
          <w:highlight w:val="none"/>
        </w:rPr>
        <w:fldChar w:fldCharType="separate"/>
      </w:r>
      <w:r>
        <w:rPr>
          <w:rStyle w:val="44"/>
          <w:rFonts w:ascii="Times New Roman" w:hAnsi="Times New Roman"/>
          <w:color w:val="auto"/>
          <w:highlight w:val="none"/>
        </w:rPr>
        <w:t>第一节评标方法</w:t>
      </w:r>
      <w:r>
        <w:rPr>
          <w:color w:val="auto"/>
          <w:highlight w:val="none"/>
        </w:rPr>
        <w:tab/>
      </w:r>
      <w:r>
        <w:rPr>
          <w:color w:val="auto"/>
          <w:highlight w:val="none"/>
        </w:rPr>
        <w:fldChar w:fldCharType="begin"/>
      </w:r>
      <w:r>
        <w:rPr>
          <w:color w:val="auto"/>
          <w:highlight w:val="none"/>
        </w:rPr>
        <w:instrText xml:space="preserve"> PAGEREF _Toc187761564 \h </w:instrText>
      </w:r>
      <w:r>
        <w:rPr>
          <w:color w:val="auto"/>
          <w:highlight w:val="none"/>
        </w:rPr>
        <w:fldChar w:fldCharType="separate"/>
      </w:r>
      <w:r>
        <w:rPr>
          <w:color w:val="auto"/>
          <w:highlight w:val="none"/>
        </w:rPr>
        <w:t>69</w:t>
      </w:r>
      <w:r>
        <w:rPr>
          <w:color w:val="auto"/>
          <w:highlight w:val="none"/>
        </w:rPr>
        <w:fldChar w:fldCharType="end"/>
      </w:r>
      <w:r>
        <w:rPr>
          <w:color w:val="auto"/>
          <w:highlight w:val="none"/>
        </w:rPr>
        <w:fldChar w:fldCharType="end"/>
      </w:r>
    </w:p>
    <w:p w14:paraId="4EC852EF">
      <w:pPr>
        <w:pStyle w:val="32"/>
        <w:keepNext w:val="0"/>
        <w:keepLines w:val="0"/>
        <w:pageBreakBefore w:val="0"/>
        <w:widowControl w:val="0"/>
        <w:tabs>
          <w:tab w:val="right" w:leader="dot" w:pos="9628"/>
        </w:tabs>
        <w:kinsoku/>
        <w:wordWrap/>
        <w:overflowPunct/>
        <w:topLinePunct w:val="0"/>
        <w:autoSpaceDE/>
        <w:autoSpaceDN/>
        <w:bidi w:val="0"/>
        <w:adjustRightInd/>
        <w:snapToGrid/>
        <w:spacing w:line="400" w:lineRule="exact"/>
        <w:textAlignment w:val="auto"/>
        <w:rPr>
          <w:rFonts w:asciiTheme="minorHAnsi" w:hAnsiTheme="minorHAnsi" w:eastAsiaTheme="minorEastAsia" w:cstheme="minorBidi"/>
          <w:b w:val="0"/>
          <w:bCs w:val="0"/>
          <w:smallCaps w:val="0"/>
          <w:color w:val="auto"/>
          <w:sz w:val="21"/>
          <w:highlight w:val="none"/>
        </w:rPr>
      </w:pPr>
      <w:r>
        <w:rPr>
          <w:color w:val="auto"/>
          <w:highlight w:val="none"/>
        </w:rPr>
        <w:fldChar w:fldCharType="begin"/>
      </w:r>
      <w:r>
        <w:rPr>
          <w:color w:val="auto"/>
          <w:highlight w:val="none"/>
        </w:rPr>
        <w:instrText xml:space="preserve"> HYPERLINK \l "_Toc187761565" </w:instrText>
      </w:r>
      <w:r>
        <w:rPr>
          <w:color w:val="auto"/>
          <w:highlight w:val="none"/>
        </w:rPr>
        <w:fldChar w:fldCharType="separate"/>
      </w:r>
      <w:r>
        <w:rPr>
          <w:rStyle w:val="44"/>
          <w:rFonts w:ascii="Times New Roman" w:hAnsi="Times New Roman"/>
          <w:color w:val="auto"/>
          <w:highlight w:val="none"/>
        </w:rPr>
        <w:t>第二节评标程序</w:t>
      </w:r>
      <w:r>
        <w:rPr>
          <w:color w:val="auto"/>
          <w:highlight w:val="none"/>
        </w:rPr>
        <w:tab/>
      </w:r>
      <w:r>
        <w:rPr>
          <w:color w:val="auto"/>
          <w:highlight w:val="none"/>
        </w:rPr>
        <w:fldChar w:fldCharType="begin"/>
      </w:r>
      <w:r>
        <w:rPr>
          <w:color w:val="auto"/>
          <w:highlight w:val="none"/>
        </w:rPr>
        <w:instrText xml:space="preserve"> PAGEREF _Toc187761565 \h </w:instrText>
      </w:r>
      <w:r>
        <w:rPr>
          <w:color w:val="auto"/>
          <w:highlight w:val="none"/>
        </w:rPr>
        <w:fldChar w:fldCharType="separate"/>
      </w:r>
      <w:r>
        <w:rPr>
          <w:color w:val="auto"/>
          <w:highlight w:val="none"/>
        </w:rPr>
        <w:t>69</w:t>
      </w:r>
      <w:r>
        <w:rPr>
          <w:color w:val="auto"/>
          <w:highlight w:val="none"/>
        </w:rPr>
        <w:fldChar w:fldCharType="end"/>
      </w:r>
      <w:r>
        <w:rPr>
          <w:color w:val="auto"/>
          <w:highlight w:val="none"/>
        </w:rPr>
        <w:fldChar w:fldCharType="end"/>
      </w:r>
    </w:p>
    <w:p w14:paraId="7846166B">
      <w:pPr>
        <w:pStyle w:val="32"/>
        <w:keepNext w:val="0"/>
        <w:keepLines w:val="0"/>
        <w:pageBreakBefore w:val="0"/>
        <w:widowControl w:val="0"/>
        <w:tabs>
          <w:tab w:val="right" w:leader="dot" w:pos="9628"/>
        </w:tabs>
        <w:kinsoku/>
        <w:wordWrap/>
        <w:overflowPunct/>
        <w:topLinePunct w:val="0"/>
        <w:autoSpaceDE/>
        <w:autoSpaceDN/>
        <w:bidi w:val="0"/>
        <w:adjustRightInd/>
        <w:snapToGrid/>
        <w:spacing w:line="400" w:lineRule="exact"/>
        <w:textAlignment w:val="auto"/>
        <w:rPr>
          <w:rFonts w:asciiTheme="minorHAnsi" w:hAnsiTheme="minorHAnsi" w:eastAsiaTheme="minorEastAsia" w:cstheme="minorBidi"/>
          <w:b w:val="0"/>
          <w:bCs w:val="0"/>
          <w:smallCaps w:val="0"/>
          <w:color w:val="auto"/>
          <w:sz w:val="21"/>
          <w:highlight w:val="none"/>
        </w:rPr>
      </w:pPr>
      <w:r>
        <w:rPr>
          <w:color w:val="auto"/>
          <w:highlight w:val="none"/>
        </w:rPr>
        <w:fldChar w:fldCharType="begin"/>
      </w:r>
      <w:r>
        <w:rPr>
          <w:color w:val="auto"/>
          <w:highlight w:val="none"/>
        </w:rPr>
        <w:instrText xml:space="preserve"> HYPERLINK \l "_Toc187761566" </w:instrText>
      </w:r>
      <w:r>
        <w:rPr>
          <w:color w:val="auto"/>
          <w:highlight w:val="none"/>
        </w:rPr>
        <w:fldChar w:fldCharType="separate"/>
      </w:r>
      <w:r>
        <w:rPr>
          <w:rStyle w:val="44"/>
          <w:color w:val="auto"/>
          <w:highlight w:val="none"/>
        </w:rPr>
        <w:t>第三节评分标准</w:t>
      </w:r>
      <w:r>
        <w:rPr>
          <w:color w:val="auto"/>
          <w:highlight w:val="none"/>
        </w:rPr>
        <w:tab/>
      </w:r>
      <w:r>
        <w:rPr>
          <w:color w:val="auto"/>
          <w:highlight w:val="none"/>
        </w:rPr>
        <w:fldChar w:fldCharType="begin"/>
      </w:r>
      <w:r>
        <w:rPr>
          <w:color w:val="auto"/>
          <w:highlight w:val="none"/>
        </w:rPr>
        <w:instrText xml:space="preserve"> PAGEREF _Toc187761566 \h </w:instrText>
      </w:r>
      <w:r>
        <w:rPr>
          <w:color w:val="auto"/>
          <w:highlight w:val="none"/>
        </w:rPr>
        <w:fldChar w:fldCharType="separate"/>
      </w:r>
      <w:r>
        <w:rPr>
          <w:color w:val="auto"/>
          <w:highlight w:val="none"/>
        </w:rPr>
        <w:t>74</w:t>
      </w:r>
      <w:r>
        <w:rPr>
          <w:color w:val="auto"/>
          <w:highlight w:val="none"/>
        </w:rPr>
        <w:fldChar w:fldCharType="end"/>
      </w:r>
      <w:r>
        <w:rPr>
          <w:color w:val="auto"/>
          <w:highlight w:val="none"/>
        </w:rPr>
        <w:fldChar w:fldCharType="end"/>
      </w:r>
    </w:p>
    <w:p w14:paraId="2A1D6CB6">
      <w:pPr>
        <w:pStyle w:val="32"/>
        <w:keepNext w:val="0"/>
        <w:keepLines w:val="0"/>
        <w:pageBreakBefore w:val="0"/>
        <w:widowControl w:val="0"/>
        <w:tabs>
          <w:tab w:val="right" w:leader="dot" w:pos="9628"/>
        </w:tabs>
        <w:kinsoku/>
        <w:wordWrap/>
        <w:overflowPunct/>
        <w:topLinePunct w:val="0"/>
        <w:autoSpaceDE/>
        <w:autoSpaceDN/>
        <w:bidi w:val="0"/>
        <w:adjustRightInd/>
        <w:snapToGrid/>
        <w:spacing w:line="400" w:lineRule="exact"/>
        <w:textAlignment w:val="auto"/>
        <w:rPr>
          <w:rFonts w:asciiTheme="minorHAnsi" w:hAnsiTheme="minorHAnsi" w:eastAsiaTheme="minorEastAsia" w:cstheme="minorBidi"/>
          <w:b w:val="0"/>
          <w:bCs w:val="0"/>
          <w:smallCaps w:val="0"/>
          <w:color w:val="auto"/>
          <w:sz w:val="21"/>
          <w:highlight w:val="none"/>
        </w:rPr>
      </w:pPr>
      <w:r>
        <w:rPr>
          <w:color w:val="auto"/>
          <w:highlight w:val="none"/>
        </w:rPr>
        <w:fldChar w:fldCharType="begin"/>
      </w:r>
      <w:r>
        <w:rPr>
          <w:color w:val="auto"/>
          <w:highlight w:val="none"/>
        </w:rPr>
        <w:instrText xml:space="preserve"> HYPERLINK \l "_Toc187761568" </w:instrText>
      </w:r>
      <w:r>
        <w:rPr>
          <w:color w:val="auto"/>
          <w:highlight w:val="none"/>
        </w:rPr>
        <w:fldChar w:fldCharType="separate"/>
      </w:r>
      <w:r>
        <w:rPr>
          <w:rStyle w:val="44"/>
          <w:color w:val="auto"/>
          <w:highlight w:val="none"/>
        </w:rPr>
        <w:t>第四节中标候选人推荐原则</w:t>
      </w:r>
      <w:r>
        <w:rPr>
          <w:color w:val="auto"/>
          <w:highlight w:val="none"/>
        </w:rPr>
        <w:tab/>
      </w:r>
      <w:r>
        <w:rPr>
          <w:color w:val="auto"/>
          <w:highlight w:val="none"/>
        </w:rPr>
        <w:fldChar w:fldCharType="begin"/>
      </w:r>
      <w:r>
        <w:rPr>
          <w:color w:val="auto"/>
          <w:highlight w:val="none"/>
        </w:rPr>
        <w:instrText xml:space="preserve"> PAGEREF _Toc187761568 \h </w:instrText>
      </w:r>
      <w:r>
        <w:rPr>
          <w:color w:val="auto"/>
          <w:highlight w:val="none"/>
        </w:rPr>
        <w:fldChar w:fldCharType="separate"/>
      </w:r>
      <w:r>
        <w:rPr>
          <w:color w:val="auto"/>
          <w:highlight w:val="none"/>
        </w:rPr>
        <w:t>78</w:t>
      </w:r>
      <w:r>
        <w:rPr>
          <w:color w:val="auto"/>
          <w:highlight w:val="none"/>
        </w:rPr>
        <w:fldChar w:fldCharType="end"/>
      </w:r>
      <w:r>
        <w:rPr>
          <w:color w:val="auto"/>
          <w:highlight w:val="none"/>
        </w:rPr>
        <w:fldChar w:fldCharType="end"/>
      </w:r>
    </w:p>
    <w:p w14:paraId="6F723322">
      <w:pPr>
        <w:pStyle w:val="32"/>
        <w:keepNext w:val="0"/>
        <w:keepLines w:val="0"/>
        <w:pageBreakBefore w:val="0"/>
        <w:widowControl w:val="0"/>
        <w:tabs>
          <w:tab w:val="right" w:leader="dot" w:pos="9628"/>
        </w:tabs>
        <w:kinsoku/>
        <w:wordWrap/>
        <w:overflowPunct/>
        <w:topLinePunct w:val="0"/>
        <w:autoSpaceDE/>
        <w:autoSpaceDN/>
        <w:bidi w:val="0"/>
        <w:adjustRightInd/>
        <w:snapToGrid/>
        <w:spacing w:line="400" w:lineRule="exact"/>
        <w:textAlignment w:val="auto"/>
        <w:rPr>
          <w:rFonts w:asciiTheme="minorHAnsi" w:hAnsiTheme="minorHAnsi" w:eastAsiaTheme="minorEastAsia" w:cstheme="minorBidi"/>
          <w:b w:val="0"/>
          <w:bCs w:val="0"/>
          <w:smallCaps w:val="0"/>
          <w:color w:val="auto"/>
          <w:sz w:val="21"/>
          <w:highlight w:val="none"/>
        </w:rPr>
      </w:pPr>
      <w:r>
        <w:rPr>
          <w:color w:val="auto"/>
          <w:highlight w:val="none"/>
        </w:rPr>
        <w:fldChar w:fldCharType="begin"/>
      </w:r>
      <w:r>
        <w:rPr>
          <w:color w:val="auto"/>
          <w:highlight w:val="none"/>
        </w:rPr>
        <w:instrText xml:space="preserve"> HYPERLINK \l "_Toc187761569" </w:instrText>
      </w:r>
      <w:r>
        <w:rPr>
          <w:color w:val="auto"/>
          <w:highlight w:val="none"/>
        </w:rPr>
        <w:fldChar w:fldCharType="separate"/>
      </w:r>
      <w:r>
        <w:rPr>
          <w:rStyle w:val="44"/>
          <w:color w:val="auto"/>
          <w:highlight w:val="none"/>
        </w:rPr>
        <w:t>第五节评标报告</w:t>
      </w:r>
      <w:r>
        <w:rPr>
          <w:color w:val="auto"/>
          <w:highlight w:val="none"/>
        </w:rPr>
        <w:tab/>
      </w:r>
      <w:r>
        <w:rPr>
          <w:color w:val="auto"/>
          <w:highlight w:val="none"/>
        </w:rPr>
        <w:fldChar w:fldCharType="begin"/>
      </w:r>
      <w:r>
        <w:rPr>
          <w:color w:val="auto"/>
          <w:highlight w:val="none"/>
        </w:rPr>
        <w:instrText xml:space="preserve"> PAGEREF _Toc187761569 \h </w:instrText>
      </w:r>
      <w:r>
        <w:rPr>
          <w:color w:val="auto"/>
          <w:highlight w:val="none"/>
        </w:rPr>
        <w:fldChar w:fldCharType="separate"/>
      </w:r>
      <w:r>
        <w:rPr>
          <w:color w:val="auto"/>
          <w:highlight w:val="none"/>
        </w:rPr>
        <w:t>78</w:t>
      </w:r>
      <w:r>
        <w:rPr>
          <w:color w:val="auto"/>
          <w:highlight w:val="none"/>
        </w:rPr>
        <w:fldChar w:fldCharType="end"/>
      </w:r>
      <w:r>
        <w:rPr>
          <w:color w:val="auto"/>
          <w:highlight w:val="none"/>
        </w:rPr>
        <w:fldChar w:fldCharType="end"/>
      </w:r>
    </w:p>
    <w:p w14:paraId="38D91277">
      <w:pPr>
        <w:pStyle w:val="28"/>
        <w:keepNext w:val="0"/>
        <w:keepLines w:val="0"/>
        <w:pageBreakBefore w:val="0"/>
        <w:widowControl w:val="0"/>
        <w:tabs>
          <w:tab w:val="right" w:leader="dot" w:pos="9628"/>
        </w:tabs>
        <w:kinsoku/>
        <w:wordWrap/>
        <w:overflowPunct/>
        <w:topLinePunct w:val="0"/>
        <w:autoSpaceDE/>
        <w:autoSpaceDN/>
        <w:bidi w:val="0"/>
        <w:adjustRightInd/>
        <w:snapToGrid/>
        <w:spacing w:before="0" w:after="0" w:line="400" w:lineRule="exact"/>
        <w:textAlignment w:val="auto"/>
        <w:rPr>
          <w:rFonts w:asciiTheme="minorHAnsi" w:hAnsiTheme="minorHAnsi" w:eastAsiaTheme="minorEastAsia" w:cstheme="minorBidi"/>
          <w:b w:val="0"/>
          <w:bCs w:val="0"/>
          <w:caps w:val="0"/>
          <w:color w:val="auto"/>
          <w:sz w:val="21"/>
          <w:highlight w:val="none"/>
          <w:u w:val="none"/>
        </w:rPr>
      </w:pPr>
      <w:r>
        <w:rPr>
          <w:color w:val="auto"/>
          <w:highlight w:val="none"/>
        </w:rPr>
        <w:fldChar w:fldCharType="begin"/>
      </w:r>
      <w:r>
        <w:rPr>
          <w:color w:val="auto"/>
          <w:highlight w:val="none"/>
        </w:rPr>
        <w:instrText xml:space="preserve"> HYPERLINK \l "_Toc187761570" </w:instrText>
      </w:r>
      <w:r>
        <w:rPr>
          <w:color w:val="auto"/>
          <w:highlight w:val="none"/>
        </w:rPr>
        <w:fldChar w:fldCharType="separate"/>
      </w:r>
      <w:r>
        <w:rPr>
          <w:rStyle w:val="44"/>
          <w:rFonts w:ascii="Times New Roman" w:hAnsi="Times New Roman"/>
          <w:color w:val="auto"/>
          <w:highlight w:val="none"/>
        </w:rPr>
        <w:t>第五章拟签订的合同文本</w:t>
      </w:r>
      <w:r>
        <w:rPr>
          <w:color w:val="auto"/>
          <w:highlight w:val="none"/>
        </w:rPr>
        <w:tab/>
      </w:r>
      <w:r>
        <w:rPr>
          <w:color w:val="auto"/>
          <w:highlight w:val="none"/>
        </w:rPr>
        <w:fldChar w:fldCharType="begin"/>
      </w:r>
      <w:r>
        <w:rPr>
          <w:color w:val="auto"/>
          <w:highlight w:val="none"/>
        </w:rPr>
        <w:instrText xml:space="preserve"> PAGEREF _Toc187761570 \h </w:instrText>
      </w:r>
      <w:r>
        <w:rPr>
          <w:color w:val="auto"/>
          <w:highlight w:val="none"/>
        </w:rPr>
        <w:fldChar w:fldCharType="separate"/>
      </w:r>
      <w:r>
        <w:rPr>
          <w:color w:val="auto"/>
          <w:highlight w:val="none"/>
        </w:rPr>
        <w:t>79</w:t>
      </w:r>
      <w:r>
        <w:rPr>
          <w:color w:val="auto"/>
          <w:highlight w:val="none"/>
        </w:rPr>
        <w:fldChar w:fldCharType="end"/>
      </w:r>
      <w:r>
        <w:rPr>
          <w:color w:val="auto"/>
          <w:highlight w:val="none"/>
        </w:rPr>
        <w:fldChar w:fldCharType="end"/>
      </w:r>
    </w:p>
    <w:p w14:paraId="273B0E4C">
      <w:pPr>
        <w:pStyle w:val="28"/>
        <w:keepNext w:val="0"/>
        <w:keepLines w:val="0"/>
        <w:pageBreakBefore w:val="0"/>
        <w:widowControl w:val="0"/>
        <w:tabs>
          <w:tab w:val="right" w:leader="dot" w:pos="9628"/>
        </w:tabs>
        <w:kinsoku/>
        <w:wordWrap/>
        <w:overflowPunct/>
        <w:topLinePunct w:val="0"/>
        <w:autoSpaceDE/>
        <w:autoSpaceDN/>
        <w:bidi w:val="0"/>
        <w:adjustRightInd/>
        <w:snapToGrid/>
        <w:spacing w:before="0" w:after="0" w:line="400" w:lineRule="exact"/>
        <w:textAlignment w:val="auto"/>
        <w:rPr>
          <w:rFonts w:asciiTheme="minorHAnsi" w:hAnsiTheme="minorHAnsi" w:eastAsiaTheme="minorEastAsia" w:cstheme="minorBidi"/>
          <w:b w:val="0"/>
          <w:bCs w:val="0"/>
          <w:caps w:val="0"/>
          <w:color w:val="auto"/>
          <w:sz w:val="21"/>
          <w:highlight w:val="none"/>
          <w:u w:val="none"/>
        </w:rPr>
      </w:pPr>
      <w:r>
        <w:rPr>
          <w:color w:val="auto"/>
          <w:highlight w:val="none"/>
        </w:rPr>
        <w:fldChar w:fldCharType="begin"/>
      </w:r>
      <w:r>
        <w:rPr>
          <w:color w:val="auto"/>
          <w:highlight w:val="none"/>
        </w:rPr>
        <w:instrText xml:space="preserve"> HYPERLINK \l "_Toc187761571" </w:instrText>
      </w:r>
      <w:r>
        <w:rPr>
          <w:color w:val="auto"/>
          <w:highlight w:val="none"/>
        </w:rPr>
        <w:fldChar w:fldCharType="separate"/>
      </w:r>
      <w:r>
        <w:rPr>
          <w:rStyle w:val="44"/>
          <w:rFonts w:ascii="Times New Roman" w:hAnsi="Times New Roman"/>
          <w:color w:val="auto"/>
          <w:highlight w:val="none"/>
        </w:rPr>
        <w:t>第六章投标文件格式</w:t>
      </w:r>
      <w:r>
        <w:rPr>
          <w:color w:val="auto"/>
          <w:highlight w:val="none"/>
        </w:rPr>
        <w:tab/>
      </w:r>
      <w:r>
        <w:rPr>
          <w:color w:val="auto"/>
          <w:highlight w:val="none"/>
        </w:rPr>
        <w:fldChar w:fldCharType="begin"/>
      </w:r>
      <w:r>
        <w:rPr>
          <w:color w:val="auto"/>
          <w:highlight w:val="none"/>
        </w:rPr>
        <w:instrText xml:space="preserve"> PAGEREF _Toc187761571 \h </w:instrText>
      </w:r>
      <w:r>
        <w:rPr>
          <w:color w:val="auto"/>
          <w:highlight w:val="none"/>
        </w:rPr>
        <w:fldChar w:fldCharType="separate"/>
      </w:r>
      <w:r>
        <w:rPr>
          <w:color w:val="auto"/>
          <w:highlight w:val="none"/>
        </w:rPr>
        <w:t>96</w:t>
      </w:r>
      <w:r>
        <w:rPr>
          <w:color w:val="auto"/>
          <w:highlight w:val="none"/>
        </w:rPr>
        <w:fldChar w:fldCharType="end"/>
      </w:r>
      <w:r>
        <w:rPr>
          <w:color w:val="auto"/>
          <w:highlight w:val="none"/>
        </w:rPr>
        <w:fldChar w:fldCharType="end"/>
      </w:r>
    </w:p>
    <w:p w14:paraId="01D3F20F">
      <w:pPr>
        <w:pStyle w:val="32"/>
        <w:keepNext w:val="0"/>
        <w:keepLines w:val="0"/>
        <w:pageBreakBefore w:val="0"/>
        <w:widowControl w:val="0"/>
        <w:tabs>
          <w:tab w:val="right" w:leader="dot" w:pos="9628"/>
        </w:tabs>
        <w:kinsoku/>
        <w:wordWrap/>
        <w:overflowPunct/>
        <w:topLinePunct w:val="0"/>
        <w:autoSpaceDE/>
        <w:autoSpaceDN/>
        <w:bidi w:val="0"/>
        <w:adjustRightInd/>
        <w:snapToGrid/>
        <w:spacing w:line="400" w:lineRule="exact"/>
        <w:textAlignment w:val="auto"/>
        <w:rPr>
          <w:rFonts w:asciiTheme="minorHAnsi" w:hAnsiTheme="minorHAnsi" w:eastAsiaTheme="minorEastAsia" w:cstheme="minorBidi"/>
          <w:b w:val="0"/>
          <w:bCs w:val="0"/>
          <w:smallCaps w:val="0"/>
          <w:color w:val="auto"/>
          <w:sz w:val="21"/>
          <w:highlight w:val="none"/>
        </w:rPr>
      </w:pPr>
      <w:r>
        <w:rPr>
          <w:color w:val="auto"/>
          <w:highlight w:val="none"/>
        </w:rPr>
        <w:fldChar w:fldCharType="begin"/>
      </w:r>
      <w:r>
        <w:rPr>
          <w:color w:val="auto"/>
          <w:highlight w:val="none"/>
        </w:rPr>
        <w:instrText xml:space="preserve"> HYPERLINK \l "_Toc187761572" </w:instrText>
      </w:r>
      <w:r>
        <w:rPr>
          <w:color w:val="auto"/>
          <w:highlight w:val="none"/>
        </w:rPr>
        <w:fldChar w:fldCharType="separate"/>
      </w:r>
      <w:r>
        <w:rPr>
          <w:rStyle w:val="44"/>
          <w:rFonts w:hAnsi="宋体"/>
          <w:color w:val="auto"/>
          <w:highlight w:val="none"/>
        </w:rPr>
        <w:t>第一节 投标文件外层包装封面</w:t>
      </w:r>
      <w:r>
        <w:rPr>
          <w:color w:val="auto"/>
          <w:highlight w:val="none"/>
        </w:rPr>
        <w:tab/>
      </w:r>
      <w:r>
        <w:rPr>
          <w:color w:val="auto"/>
          <w:highlight w:val="none"/>
        </w:rPr>
        <w:fldChar w:fldCharType="begin"/>
      </w:r>
      <w:r>
        <w:rPr>
          <w:color w:val="auto"/>
          <w:highlight w:val="none"/>
        </w:rPr>
        <w:instrText xml:space="preserve"> PAGEREF _Toc187761572 \h </w:instrText>
      </w:r>
      <w:r>
        <w:rPr>
          <w:color w:val="auto"/>
          <w:highlight w:val="none"/>
        </w:rPr>
        <w:fldChar w:fldCharType="separate"/>
      </w:r>
      <w:r>
        <w:rPr>
          <w:color w:val="auto"/>
          <w:highlight w:val="none"/>
        </w:rPr>
        <w:t>97</w:t>
      </w:r>
      <w:r>
        <w:rPr>
          <w:color w:val="auto"/>
          <w:highlight w:val="none"/>
        </w:rPr>
        <w:fldChar w:fldCharType="end"/>
      </w:r>
      <w:r>
        <w:rPr>
          <w:color w:val="auto"/>
          <w:highlight w:val="none"/>
        </w:rPr>
        <w:fldChar w:fldCharType="end"/>
      </w:r>
    </w:p>
    <w:p w14:paraId="2C663534">
      <w:pPr>
        <w:pStyle w:val="32"/>
        <w:keepNext w:val="0"/>
        <w:keepLines w:val="0"/>
        <w:pageBreakBefore w:val="0"/>
        <w:widowControl w:val="0"/>
        <w:tabs>
          <w:tab w:val="right" w:leader="dot" w:pos="9628"/>
        </w:tabs>
        <w:kinsoku/>
        <w:wordWrap/>
        <w:overflowPunct/>
        <w:topLinePunct w:val="0"/>
        <w:autoSpaceDE/>
        <w:autoSpaceDN/>
        <w:bidi w:val="0"/>
        <w:adjustRightInd/>
        <w:snapToGrid/>
        <w:spacing w:line="400" w:lineRule="exact"/>
        <w:textAlignment w:val="auto"/>
        <w:rPr>
          <w:rFonts w:asciiTheme="minorHAnsi" w:hAnsiTheme="minorHAnsi" w:eastAsiaTheme="minorEastAsia" w:cstheme="minorBidi"/>
          <w:b w:val="0"/>
          <w:bCs w:val="0"/>
          <w:smallCaps w:val="0"/>
          <w:color w:val="auto"/>
          <w:sz w:val="21"/>
          <w:highlight w:val="none"/>
        </w:rPr>
      </w:pPr>
      <w:r>
        <w:rPr>
          <w:color w:val="auto"/>
          <w:highlight w:val="none"/>
        </w:rPr>
        <w:fldChar w:fldCharType="begin"/>
      </w:r>
      <w:r>
        <w:rPr>
          <w:color w:val="auto"/>
          <w:highlight w:val="none"/>
        </w:rPr>
        <w:instrText xml:space="preserve"> HYPERLINK \l "_Toc187761573" </w:instrText>
      </w:r>
      <w:r>
        <w:rPr>
          <w:color w:val="auto"/>
          <w:highlight w:val="none"/>
        </w:rPr>
        <w:fldChar w:fldCharType="separate"/>
      </w:r>
      <w:r>
        <w:rPr>
          <w:rStyle w:val="44"/>
          <w:rFonts w:hAnsi="宋体"/>
          <w:color w:val="auto"/>
          <w:highlight w:val="none"/>
        </w:rPr>
        <w:t>第二节 资格证明文件格式</w:t>
      </w:r>
      <w:r>
        <w:rPr>
          <w:color w:val="auto"/>
          <w:highlight w:val="none"/>
        </w:rPr>
        <w:tab/>
      </w:r>
      <w:r>
        <w:rPr>
          <w:color w:val="auto"/>
          <w:highlight w:val="none"/>
        </w:rPr>
        <w:fldChar w:fldCharType="begin"/>
      </w:r>
      <w:r>
        <w:rPr>
          <w:color w:val="auto"/>
          <w:highlight w:val="none"/>
        </w:rPr>
        <w:instrText xml:space="preserve"> PAGEREF _Toc187761573 \h </w:instrText>
      </w:r>
      <w:r>
        <w:rPr>
          <w:color w:val="auto"/>
          <w:highlight w:val="none"/>
        </w:rPr>
        <w:fldChar w:fldCharType="separate"/>
      </w:r>
      <w:r>
        <w:rPr>
          <w:color w:val="auto"/>
          <w:highlight w:val="none"/>
        </w:rPr>
        <w:t>98</w:t>
      </w:r>
      <w:r>
        <w:rPr>
          <w:color w:val="auto"/>
          <w:highlight w:val="none"/>
        </w:rPr>
        <w:fldChar w:fldCharType="end"/>
      </w:r>
      <w:r>
        <w:rPr>
          <w:color w:val="auto"/>
          <w:highlight w:val="none"/>
        </w:rPr>
        <w:fldChar w:fldCharType="end"/>
      </w:r>
    </w:p>
    <w:p w14:paraId="3175E59E">
      <w:pPr>
        <w:pStyle w:val="32"/>
        <w:keepNext w:val="0"/>
        <w:keepLines w:val="0"/>
        <w:pageBreakBefore w:val="0"/>
        <w:widowControl w:val="0"/>
        <w:tabs>
          <w:tab w:val="right" w:leader="dot" w:pos="9628"/>
        </w:tabs>
        <w:kinsoku/>
        <w:wordWrap/>
        <w:overflowPunct/>
        <w:topLinePunct w:val="0"/>
        <w:autoSpaceDE/>
        <w:autoSpaceDN/>
        <w:bidi w:val="0"/>
        <w:adjustRightInd/>
        <w:snapToGrid/>
        <w:spacing w:line="400" w:lineRule="exact"/>
        <w:textAlignment w:val="auto"/>
        <w:rPr>
          <w:rFonts w:asciiTheme="minorHAnsi" w:hAnsiTheme="minorHAnsi" w:eastAsiaTheme="minorEastAsia" w:cstheme="minorBidi"/>
          <w:b w:val="0"/>
          <w:bCs w:val="0"/>
          <w:smallCaps w:val="0"/>
          <w:color w:val="auto"/>
          <w:sz w:val="21"/>
          <w:highlight w:val="none"/>
        </w:rPr>
      </w:pPr>
      <w:r>
        <w:rPr>
          <w:color w:val="auto"/>
          <w:highlight w:val="none"/>
        </w:rPr>
        <w:fldChar w:fldCharType="begin"/>
      </w:r>
      <w:r>
        <w:rPr>
          <w:color w:val="auto"/>
          <w:highlight w:val="none"/>
        </w:rPr>
        <w:instrText xml:space="preserve"> HYPERLINK \l "_Toc187761574" </w:instrText>
      </w:r>
      <w:r>
        <w:rPr>
          <w:color w:val="auto"/>
          <w:highlight w:val="none"/>
        </w:rPr>
        <w:fldChar w:fldCharType="separate"/>
      </w:r>
      <w:r>
        <w:rPr>
          <w:rStyle w:val="44"/>
          <w:rFonts w:hAnsi="宋体"/>
          <w:color w:val="auto"/>
          <w:highlight w:val="none"/>
        </w:rPr>
        <w:t>第三节 商务文件格式</w:t>
      </w:r>
      <w:r>
        <w:rPr>
          <w:color w:val="auto"/>
          <w:highlight w:val="none"/>
        </w:rPr>
        <w:tab/>
      </w:r>
      <w:r>
        <w:rPr>
          <w:color w:val="auto"/>
          <w:highlight w:val="none"/>
        </w:rPr>
        <w:fldChar w:fldCharType="begin"/>
      </w:r>
      <w:r>
        <w:rPr>
          <w:color w:val="auto"/>
          <w:highlight w:val="none"/>
        </w:rPr>
        <w:instrText xml:space="preserve"> PAGEREF _Toc187761574 \h </w:instrText>
      </w:r>
      <w:r>
        <w:rPr>
          <w:color w:val="auto"/>
          <w:highlight w:val="none"/>
        </w:rPr>
        <w:fldChar w:fldCharType="separate"/>
      </w:r>
      <w:r>
        <w:rPr>
          <w:color w:val="auto"/>
          <w:highlight w:val="none"/>
        </w:rPr>
        <w:t>106</w:t>
      </w:r>
      <w:r>
        <w:rPr>
          <w:color w:val="auto"/>
          <w:highlight w:val="none"/>
        </w:rPr>
        <w:fldChar w:fldCharType="end"/>
      </w:r>
      <w:r>
        <w:rPr>
          <w:color w:val="auto"/>
          <w:highlight w:val="none"/>
        </w:rPr>
        <w:fldChar w:fldCharType="end"/>
      </w:r>
    </w:p>
    <w:p w14:paraId="1526968C">
      <w:pPr>
        <w:pStyle w:val="32"/>
        <w:keepNext w:val="0"/>
        <w:keepLines w:val="0"/>
        <w:pageBreakBefore w:val="0"/>
        <w:widowControl w:val="0"/>
        <w:tabs>
          <w:tab w:val="right" w:leader="dot" w:pos="9628"/>
        </w:tabs>
        <w:kinsoku/>
        <w:wordWrap/>
        <w:overflowPunct/>
        <w:topLinePunct w:val="0"/>
        <w:autoSpaceDE/>
        <w:autoSpaceDN/>
        <w:bidi w:val="0"/>
        <w:adjustRightInd/>
        <w:snapToGrid/>
        <w:spacing w:line="400" w:lineRule="exact"/>
        <w:textAlignment w:val="auto"/>
        <w:rPr>
          <w:rFonts w:asciiTheme="minorHAnsi" w:hAnsiTheme="minorHAnsi" w:eastAsiaTheme="minorEastAsia" w:cstheme="minorBidi"/>
          <w:b w:val="0"/>
          <w:bCs w:val="0"/>
          <w:smallCaps w:val="0"/>
          <w:color w:val="auto"/>
          <w:sz w:val="21"/>
          <w:highlight w:val="none"/>
        </w:rPr>
      </w:pPr>
      <w:r>
        <w:rPr>
          <w:color w:val="auto"/>
          <w:highlight w:val="none"/>
        </w:rPr>
        <w:fldChar w:fldCharType="begin"/>
      </w:r>
      <w:r>
        <w:rPr>
          <w:color w:val="auto"/>
          <w:highlight w:val="none"/>
        </w:rPr>
        <w:instrText xml:space="preserve"> HYPERLINK \l "_Toc187761575" </w:instrText>
      </w:r>
      <w:r>
        <w:rPr>
          <w:color w:val="auto"/>
          <w:highlight w:val="none"/>
        </w:rPr>
        <w:fldChar w:fldCharType="separate"/>
      </w:r>
      <w:r>
        <w:rPr>
          <w:rStyle w:val="44"/>
          <w:rFonts w:hAnsi="宋体"/>
          <w:color w:val="auto"/>
          <w:highlight w:val="none"/>
        </w:rPr>
        <w:t>第四节 技术文件格式</w:t>
      </w:r>
      <w:r>
        <w:rPr>
          <w:color w:val="auto"/>
          <w:highlight w:val="none"/>
        </w:rPr>
        <w:tab/>
      </w:r>
      <w:r>
        <w:rPr>
          <w:color w:val="auto"/>
          <w:highlight w:val="none"/>
        </w:rPr>
        <w:fldChar w:fldCharType="begin"/>
      </w:r>
      <w:r>
        <w:rPr>
          <w:color w:val="auto"/>
          <w:highlight w:val="none"/>
        </w:rPr>
        <w:instrText xml:space="preserve"> PAGEREF _Toc187761575 \h </w:instrText>
      </w:r>
      <w:r>
        <w:rPr>
          <w:color w:val="auto"/>
          <w:highlight w:val="none"/>
        </w:rPr>
        <w:fldChar w:fldCharType="separate"/>
      </w:r>
      <w:r>
        <w:rPr>
          <w:color w:val="auto"/>
          <w:highlight w:val="none"/>
        </w:rPr>
        <w:t>117</w:t>
      </w:r>
      <w:r>
        <w:rPr>
          <w:color w:val="auto"/>
          <w:highlight w:val="none"/>
        </w:rPr>
        <w:fldChar w:fldCharType="end"/>
      </w:r>
      <w:r>
        <w:rPr>
          <w:color w:val="auto"/>
          <w:highlight w:val="none"/>
        </w:rPr>
        <w:fldChar w:fldCharType="end"/>
      </w:r>
    </w:p>
    <w:p w14:paraId="6B8901C3">
      <w:pPr>
        <w:pStyle w:val="32"/>
        <w:keepNext w:val="0"/>
        <w:keepLines w:val="0"/>
        <w:pageBreakBefore w:val="0"/>
        <w:widowControl w:val="0"/>
        <w:tabs>
          <w:tab w:val="right" w:leader="dot" w:pos="9628"/>
        </w:tabs>
        <w:kinsoku/>
        <w:wordWrap/>
        <w:overflowPunct/>
        <w:topLinePunct w:val="0"/>
        <w:autoSpaceDE/>
        <w:autoSpaceDN/>
        <w:bidi w:val="0"/>
        <w:adjustRightInd/>
        <w:snapToGrid/>
        <w:spacing w:line="400" w:lineRule="exact"/>
        <w:textAlignment w:val="auto"/>
        <w:rPr>
          <w:rFonts w:asciiTheme="minorHAnsi" w:hAnsiTheme="minorHAnsi" w:eastAsiaTheme="minorEastAsia" w:cstheme="minorBidi"/>
          <w:b w:val="0"/>
          <w:bCs w:val="0"/>
          <w:smallCaps w:val="0"/>
          <w:color w:val="auto"/>
          <w:sz w:val="21"/>
          <w:highlight w:val="none"/>
        </w:rPr>
      </w:pPr>
      <w:r>
        <w:rPr>
          <w:color w:val="auto"/>
          <w:highlight w:val="none"/>
        </w:rPr>
        <w:fldChar w:fldCharType="begin"/>
      </w:r>
      <w:r>
        <w:rPr>
          <w:color w:val="auto"/>
          <w:highlight w:val="none"/>
        </w:rPr>
        <w:instrText xml:space="preserve"> HYPERLINK \l "_Toc187761576" </w:instrText>
      </w:r>
      <w:r>
        <w:rPr>
          <w:color w:val="auto"/>
          <w:highlight w:val="none"/>
        </w:rPr>
        <w:fldChar w:fldCharType="separate"/>
      </w:r>
      <w:r>
        <w:rPr>
          <w:rStyle w:val="44"/>
          <w:rFonts w:hAnsi="宋体"/>
          <w:color w:val="auto"/>
          <w:highlight w:val="none"/>
        </w:rPr>
        <w:t>第五节 报价文件格式</w:t>
      </w:r>
      <w:r>
        <w:rPr>
          <w:color w:val="auto"/>
          <w:highlight w:val="none"/>
        </w:rPr>
        <w:tab/>
      </w:r>
      <w:r>
        <w:rPr>
          <w:color w:val="auto"/>
          <w:highlight w:val="none"/>
        </w:rPr>
        <w:fldChar w:fldCharType="begin"/>
      </w:r>
      <w:r>
        <w:rPr>
          <w:color w:val="auto"/>
          <w:highlight w:val="none"/>
        </w:rPr>
        <w:instrText xml:space="preserve"> PAGEREF _Toc187761576 \h </w:instrText>
      </w:r>
      <w:r>
        <w:rPr>
          <w:color w:val="auto"/>
          <w:highlight w:val="none"/>
        </w:rPr>
        <w:fldChar w:fldCharType="separate"/>
      </w:r>
      <w:r>
        <w:rPr>
          <w:color w:val="auto"/>
          <w:highlight w:val="none"/>
        </w:rPr>
        <w:t>127</w:t>
      </w:r>
      <w:r>
        <w:rPr>
          <w:color w:val="auto"/>
          <w:highlight w:val="none"/>
        </w:rPr>
        <w:fldChar w:fldCharType="end"/>
      </w:r>
      <w:r>
        <w:rPr>
          <w:color w:val="auto"/>
          <w:highlight w:val="none"/>
        </w:rPr>
        <w:fldChar w:fldCharType="end"/>
      </w:r>
    </w:p>
    <w:p w14:paraId="44323E13">
      <w:pPr>
        <w:pStyle w:val="32"/>
        <w:keepNext w:val="0"/>
        <w:keepLines w:val="0"/>
        <w:pageBreakBefore w:val="0"/>
        <w:widowControl w:val="0"/>
        <w:tabs>
          <w:tab w:val="right" w:leader="dot" w:pos="9628"/>
        </w:tabs>
        <w:kinsoku/>
        <w:wordWrap/>
        <w:overflowPunct/>
        <w:topLinePunct w:val="0"/>
        <w:autoSpaceDE/>
        <w:autoSpaceDN/>
        <w:bidi w:val="0"/>
        <w:adjustRightInd/>
        <w:snapToGrid/>
        <w:spacing w:line="400" w:lineRule="exact"/>
        <w:textAlignment w:val="auto"/>
        <w:rPr>
          <w:rFonts w:asciiTheme="minorHAnsi" w:hAnsiTheme="minorHAnsi" w:eastAsiaTheme="minorEastAsia" w:cstheme="minorBidi"/>
          <w:b w:val="0"/>
          <w:bCs w:val="0"/>
          <w:smallCaps w:val="0"/>
          <w:color w:val="auto"/>
          <w:sz w:val="21"/>
          <w:highlight w:val="none"/>
        </w:rPr>
      </w:pPr>
      <w:r>
        <w:rPr>
          <w:color w:val="auto"/>
          <w:highlight w:val="none"/>
        </w:rPr>
        <w:fldChar w:fldCharType="begin"/>
      </w:r>
      <w:r>
        <w:rPr>
          <w:color w:val="auto"/>
          <w:highlight w:val="none"/>
        </w:rPr>
        <w:instrText xml:space="preserve"> HYPERLINK \l "_Toc187761577" </w:instrText>
      </w:r>
      <w:r>
        <w:rPr>
          <w:color w:val="auto"/>
          <w:highlight w:val="none"/>
        </w:rPr>
        <w:fldChar w:fldCharType="separate"/>
      </w:r>
      <w:r>
        <w:rPr>
          <w:rStyle w:val="44"/>
          <w:rFonts w:ascii="宋体" w:hAnsi="宋体"/>
          <w:color w:val="auto"/>
          <w:highlight w:val="none"/>
        </w:rPr>
        <w:t>第六节 其他文书、文件格式</w:t>
      </w:r>
      <w:r>
        <w:rPr>
          <w:color w:val="auto"/>
          <w:highlight w:val="none"/>
        </w:rPr>
        <w:tab/>
      </w:r>
      <w:r>
        <w:rPr>
          <w:color w:val="auto"/>
          <w:highlight w:val="none"/>
        </w:rPr>
        <w:fldChar w:fldCharType="begin"/>
      </w:r>
      <w:r>
        <w:rPr>
          <w:color w:val="auto"/>
          <w:highlight w:val="none"/>
        </w:rPr>
        <w:instrText xml:space="preserve"> PAGEREF _Toc187761577 \h </w:instrText>
      </w:r>
      <w:r>
        <w:rPr>
          <w:color w:val="auto"/>
          <w:highlight w:val="none"/>
        </w:rPr>
        <w:fldChar w:fldCharType="separate"/>
      </w:r>
      <w:r>
        <w:rPr>
          <w:color w:val="auto"/>
          <w:highlight w:val="none"/>
        </w:rPr>
        <w:t>134</w:t>
      </w:r>
      <w:r>
        <w:rPr>
          <w:color w:val="auto"/>
          <w:highlight w:val="none"/>
        </w:rPr>
        <w:fldChar w:fldCharType="end"/>
      </w:r>
      <w:r>
        <w:rPr>
          <w:color w:val="auto"/>
          <w:highlight w:val="none"/>
        </w:rPr>
        <w:fldChar w:fldCharType="end"/>
      </w:r>
    </w:p>
    <w:p w14:paraId="5DAC65C8">
      <w:pPr>
        <w:pStyle w:val="28"/>
        <w:keepNext w:val="0"/>
        <w:keepLines w:val="0"/>
        <w:pageBreakBefore w:val="0"/>
        <w:widowControl w:val="0"/>
        <w:tabs>
          <w:tab w:val="right" w:leader="dot" w:pos="9628"/>
        </w:tabs>
        <w:kinsoku/>
        <w:wordWrap/>
        <w:overflowPunct/>
        <w:topLinePunct w:val="0"/>
        <w:autoSpaceDE/>
        <w:autoSpaceDN/>
        <w:bidi w:val="0"/>
        <w:adjustRightInd/>
        <w:snapToGrid/>
        <w:spacing w:before="0" w:after="0" w:line="400" w:lineRule="exact"/>
        <w:textAlignment w:val="auto"/>
        <w:rPr>
          <w:rFonts w:asciiTheme="minorHAnsi" w:hAnsiTheme="minorHAnsi" w:eastAsiaTheme="minorEastAsia" w:cstheme="minorBidi"/>
          <w:b w:val="0"/>
          <w:bCs w:val="0"/>
          <w:caps w:val="0"/>
          <w:color w:val="auto"/>
          <w:sz w:val="21"/>
          <w:highlight w:val="none"/>
          <w:u w:val="none"/>
        </w:rPr>
      </w:pPr>
      <w:r>
        <w:rPr>
          <w:color w:val="auto"/>
          <w:highlight w:val="none"/>
        </w:rPr>
        <w:fldChar w:fldCharType="begin"/>
      </w:r>
      <w:r>
        <w:rPr>
          <w:color w:val="auto"/>
          <w:highlight w:val="none"/>
        </w:rPr>
        <w:instrText xml:space="preserve"> HYPERLINK \l "_Toc187761578" </w:instrText>
      </w:r>
      <w:r>
        <w:rPr>
          <w:color w:val="auto"/>
          <w:highlight w:val="none"/>
        </w:rPr>
        <w:fldChar w:fldCharType="separate"/>
      </w:r>
      <w:r>
        <w:rPr>
          <w:rStyle w:val="44"/>
          <w:rFonts w:ascii="Times New Roman" w:hAnsi="Times New Roman"/>
          <w:color w:val="auto"/>
          <w:highlight w:val="none"/>
        </w:rPr>
        <w:t>第七章质疑、投诉证明材料格式</w:t>
      </w:r>
      <w:r>
        <w:rPr>
          <w:color w:val="auto"/>
          <w:highlight w:val="none"/>
        </w:rPr>
        <w:tab/>
      </w:r>
      <w:r>
        <w:rPr>
          <w:color w:val="auto"/>
          <w:highlight w:val="none"/>
        </w:rPr>
        <w:fldChar w:fldCharType="begin"/>
      </w:r>
      <w:r>
        <w:rPr>
          <w:color w:val="auto"/>
          <w:highlight w:val="none"/>
        </w:rPr>
        <w:instrText xml:space="preserve"> PAGEREF _Toc187761578 \h </w:instrText>
      </w:r>
      <w:r>
        <w:rPr>
          <w:color w:val="auto"/>
          <w:highlight w:val="none"/>
        </w:rPr>
        <w:fldChar w:fldCharType="separate"/>
      </w:r>
      <w:r>
        <w:rPr>
          <w:color w:val="auto"/>
          <w:highlight w:val="none"/>
        </w:rPr>
        <w:t>137</w:t>
      </w:r>
      <w:r>
        <w:rPr>
          <w:color w:val="auto"/>
          <w:highlight w:val="none"/>
        </w:rPr>
        <w:fldChar w:fldCharType="end"/>
      </w:r>
      <w:r>
        <w:rPr>
          <w:color w:val="auto"/>
          <w:highlight w:val="none"/>
        </w:rPr>
        <w:fldChar w:fldCharType="end"/>
      </w:r>
    </w:p>
    <w:p w14:paraId="6A806041">
      <w:pPr>
        <w:pStyle w:val="32"/>
        <w:keepNext w:val="0"/>
        <w:keepLines w:val="0"/>
        <w:pageBreakBefore w:val="0"/>
        <w:widowControl w:val="0"/>
        <w:tabs>
          <w:tab w:val="right" w:leader="dot" w:pos="9628"/>
        </w:tabs>
        <w:kinsoku/>
        <w:wordWrap/>
        <w:overflowPunct/>
        <w:topLinePunct w:val="0"/>
        <w:autoSpaceDE/>
        <w:autoSpaceDN/>
        <w:bidi w:val="0"/>
        <w:adjustRightInd/>
        <w:snapToGrid/>
        <w:spacing w:line="400" w:lineRule="exact"/>
        <w:textAlignment w:val="auto"/>
        <w:rPr>
          <w:rFonts w:asciiTheme="minorHAnsi" w:hAnsiTheme="minorHAnsi" w:eastAsiaTheme="minorEastAsia" w:cstheme="minorBidi"/>
          <w:b w:val="0"/>
          <w:bCs w:val="0"/>
          <w:smallCaps w:val="0"/>
          <w:color w:val="auto"/>
          <w:sz w:val="21"/>
          <w:highlight w:val="none"/>
        </w:rPr>
      </w:pPr>
      <w:r>
        <w:rPr>
          <w:color w:val="auto"/>
          <w:highlight w:val="none"/>
        </w:rPr>
        <w:fldChar w:fldCharType="begin"/>
      </w:r>
      <w:r>
        <w:rPr>
          <w:color w:val="auto"/>
          <w:highlight w:val="none"/>
        </w:rPr>
        <w:instrText xml:space="preserve"> HYPERLINK \l "_Toc187761579" </w:instrText>
      </w:r>
      <w:r>
        <w:rPr>
          <w:color w:val="auto"/>
          <w:highlight w:val="none"/>
        </w:rPr>
        <w:fldChar w:fldCharType="separate"/>
      </w:r>
      <w:r>
        <w:rPr>
          <w:rStyle w:val="44"/>
          <w:rFonts w:ascii="宋体" w:hAnsi="宋体"/>
          <w:color w:val="auto"/>
          <w:highlight w:val="none"/>
        </w:rPr>
        <w:t>第一节 质疑函（格式）</w:t>
      </w:r>
      <w:r>
        <w:rPr>
          <w:color w:val="auto"/>
          <w:highlight w:val="none"/>
        </w:rPr>
        <w:tab/>
      </w:r>
      <w:r>
        <w:rPr>
          <w:color w:val="auto"/>
          <w:highlight w:val="none"/>
        </w:rPr>
        <w:fldChar w:fldCharType="begin"/>
      </w:r>
      <w:r>
        <w:rPr>
          <w:color w:val="auto"/>
          <w:highlight w:val="none"/>
        </w:rPr>
        <w:instrText xml:space="preserve"> PAGEREF _Toc187761579 \h </w:instrText>
      </w:r>
      <w:r>
        <w:rPr>
          <w:color w:val="auto"/>
          <w:highlight w:val="none"/>
        </w:rPr>
        <w:fldChar w:fldCharType="separate"/>
      </w:r>
      <w:r>
        <w:rPr>
          <w:color w:val="auto"/>
          <w:highlight w:val="none"/>
        </w:rPr>
        <w:t>138</w:t>
      </w:r>
      <w:r>
        <w:rPr>
          <w:color w:val="auto"/>
          <w:highlight w:val="none"/>
        </w:rPr>
        <w:fldChar w:fldCharType="end"/>
      </w:r>
      <w:r>
        <w:rPr>
          <w:color w:val="auto"/>
          <w:highlight w:val="none"/>
        </w:rPr>
        <w:fldChar w:fldCharType="end"/>
      </w:r>
    </w:p>
    <w:p w14:paraId="48F015AF">
      <w:pPr>
        <w:pStyle w:val="32"/>
        <w:keepNext w:val="0"/>
        <w:keepLines w:val="0"/>
        <w:pageBreakBefore w:val="0"/>
        <w:widowControl w:val="0"/>
        <w:tabs>
          <w:tab w:val="right" w:leader="dot" w:pos="9628"/>
        </w:tabs>
        <w:kinsoku/>
        <w:wordWrap/>
        <w:overflowPunct/>
        <w:topLinePunct w:val="0"/>
        <w:autoSpaceDE/>
        <w:autoSpaceDN/>
        <w:bidi w:val="0"/>
        <w:adjustRightInd/>
        <w:snapToGrid/>
        <w:spacing w:line="400" w:lineRule="exact"/>
        <w:textAlignment w:val="auto"/>
        <w:rPr>
          <w:rFonts w:asciiTheme="minorHAnsi" w:hAnsiTheme="minorHAnsi" w:eastAsiaTheme="minorEastAsia" w:cstheme="minorBidi"/>
          <w:b w:val="0"/>
          <w:bCs w:val="0"/>
          <w:smallCaps w:val="0"/>
          <w:color w:val="auto"/>
          <w:sz w:val="21"/>
          <w:highlight w:val="none"/>
        </w:rPr>
      </w:pPr>
      <w:r>
        <w:rPr>
          <w:color w:val="auto"/>
          <w:highlight w:val="none"/>
        </w:rPr>
        <w:fldChar w:fldCharType="begin"/>
      </w:r>
      <w:r>
        <w:rPr>
          <w:color w:val="auto"/>
          <w:highlight w:val="none"/>
        </w:rPr>
        <w:instrText xml:space="preserve"> HYPERLINK \l "_Toc187761580" </w:instrText>
      </w:r>
      <w:r>
        <w:rPr>
          <w:color w:val="auto"/>
          <w:highlight w:val="none"/>
        </w:rPr>
        <w:fldChar w:fldCharType="separate"/>
      </w:r>
      <w:r>
        <w:rPr>
          <w:rStyle w:val="44"/>
          <w:rFonts w:ascii="宋体" w:hAnsi="宋体"/>
          <w:color w:val="auto"/>
          <w:highlight w:val="none"/>
        </w:rPr>
        <w:t>第二节 投诉书（格式）</w:t>
      </w:r>
      <w:r>
        <w:rPr>
          <w:color w:val="auto"/>
          <w:highlight w:val="none"/>
        </w:rPr>
        <w:tab/>
      </w:r>
      <w:r>
        <w:rPr>
          <w:color w:val="auto"/>
          <w:highlight w:val="none"/>
        </w:rPr>
        <w:fldChar w:fldCharType="begin"/>
      </w:r>
      <w:r>
        <w:rPr>
          <w:color w:val="auto"/>
          <w:highlight w:val="none"/>
        </w:rPr>
        <w:instrText xml:space="preserve"> PAGEREF _Toc187761580 \h </w:instrText>
      </w:r>
      <w:r>
        <w:rPr>
          <w:color w:val="auto"/>
          <w:highlight w:val="none"/>
        </w:rPr>
        <w:fldChar w:fldCharType="separate"/>
      </w:r>
      <w:r>
        <w:rPr>
          <w:color w:val="auto"/>
          <w:highlight w:val="none"/>
        </w:rPr>
        <w:t>141</w:t>
      </w:r>
      <w:r>
        <w:rPr>
          <w:color w:val="auto"/>
          <w:highlight w:val="none"/>
        </w:rPr>
        <w:fldChar w:fldCharType="end"/>
      </w:r>
      <w:r>
        <w:rPr>
          <w:color w:val="auto"/>
          <w:highlight w:val="none"/>
        </w:rPr>
        <w:fldChar w:fldCharType="end"/>
      </w:r>
    </w:p>
    <w:p w14:paraId="182756C8">
      <w:pPr>
        <w:pStyle w:val="7"/>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ascii="Calibri" w:hAnsi="宋体"/>
          <w:bCs/>
          <w:caps/>
          <w:color w:val="auto"/>
          <w:szCs w:val="28"/>
          <w:highlight w:val="none"/>
        </w:rPr>
      </w:pPr>
      <w:r>
        <w:rPr>
          <w:rFonts w:ascii="Calibri" w:hAnsi="宋体"/>
          <w:bCs/>
          <w:caps/>
          <w:color w:val="auto"/>
          <w:szCs w:val="28"/>
          <w:highlight w:val="none"/>
        </w:rPr>
        <w:fldChar w:fldCharType="end"/>
      </w:r>
    </w:p>
    <w:p w14:paraId="4E9FBAA8">
      <w:pPr>
        <w:pStyle w:val="7"/>
        <w:spacing w:line="300" w:lineRule="exact"/>
        <w:jc w:val="center"/>
        <w:rPr>
          <w:rFonts w:ascii="Calibri" w:hAnsi="宋体"/>
          <w:bCs/>
          <w:caps/>
          <w:color w:val="auto"/>
          <w:szCs w:val="28"/>
          <w:highlight w:val="none"/>
          <w:u w:val="single"/>
        </w:rPr>
        <w:sectPr>
          <w:footerReference r:id="rId5" w:type="default"/>
          <w:pgSz w:w="11906" w:h="16838"/>
          <w:pgMar w:top="1134" w:right="1134" w:bottom="1134" w:left="1134" w:header="720" w:footer="720" w:gutter="0"/>
          <w:pgNumType w:fmt="decimal" w:start="1"/>
          <w:cols w:space="720" w:num="1"/>
          <w:docGrid w:type="lines" w:linePitch="331" w:charSpace="0"/>
        </w:sectPr>
      </w:pPr>
    </w:p>
    <w:p w14:paraId="32C0B03D">
      <w:pPr>
        <w:pStyle w:val="7"/>
        <w:spacing w:line="300" w:lineRule="exact"/>
        <w:jc w:val="center"/>
        <w:rPr>
          <w:rFonts w:ascii="Calibri" w:hAnsi="宋体"/>
          <w:bCs/>
          <w:caps/>
          <w:color w:val="auto"/>
          <w:szCs w:val="28"/>
          <w:highlight w:val="none"/>
          <w:u w:val="single"/>
        </w:rPr>
      </w:pPr>
    </w:p>
    <w:p w14:paraId="6F8D7D2B">
      <w:pPr>
        <w:pStyle w:val="7"/>
        <w:jc w:val="center"/>
        <w:outlineLvl w:val="0"/>
        <w:rPr>
          <w:rFonts w:hint="eastAsia" w:ascii="Times New Roman" w:hAnsi="Times New Roman" w:eastAsia="宋体" w:cs="Times New Roman"/>
          <w:b/>
          <w:color w:val="auto"/>
          <w:sz w:val="36"/>
          <w:highlight w:val="none"/>
        </w:rPr>
      </w:pPr>
      <w:r>
        <w:rPr>
          <w:rFonts w:hint="eastAsia" w:ascii="Times New Roman" w:hAnsi="Times New Roman" w:eastAsia="宋体" w:cs="Times New Roman"/>
          <w:b/>
          <w:color w:val="auto"/>
          <w:sz w:val="36"/>
          <w:highlight w:val="none"/>
        </w:rPr>
        <w:tab/>
      </w:r>
      <w:bookmarkStart w:id="0" w:name="_Toc532545041"/>
      <w:r>
        <w:rPr>
          <w:rFonts w:hint="eastAsia" w:ascii="Times New Roman" w:hAnsi="Times New Roman" w:eastAsia="宋体" w:cs="Times New Roman"/>
          <w:b/>
          <w:color w:val="auto"/>
          <w:sz w:val="36"/>
          <w:highlight w:val="none"/>
        </w:rPr>
        <w:t>第一章招标公告</w:t>
      </w:r>
      <w:bookmarkEnd w:id="0"/>
    </w:p>
    <w:p w14:paraId="6150F532">
      <w:pPr>
        <w:pStyle w:val="7"/>
        <w:jc w:val="center"/>
        <w:rPr>
          <w:rFonts w:hint="eastAsia" w:ascii="宋体" w:hAnsi="宋体" w:eastAsia="宋体" w:cs="宋体"/>
          <w:b/>
          <w:color w:val="auto"/>
          <w:sz w:val="30"/>
          <w:szCs w:val="30"/>
          <w:highlight w:val="none"/>
        </w:rPr>
      </w:pPr>
      <w:r>
        <w:rPr>
          <w:rFonts w:hint="eastAsia" w:ascii="宋体" w:hAnsi="宋体" w:eastAsia="宋体" w:cs="宋体"/>
          <w:b/>
          <w:color w:val="auto"/>
          <w:sz w:val="30"/>
          <w:szCs w:val="30"/>
          <w:highlight w:val="none"/>
        </w:rPr>
        <w:t>公开招标公告</w:t>
      </w:r>
    </w:p>
    <w:p w14:paraId="780E65E0">
      <w:pPr>
        <w:pBdr>
          <w:top w:val="single" w:color="auto" w:sz="4" w:space="1"/>
          <w:left w:val="single" w:color="auto" w:sz="4" w:space="4"/>
          <w:bottom w:val="single" w:color="auto" w:sz="4" w:space="1"/>
          <w:right w:val="single" w:color="auto" w:sz="4" w:space="4"/>
        </w:pBdr>
        <w:spacing w:line="360" w:lineRule="auto"/>
        <w:ind w:firstLine="420" w:firstLineChars="20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项目概况</w:t>
      </w:r>
    </w:p>
    <w:p w14:paraId="3AB2FF09">
      <w:pPr>
        <w:pBdr>
          <w:top w:val="single" w:color="auto" w:sz="4" w:space="1"/>
          <w:left w:val="single" w:color="auto" w:sz="4" w:space="4"/>
          <w:bottom w:val="single" w:color="auto" w:sz="4" w:space="1"/>
          <w:right w:val="single" w:color="auto" w:sz="4" w:space="4"/>
        </w:pBdr>
        <w:spacing w:line="360" w:lineRule="auto"/>
        <w:ind w:firstLine="525" w:firstLineChars="25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u w:val="single"/>
        </w:rPr>
        <w:t>南宁市卫生学校口腔专业AI国际化智慧课程及资源库建设</w:t>
      </w:r>
      <w:r>
        <w:rPr>
          <w:rFonts w:hint="eastAsia" w:ascii="宋体" w:hAnsi="宋体" w:eastAsia="宋体" w:cs="宋体"/>
          <w:color w:val="auto"/>
          <w:sz w:val="21"/>
          <w:szCs w:val="21"/>
          <w:highlight w:val="none"/>
          <w:u w:val="none"/>
          <w:lang w:val="en-US" w:eastAsia="zh-CN"/>
        </w:rPr>
        <w:t>项目</w:t>
      </w:r>
      <w:r>
        <w:rPr>
          <w:rFonts w:hint="eastAsia" w:ascii="宋体" w:hAnsi="宋体" w:eastAsia="宋体" w:cs="宋体"/>
          <w:color w:val="auto"/>
          <w:sz w:val="21"/>
          <w:szCs w:val="21"/>
          <w:highlight w:val="none"/>
        </w:rPr>
        <w:t>的潜在投标人应在广西政府采购云平台（https://www.gcy.zfcg.gxzf.gov.cn/）获取（下载）招标文件，并于2026年</w:t>
      </w:r>
      <w:r>
        <w:rPr>
          <w:rFonts w:hint="eastAsia" w:ascii="宋体" w:hAnsi="宋体" w:cs="宋体"/>
          <w:color w:val="auto"/>
          <w:sz w:val="21"/>
          <w:szCs w:val="21"/>
          <w:highlight w:val="none"/>
          <w:lang w:val="en-US" w:eastAsia="zh-CN"/>
        </w:rPr>
        <w:t>6</w:t>
      </w:r>
      <w:r>
        <w:rPr>
          <w:rFonts w:hint="eastAsia" w:ascii="宋体" w:hAnsi="宋体" w:eastAsia="宋体" w:cs="宋体"/>
          <w:color w:val="auto"/>
          <w:sz w:val="21"/>
          <w:szCs w:val="21"/>
          <w:highlight w:val="none"/>
        </w:rPr>
        <w:t>月</w:t>
      </w:r>
      <w:r>
        <w:rPr>
          <w:rFonts w:hint="eastAsia" w:ascii="宋体" w:hAnsi="宋体" w:cs="宋体"/>
          <w:color w:val="auto"/>
          <w:sz w:val="21"/>
          <w:szCs w:val="21"/>
          <w:highlight w:val="none"/>
          <w:lang w:val="en-US" w:eastAsia="zh-CN"/>
        </w:rPr>
        <w:t>9</w:t>
      </w:r>
      <w:r>
        <w:rPr>
          <w:rFonts w:hint="eastAsia" w:ascii="宋体" w:hAnsi="宋体" w:eastAsia="宋体" w:cs="宋体"/>
          <w:color w:val="auto"/>
          <w:sz w:val="21"/>
          <w:szCs w:val="21"/>
          <w:highlight w:val="none"/>
        </w:rPr>
        <w:t>日9时30分（北京时间）前递交（上传）投标文件。</w:t>
      </w:r>
    </w:p>
    <w:p w14:paraId="17601EE9">
      <w:pPr>
        <w:spacing w:line="360" w:lineRule="auto"/>
        <w:rPr>
          <w:rFonts w:hint="eastAsia" w:ascii="宋体" w:hAnsi="宋体" w:eastAsia="宋体" w:cs="宋体"/>
          <w:b/>
          <w:bCs/>
          <w:color w:val="auto"/>
          <w:sz w:val="21"/>
          <w:szCs w:val="21"/>
          <w:highlight w:val="none"/>
        </w:rPr>
      </w:pPr>
      <w:bookmarkStart w:id="1" w:name="_Toc35393621"/>
      <w:bookmarkStart w:id="2" w:name="_Toc35393790"/>
      <w:bookmarkStart w:id="3" w:name="_Toc28359002"/>
      <w:bookmarkStart w:id="4" w:name="_Toc28359079"/>
      <w:bookmarkStart w:id="5" w:name="_Hlk24379207"/>
      <w:r>
        <w:rPr>
          <w:rFonts w:hint="eastAsia" w:ascii="宋体" w:hAnsi="宋体" w:eastAsia="宋体" w:cs="宋体"/>
          <w:b/>
          <w:bCs/>
          <w:color w:val="auto"/>
          <w:sz w:val="21"/>
          <w:szCs w:val="21"/>
          <w:highlight w:val="none"/>
        </w:rPr>
        <w:t>一、项目基本情况</w:t>
      </w:r>
      <w:bookmarkEnd w:id="1"/>
      <w:bookmarkEnd w:id="2"/>
      <w:bookmarkEnd w:id="3"/>
      <w:bookmarkEnd w:id="4"/>
    </w:p>
    <w:p w14:paraId="558E01B9">
      <w:pPr>
        <w:spacing w:line="360" w:lineRule="auto"/>
        <w:ind w:firstLine="420" w:firstLineChars="20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项目编号：</w:t>
      </w:r>
      <w:r>
        <w:rPr>
          <w:rFonts w:hint="eastAsia" w:ascii="宋体" w:hAnsi="宋体" w:eastAsia="宋体" w:cs="宋体"/>
          <w:color w:val="auto"/>
          <w:sz w:val="21"/>
          <w:szCs w:val="21"/>
          <w:highlight w:val="none"/>
          <w:lang w:val="en-US" w:eastAsia="zh-CN"/>
        </w:rPr>
        <w:t xml:space="preserve"> </w:t>
      </w:r>
      <w:r>
        <w:rPr>
          <w:rFonts w:hint="eastAsia" w:ascii="宋体" w:hAnsi="宋体" w:cs="宋体"/>
          <w:color w:val="auto"/>
          <w:sz w:val="21"/>
          <w:szCs w:val="21"/>
          <w:highlight w:val="none"/>
          <w:lang w:val="en-US" w:eastAsia="zh-CN"/>
        </w:rPr>
        <w:t>NNZC2026-G3-990247-YZLZ</w:t>
      </w:r>
      <w:r>
        <w:rPr>
          <w:rFonts w:hint="eastAsia" w:ascii="宋体" w:hAnsi="宋体" w:eastAsia="宋体" w:cs="宋体"/>
          <w:color w:val="auto"/>
          <w:sz w:val="21"/>
          <w:szCs w:val="21"/>
          <w:highlight w:val="none"/>
        </w:rPr>
        <w:t>（采购计划编号：NNZC[2026]1588号）</w:t>
      </w:r>
    </w:p>
    <w:p w14:paraId="36C74F7C">
      <w:pPr>
        <w:spacing w:line="360" w:lineRule="auto"/>
        <w:ind w:firstLine="420" w:firstLineChars="20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项目名称：</w:t>
      </w:r>
      <w:bookmarkEnd w:id="5"/>
      <w:r>
        <w:rPr>
          <w:rFonts w:hint="eastAsia" w:ascii="宋体" w:hAnsi="宋体" w:eastAsia="宋体" w:cs="宋体"/>
          <w:color w:val="auto"/>
          <w:sz w:val="21"/>
          <w:szCs w:val="21"/>
          <w:highlight w:val="none"/>
        </w:rPr>
        <w:t>南宁市卫生学校口腔专业AI国际化智慧课程及资源库建设</w:t>
      </w:r>
    </w:p>
    <w:p w14:paraId="07584749">
      <w:pPr>
        <w:spacing w:line="360" w:lineRule="auto"/>
        <w:ind w:firstLine="420" w:firstLineChars="20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采购预算：890000.00元</w:t>
      </w:r>
    </w:p>
    <w:p w14:paraId="5B75E210">
      <w:pPr>
        <w:spacing w:line="360" w:lineRule="auto"/>
        <w:ind w:firstLine="420" w:firstLineChars="20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最高限价：890000.00元</w:t>
      </w:r>
    </w:p>
    <w:p w14:paraId="57505F56">
      <w:pPr>
        <w:spacing w:line="360" w:lineRule="auto"/>
        <w:ind w:firstLine="420" w:firstLineChars="20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 xml:space="preserve">采购需求： </w:t>
      </w:r>
    </w:p>
    <w:tbl>
      <w:tblPr>
        <w:tblStyle w:val="37"/>
        <w:tblW w:w="9938" w:type="dxa"/>
        <w:jc w:val="center"/>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643"/>
        <w:gridCol w:w="1614"/>
        <w:gridCol w:w="1052"/>
        <w:gridCol w:w="5072"/>
        <w:gridCol w:w="1557"/>
      </w:tblGrid>
      <w:tr w14:paraId="39446A09">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681" w:hRule="atLeast"/>
          <w:jc w:val="center"/>
        </w:trPr>
        <w:tc>
          <w:tcPr>
            <w:tcW w:w="643" w:type="dxa"/>
            <w:tcBorders>
              <w:top w:val="single" w:color="auto" w:sz="4" w:space="0"/>
              <w:left w:val="single" w:color="auto" w:sz="4" w:space="0"/>
              <w:bottom w:val="single" w:color="auto" w:sz="4" w:space="0"/>
              <w:right w:val="single" w:color="auto" w:sz="4" w:space="0"/>
            </w:tcBorders>
            <w:vAlign w:val="center"/>
          </w:tcPr>
          <w:p w14:paraId="4683ADB7">
            <w:pPr>
              <w:keepNext w:val="0"/>
              <w:keepLines w:val="0"/>
              <w:suppressLineNumbers w:val="0"/>
              <w:snapToGrid w:val="0"/>
              <w:spacing w:before="0" w:beforeAutospacing="0" w:after="0" w:afterAutospacing="0" w:line="360" w:lineRule="auto"/>
              <w:ind w:left="0" w:right="0"/>
              <w:jc w:val="center"/>
              <w:rPr>
                <w:rFonts w:hint="eastAsia" w:ascii="宋体" w:hAnsi="宋体" w:eastAsia="宋体" w:cs="宋体"/>
                <w:b/>
                <w:bCs/>
                <w:color w:val="auto"/>
                <w:sz w:val="21"/>
                <w:szCs w:val="21"/>
                <w:highlight w:val="none"/>
              </w:rPr>
            </w:pPr>
            <w:r>
              <w:rPr>
                <w:rFonts w:hint="eastAsia" w:ascii="宋体" w:hAnsi="宋体" w:eastAsia="宋体" w:cs="宋体"/>
                <w:b/>
                <w:bCs/>
                <w:color w:val="auto"/>
                <w:sz w:val="21"/>
                <w:szCs w:val="21"/>
                <w:highlight w:val="none"/>
              </w:rPr>
              <w:t>序号</w:t>
            </w:r>
          </w:p>
        </w:tc>
        <w:tc>
          <w:tcPr>
            <w:tcW w:w="1614" w:type="dxa"/>
            <w:tcBorders>
              <w:top w:val="single" w:color="auto" w:sz="4" w:space="0"/>
              <w:left w:val="single" w:color="auto" w:sz="4" w:space="0"/>
              <w:bottom w:val="single" w:color="auto" w:sz="4" w:space="0"/>
              <w:right w:val="single" w:color="auto" w:sz="4" w:space="0"/>
            </w:tcBorders>
            <w:vAlign w:val="center"/>
          </w:tcPr>
          <w:p w14:paraId="0A410E76">
            <w:pPr>
              <w:keepNext w:val="0"/>
              <w:keepLines w:val="0"/>
              <w:suppressLineNumbers w:val="0"/>
              <w:snapToGrid w:val="0"/>
              <w:spacing w:before="0" w:beforeAutospacing="0" w:after="0" w:afterAutospacing="0" w:line="360" w:lineRule="auto"/>
              <w:ind w:left="0" w:right="0"/>
              <w:jc w:val="center"/>
              <w:rPr>
                <w:rFonts w:hint="eastAsia" w:ascii="宋体" w:hAnsi="宋体" w:eastAsia="宋体" w:cs="宋体"/>
                <w:b/>
                <w:bCs/>
                <w:color w:val="auto"/>
                <w:sz w:val="21"/>
                <w:szCs w:val="21"/>
                <w:highlight w:val="none"/>
              </w:rPr>
            </w:pPr>
            <w:r>
              <w:rPr>
                <w:rFonts w:hint="eastAsia" w:ascii="宋体" w:hAnsi="宋体" w:eastAsia="宋体" w:cs="宋体"/>
                <w:b/>
                <w:bCs/>
                <w:color w:val="auto"/>
                <w:sz w:val="21"/>
                <w:szCs w:val="21"/>
                <w:highlight w:val="none"/>
              </w:rPr>
              <w:t>标的的名称</w:t>
            </w:r>
          </w:p>
        </w:tc>
        <w:tc>
          <w:tcPr>
            <w:tcW w:w="1052" w:type="dxa"/>
            <w:tcBorders>
              <w:top w:val="single" w:color="auto" w:sz="4" w:space="0"/>
              <w:left w:val="single" w:color="auto" w:sz="4" w:space="0"/>
              <w:bottom w:val="single" w:color="auto" w:sz="4" w:space="0"/>
              <w:right w:val="single" w:color="auto" w:sz="4" w:space="0"/>
            </w:tcBorders>
            <w:vAlign w:val="center"/>
          </w:tcPr>
          <w:p w14:paraId="48658212">
            <w:pPr>
              <w:keepNext w:val="0"/>
              <w:keepLines w:val="0"/>
              <w:suppressLineNumbers w:val="0"/>
              <w:snapToGrid w:val="0"/>
              <w:spacing w:before="0" w:beforeAutospacing="0" w:after="0" w:afterAutospacing="0" w:line="360" w:lineRule="auto"/>
              <w:ind w:left="0" w:right="0"/>
              <w:jc w:val="center"/>
              <w:rPr>
                <w:rFonts w:hint="eastAsia" w:ascii="宋体" w:hAnsi="宋体" w:eastAsia="宋体" w:cs="宋体"/>
                <w:b/>
                <w:bCs/>
                <w:color w:val="auto"/>
                <w:sz w:val="21"/>
                <w:szCs w:val="21"/>
                <w:highlight w:val="none"/>
              </w:rPr>
            </w:pPr>
            <w:r>
              <w:rPr>
                <w:rFonts w:hint="eastAsia" w:ascii="宋体" w:hAnsi="宋体" w:eastAsia="宋体" w:cs="宋体"/>
                <w:b/>
                <w:bCs/>
                <w:color w:val="auto"/>
                <w:sz w:val="21"/>
                <w:szCs w:val="21"/>
                <w:highlight w:val="none"/>
              </w:rPr>
              <w:t>数量</w:t>
            </w:r>
            <w:r>
              <w:rPr>
                <w:rFonts w:hint="eastAsia" w:ascii="宋体" w:hAnsi="宋体" w:cs="宋体"/>
                <w:b/>
                <w:bCs/>
                <w:color w:val="auto"/>
                <w:sz w:val="21"/>
                <w:szCs w:val="21"/>
                <w:highlight w:val="none"/>
                <w:lang w:val="en-US" w:eastAsia="zh-CN"/>
              </w:rPr>
              <w:t>及</w:t>
            </w:r>
            <w:r>
              <w:rPr>
                <w:rFonts w:hint="eastAsia" w:ascii="宋体" w:hAnsi="宋体" w:eastAsia="宋体" w:cs="宋体"/>
                <w:b/>
                <w:bCs/>
                <w:color w:val="auto"/>
                <w:sz w:val="21"/>
                <w:szCs w:val="21"/>
                <w:highlight w:val="none"/>
              </w:rPr>
              <w:t>单位</w:t>
            </w:r>
          </w:p>
        </w:tc>
        <w:tc>
          <w:tcPr>
            <w:tcW w:w="5072" w:type="dxa"/>
            <w:tcBorders>
              <w:top w:val="single" w:color="auto" w:sz="4" w:space="0"/>
              <w:left w:val="single" w:color="auto" w:sz="4" w:space="0"/>
              <w:bottom w:val="single" w:color="auto" w:sz="4" w:space="0"/>
              <w:right w:val="single" w:color="auto" w:sz="4" w:space="0"/>
            </w:tcBorders>
            <w:vAlign w:val="center"/>
          </w:tcPr>
          <w:p w14:paraId="217B7338">
            <w:pPr>
              <w:keepNext w:val="0"/>
              <w:keepLines w:val="0"/>
              <w:suppressLineNumbers w:val="0"/>
              <w:snapToGrid w:val="0"/>
              <w:spacing w:before="0" w:beforeAutospacing="0" w:after="0" w:afterAutospacing="0" w:line="360" w:lineRule="auto"/>
              <w:ind w:left="0" w:right="0"/>
              <w:jc w:val="center"/>
              <w:rPr>
                <w:rFonts w:hint="eastAsia" w:ascii="宋体" w:hAnsi="宋体" w:eastAsia="宋体" w:cs="宋体"/>
                <w:b/>
                <w:bCs/>
                <w:color w:val="auto"/>
                <w:sz w:val="21"/>
                <w:szCs w:val="21"/>
                <w:highlight w:val="none"/>
              </w:rPr>
            </w:pPr>
            <w:r>
              <w:rPr>
                <w:rFonts w:hint="eastAsia" w:ascii="宋体" w:hAnsi="宋体" w:eastAsia="宋体" w:cs="宋体"/>
                <w:b/>
                <w:bCs/>
                <w:color w:val="auto"/>
                <w:sz w:val="21"/>
                <w:szCs w:val="21"/>
                <w:highlight w:val="none"/>
              </w:rPr>
              <w:t>简要服务要求或者技术需求</w:t>
            </w:r>
          </w:p>
        </w:tc>
        <w:tc>
          <w:tcPr>
            <w:tcW w:w="1557" w:type="dxa"/>
            <w:tcBorders>
              <w:top w:val="single" w:color="auto" w:sz="4" w:space="0"/>
              <w:bottom w:val="single" w:color="auto" w:sz="4" w:space="0"/>
            </w:tcBorders>
            <w:shd w:val="clear" w:color="auto" w:fill="auto"/>
            <w:vAlign w:val="center"/>
          </w:tcPr>
          <w:p w14:paraId="362D1804">
            <w:pPr>
              <w:keepNext w:val="0"/>
              <w:keepLines w:val="0"/>
              <w:suppressLineNumbers w:val="0"/>
              <w:snapToGrid w:val="0"/>
              <w:spacing w:before="0" w:beforeAutospacing="0" w:after="0" w:afterAutospacing="0" w:line="360" w:lineRule="auto"/>
              <w:ind w:left="0" w:right="0"/>
              <w:jc w:val="center"/>
              <w:rPr>
                <w:rFonts w:hint="eastAsia" w:ascii="宋体" w:hAnsi="宋体" w:eastAsia="宋体" w:cs="宋体"/>
                <w:b/>
                <w:bCs/>
                <w:color w:val="auto"/>
                <w:sz w:val="21"/>
                <w:szCs w:val="21"/>
                <w:highlight w:val="none"/>
              </w:rPr>
            </w:pPr>
            <w:r>
              <w:rPr>
                <w:rFonts w:hint="eastAsia" w:ascii="宋体" w:hAnsi="宋体" w:eastAsia="宋体" w:cs="宋体"/>
                <w:b/>
                <w:bCs/>
                <w:color w:val="auto"/>
                <w:sz w:val="21"/>
                <w:szCs w:val="21"/>
                <w:highlight w:val="none"/>
              </w:rPr>
              <w:t>最高限价（元）</w:t>
            </w:r>
          </w:p>
        </w:tc>
      </w:tr>
      <w:tr w14:paraId="3E2107D3">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1044" w:hRule="atLeast"/>
          <w:jc w:val="center"/>
        </w:trPr>
        <w:tc>
          <w:tcPr>
            <w:tcW w:w="643" w:type="dxa"/>
            <w:tcBorders>
              <w:top w:val="single" w:color="auto" w:sz="4" w:space="0"/>
              <w:left w:val="single" w:color="auto" w:sz="4" w:space="0"/>
              <w:bottom w:val="single" w:color="auto" w:sz="4" w:space="0"/>
              <w:right w:val="single" w:color="auto" w:sz="4" w:space="0"/>
            </w:tcBorders>
            <w:vAlign w:val="center"/>
          </w:tcPr>
          <w:p w14:paraId="2003B1E7">
            <w:pPr>
              <w:keepNext w:val="0"/>
              <w:keepLines w:val="0"/>
              <w:suppressLineNumbers w:val="0"/>
              <w:snapToGrid w:val="0"/>
              <w:spacing w:before="0" w:beforeAutospacing="0" w:after="0" w:afterAutospacing="0" w:line="360" w:lineRule="auto"/>
              <w:ind w:left="0" w:right="0"/>
              <w:jc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w:t>
            </w:r>
          </w:p>
        </w:tc>
        <w:tc>
          <w:tcPr>
            <w:tcW w:w="1614" w:type="dxa"/>
            <w:tcBorders>
              <w:top w:val="single" w:color="auto" w:sz="4" w:space="0"/>
              <w:left w:val="single" w:color="auto" w:sz="4" w:space="0"/>
              <w:bottom w:val="single" w:color="auto" w:sz="4" w:space="0"/>
              <w:right w:val="single" w:color="auto" w:sz="4" w:space="0"/>
            </w:tcBorders>
            <w:vAlign w:val="center"/>
          </w:tcPr>
          <w:p w14:paraId="2EC41D4C">
            <w:pPr>
              <w:keepNext w:val="0"/>
              <w:keepLines w:val="0"/>
              <w:suppressLineNumbers w:val="0"/>
              <w:spacing w:before="0" w:beforeAutospacing="0" w:after="0" w:afterAutospacing="0"/>
              <w:ind w:left="0" w:right="0"/>
              <w:jc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val="en-US" w:eastAsia="zh-CN"/>
              </w:rPr>
              <w:t>口腔修复工艺专业群——智慧课程建设</w:t>
            </w:r>
          </w:p>
        </w:tc>
        <w:tc>
          <w:tcPr>
            <w:tcW w:w="1052" w:type="dxa"/>
            <w:tcBorders>
              <w:top w:val="single" w:color="auto" w:sz="4" w:space="0"/>
              <w:left w:val="single" w:color="auto" w:sz="4" w:space="0"/>
              <w:bottom w:val="single" w:color="auto" w:sz="4" w:space="0"/>
              <w:right w:val="single" w:color="auto" w:sz="4" w:space="0"/>
            </w:tcBorders>
            <w:vAlign w:val="center"/>
          </w:tcPr>
          <w:p w14:paraId="32F91C34">
            <w:pPr>
              <w:keepNext w:val="0"/>
              <w:keepLines w:val="0"/>
              <w:suppressLineNumbers w:val="0"/>
              <w:spacing w:before="0" w:beforeAutospacing="0" w:after="0" w:afterAutospacing="0"/>
              <w:ind w:left="0" w:right="0"/>
              <w:jc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1项</w:t>
            </w:r>
          </w:p>
        </w:tc>
        <w:tc>
          <w:tcPr>
            <w:tcW w:w="5072" w:type="dxa"/>
            <w:tcBorders>
              <w:top w:val="single" w:color="auto" w:sz="4" w:space="0"/>
              <w:left w:val="single" w:color="auto" w:sz="4" w:space="0"/>
              <w:bottom w:val="single" w:color="auto" w:sz="4" w:space="0"/>
              <w:right w:val="single" w:color="auto" w:sz="4" w:space="0"/>
            </w:tcBorders>
            <w:vAlign w:val="center"/>
          </w:tcPr>
          <w:p w14:paraId="5EC9FE8E">
            <w:pPr>
              <w:keepNext w:val="0"/>
              <w:keepLines w:val="0"/>
              <w:widowControl/>
              <w:suppressLineNumbers w:val="0"/>
              <w:spacing w:before="0" w:beforeAutospacing="0" w:after="0" w:afterAutospacing="0" w:line="400" w:lineRule="exact"/>
              <w:ind w:left="0" w:righ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一、建设内容</w:t>
            </w:r>
          </w:p>
          <w:p w14:paraId="7BAFA69C">
            <w:pPr>
              <w:keepNext w:val="0"/>
              <w:keepLines w:val="0"/>
              <w:widowControl/>
              <w:suppressLineNumbers w:val="0"/>
              <w:spacing w:before="0" w:beforeAutospacing="0" w:after="0" w:afterAutospacing="0" w:line="400" w:lineRule="exact"/>
              <w:ind w:left="0" w:righ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供应商需建设完成《可摘义齿修复工艺技术》、《口腔解剖与牙雕刻技术》、《固定义齿制作工艺》的知识图谱、目标图谱、能力图谱、知识地图、思政图谱、AI助教系统，《可摘义齿修复工艺技术》《口腔解剖与牙雕刻技术》《固定义齿制作工艺》智慧课程门户升级。并不仅仅是开通图谱自动生成功能，而是需要供应商完成建设几门课程的图谱。</w:t>
            </w:r>
          </w:p>
          <w:p w14:paraId="50ECDD26">
            <w:pPr>
              <w:keepNext w:val="0"/>
              <w:keepLines w:val="0"/>
              <w:widowControl/>
              <w:suppressLineNumbers w:val="0"/>
              <w:spacing w:before="0" w:beforeAutospacing="0" w:after="0" w:afterAutospacing="0" w:line="400" w:lineRule="exact"/>
              <w:ind w:left="0" w:right="0"/>
              <w:jc w:val="left"/>
              <w:rPr>
                <w:rFonts w:hint="eastAsia" w:eastAsia="宋体"/>
                <w:color w:val="auto"/>
                <w:highlight w:val="none"/>
                <w:lang w:eastAsia="zh-CN"/>
              </w:rPr>
            </w:pPr>
            <w:r>
              <w:rPr>
                <w:rFonts w:hint="eastAsia" w:ascii="宋体" w:hAnsi="宋体" w:cs="宋体"/>
                <w:color w:val="auto"/>
                <w:sz w:val="21"/>
                <w:szCs w:val="21"/>
                <w:highlight w:val="none"/>
                <w:lang w:eastAsia="zh-CN"/>
              </w:rPr>
              <w:t>……详见采购需求</w:t>
            </w:r>
          </w:p>
        </w:tc>
        <w:tc>
          <w:tcPr>
            <w:tcW w:w="1557" w:type="dxa"/>
            <w:tcBorders>
              <w:top w:val="single" w:color="auto" w:sz="4" w:space="0"/>
              <w:bottom w:val="single" w:color="auto" w:sz="4" w:space="0"/>
            </w:tcBorders>
            <w:shd w:val="clear" w:color="auto" w:fill="auto"/>
            <w:vAlign w:val="center"/>
          </w:tcPr>
          <w:p w14:paraId="3AF5BF2C">
            <w:pPr>
              <w:keepNext w:val="0"/>
              <w:keepLines w:val="0"/>
              <w:suppressLineNumbers w:val="0"/>
              <w:spacing w:before="0" w:beforeAutospacing="0" w:after="0" w:afterAutospacing="0"/>
              <w:ind w:left="0" w:right="0"/>
              <w:jc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val="en-US" w:eastAsia="zh-CN"/>
              </w:rPr>
              <w:t>180000</w:t>
            </w:r>
            <w:r>
              <w:rPr>
                <w:rFonts w:hint="eastAsia" w:ascii="宋体" w:hAnsi="宋体" w:eastAsia="宋体" w:cs="宋体"/>
                <w:color w:val="auto"/>
                <w:sz w:val="21"/>
                <w:szCs w:val="21"/>
                <w:highlight w:val="none"/>
              </w:rPr>
              <w:t>.00</w:t>
            </w:r>
          </w:p>
        </w:tc>
      </w:tr>
      <w:tr w14:paraId="28A30741">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1021" w:hRule="atLeast"/>
          <w:jc w:val="center"/>
        </w:trPr>
        <w:tc>
          <w:tcPr>
            <w:tcW w:w="643" w:type="dxa"/>
            <w:tcBorders>
              <w:top w:val="single" w:color="auto" w:sz="4" w:space="0"/>
              <w:left w:val="single" w:color="auto" w:sz="4" w:space="0"/>
              <w:bottom w:val="single" w:color="auto" w:sz="4" w:space="0"/>
              <w:right w:val="single" w:color="auto" w:sz="4" w:space="0"/>
            </w:tcBorders>
            <w:vAlign w:val="center"/>
          </w:tcPr>
          <w:p w14:paraId="7D2EDE43">
            <w:pPr>
              <w:keepNext w:val="0"/>
              <w:keepLines w:val="0"/>
              <w:suppressLineNumbers w:val="0"/>
              <w:snapToGrid w:val="0"/>
              <w:spacing w:before="0" w:beforeAutospacing="0" w:after="0" w:afterAutospacing="0" w:line="360" w:lineRule="auto"/>
              <w:ind w:left="0" w:right="0"/>
              <w:jc w:val="center"/>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2</w:t>
            </w:r>
          </w:p>
        </w:tc>
        <w:tc>
          <w:tcPr>
            <w:tcW w:w="1614" w:type="dxa"/>
            <w:tcBorders>
              <w:top w:val="single" w:color="auto" w:sz="4" w:space="0"/>
              <w:left w:val="single" w:color="auto" w:sz="4" w:space="0"/>
              <w:bottom w:val="single" w:color="auto" w:sz="4" w:space="0"/>
              <w:right w:val="single" w:color="auto" w:sz="4" w:space="0"/>
            </w:tcBorders>
            <w:vAlign w:val="center"/>
          </w:tcPr>
          <w:p w14:paraId="7E981B7F">
            <w:pPr>
              <w:keepNext w:val="0"/>
              <w:keepLines w:val="0"/>
              <w:suppressLineNumbers w:val="0"/>
              <w:spacing w:before="0" w:beforeAutospacing="0" w:after="0" w:afterAutospacing="0"/>
              <w:ind w:left="0" w:right="0"/>
              <w:jc w:val="center"/>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精品课程建设</w:t>
            </w:r>
          </w:p>
        </w:tc>
        <w:tc>
          <w:tcPr>
            <w:tcW w:w="1052" w:type="dxa"/>
            <w:tcBorders>
              <w:top w:val="single" w:color="auto" w:sz="4" w:space="0"/>
              <w:left w:val="single" w:color="auto" w:sz="4" w:space="0"/>
              <w:bottom w:val="single" w:color="auto" w:sz="4" w:space="0"/>
              <w:right w:val="single" w:color="auto" w:sz="4" w:space="0"/>
            </w:tcBorders>
            <w:vAlign w:val="center"/>
          </w:tcPr>
          <w:p w14:paraId="62068AD9">
            <w:pPr>
              <w:keepNext w:val="0"/>
              <w:keepLines w:val="0"/>
              <w:suppressLineNumbers w:val="0"/>
              <w:spacing w:before="0" w:beforeAutospacing="0" w:after="0" w:afterAutospacing="0"/>
              <w:ind w:left="0" w:right="0"/>
              <w:jc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1项</w:t>
            </w:r>
          </w:p>
        </w:tc>
        <w:tc>
          <w:tcPr>
            <w:tcW w:w="5072" w:type="dxa"/>
            <w:tcBorders>
              <w:top w:val="single" w:color="auto" w:sz="4" w:space="0"/>
              <w:left w:val="single" w:color="auto" w:sz="4" w:space="0"/>
              <w:bottom w:val="single" w:color="auto" w:sz="4" w:space="0"/>
              <w:right w:val="single" w:color="auto" w:sz="4" w:space="0"/>
            </w:tcBorders>
            <w:vAlign w:val="center"/>
          </w:tcPr>
          <w:p w14:paraId="49CEFA74">
            <w:pPr>
              <w:keepNext w:val="0"/>
              <w:keepLines w:val="0"/>
              <w:widowControl/>
              <w:suppressLineNumbers w:val="0"/>
              <w:spacing w:before="0" w:beforeAutospacing="0" w:after="0" w:afterAutospacing="0" w:line="400" w:lineRule="exact"/>
              <w:ind w:left="0" w:righ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一、建设内容</w:t>
            </w:r>
          </w:p>
          <w:p w14:paraId="02AD642F">
            <w:pPr>
              <w:keepNext w:val="0"/>
              <w:keepLines w:val="0"/>
              <w:widowControl/>
              <w:suppressLineNumbers w:val="0"/>
              <w:spacing w:before="0" w:beforeAutospacing="0" w:after="0" w:afterAutospacing="0" w:line="400" w:lineRule="exact"/>
              <w:ind w:left="0" w:righ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1、拍摄并制作《口腔医学美学基础》《口腔正畸技术》两门课程视频时长共不少于240分钟，不少于40个平均每个视频时长要求6-10分钟左右，并要求提供无学校标识的微课版本。</w:t>
            </w:r>
          </w:p>
          <w:p w14:paraId="73EB45EE">
            <w:pPr>
              <w:keepNext w:val="0"/>
              <w:keepLines w:val="0"/>
              <w:widowControl/>
              <w:suppressLineNumbers w:val="0"/>
              <w:spacing w:before="0" w:beforeAutospacing="0" w:after="0" w:afterAutospacing="0" w:line="400" w:lineRule="exact"/>
              <w:ind w:left="0" w:righ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2、根据课程知识点开发试题库格式，配套题库各1套，题库题量不少于400题。</w:t>
            </w:r>
          </w:p>
          <w:p w14:paraId="21DE3F4A">
            <w:pPr>
              <w:keepNext w:val="0"/>
              <w:keepLines w:val="0"/>
              <w:widowControl/>
              <w:suppressLineNumbers w:val="0"/>
              <w:spacing w:before="0" w:beforeAutospacing="0" w:after="0" w:afterAutospacing="0" w:line="400" w:lineRule="exact"/>
              <w:ind w:left="0" w:right="0"/>
              <w:jc w:val="left"/>
              <w:rPr>
                <w:rFonts w:hint="eastAsia"/>
                <w:color w:val="auto"/>
                <w:highlight w:val="none"/>
              </w:rPr>
            </w:pPr>
            <w:r>
              <w:rPr>
                <w:rFonts w:hint="eastAsia" w:ascii="宋体" w:hAnsi="宋体" w:cs="宋体"/>
                <w:color w:val="auto"/>
                <w:sz w:val="21"/>
                <w:szCs w:val="21"/>
                <w:highlight w:val="none"/>
                <w:lang w:eastAsia="zh-CN"/>
              </w:rPr>
              <w:t>……详见采购需求</w:t>
            </w:r>
          </w:p>
        </w:tc>
        <w:tc>
          <w:tcPr>
            <w:tcW w:w="1557" w:type="dxa"/>
            <w:tcBorders>
              <w:top w:val="single" w:color="auto" w:sz="4" w:space="0"/>
              <w:bottom w:val="single" w:color="auto" w:sz="4" w:space="0"/>
            </w:tcBorders>
            <w:shd w:val="clear" w:color="auto" w:fill="auto"/>
            <w:vAlign w:val="center"/>
          </w:tcPr>
          <w:p w14:paraId="7F742E08">
            <w:pPr>
              <w:keepNext w:val="0"/>
              <w:keepLines w:val="0"/>
              <w:suppressLineNumbers w:val="0"/>
              <w:spacing w:before="0" w:beforeAutospacing="0" w:after="0" w:afterAutospacing="0"/>
              <w:ind w:left="0" w:right="0"/>
              <w:jc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val="en-US" w:eastAsia="zh-CN"/>
              </w:rPr>
              <w:t>135000</w:t>
            </w:r>
            <w:r>
              <w:rPr>
                <w:rFonts w:hint="eastAsia" w:ascii="宋体" w:hAnsi="宋体" w:eastAsia="宋体" w:cs="宋体"/>
                <w:color w:val="auto"/>
                <w:sz w:val="21"/>
                <w:szCs w:val="21"/>
                <w:highlight w:val="none"/>
              </w:rPr>
              <w:t>.00</w:t>
            </w:r>
          </w:p>
        </w:tc>
      </w:tr>
      <w:tr w14:paraId="499CE636">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961" w:hRule="atLeast"/>
          <w:jc w:val="center"/>
        </w:trPr>
        <w:tc>
          <w:tcPr>
            <w:tcW w:w="643" w:type="dxa"/>
            <w:tcBorders>
              <w:top w:val="single" w:color="auto" w:sz="4" w:space="0"/>
              <w:left w:val="single" w:color="auto" w:sz="4" w:space="0"/>
              <w:bottom w:val="single" w:color="auto" w:sz="4" w:space="0"/>
              <w:right w:val="single" w:color="auto" w:sz="4" w:space="0"/>
            </w:tcBorders>
            <w:vAlign w:val="center"/>
          </w:tcPr>
          <w:p w14:paraId="4631D470">
            <w:pPr>
              <w:keepNext w:val="0"/>
              <w:keepLines w:val="0"/>
              <w:suppressLineNumbers w:val="0"/>
              <w:snapToGrid w:val="0"/>
              <w:spacing w:before="0" w:beforeAutospacing="0" w:after="0" w:afterAutospacing="0" w:line="360" w:lineRule="auto"/>
              <w:ind w:left="0" w:right="0"/>
              <w:jc w:val="center"/>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3</w:t>
            </w:r>
          </w:p>
        </w:tc>
        <w:tc>
          <w:tcPr>
            <w:tcW w:w="1614" w:type="dxa"/>
            <w:tcBorders>
              <w:top w:val="single" w:color="auto" w:sz="4" w:space="0"/>
              <w:left w:val="single" w:color="auto" w:sz="4" w:space="0"/>
              <w:bottom w:val="single" w:color="auto" w:sz="4" w:space="0"/>
              <w:right w:val="single" w:color="auto" w:sz="4" w:space="0"/>
            </w:tcBorders>
            <w:vAlign w:val="center"/>
          </w:tcPr>
          <w:p w14:paraId="7E63075F">
            <w:pPr>
              <w:keepNext w:val="0"/>
              <w:keepLines w:val="0"/>
              <w:suppressLineNumbers w:val="0"/>
              <w:spacing w:before="0" w:beforeAutospacing="0" w:after="0" w:afterAutospacing="0"/>
              <w:ind w:left="0" w:right="0"/>
              <w:jc w:val="center"/>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虚拟展厅建设</w:t>
            </w:r>
          </w:p>
        </w:tc>
        <w:tc>
          <w:tcPr>
            <w:tcW w:w="1052" w:type="dxa"/>
            <w:tcBorders>
              <w:top w:val="single" w:color="auto" w:sz="4" w:space="0"/>
              <w:left w:val="single" w:color="auto" w:sz="4" w:space="0"/>
              <w:bottom w:val="single" w:color="auto" w:sz="4" w:space="0"/>
              <w:right w:val="single" w:color="auto" w:sz="4" w:space="0"/>
            </w:tcBorders>
            <w:vAlign w:val="center"/>
          </w:tcPr>
          <w:p w14:paraId="23BC3805">
            <w:pPr>
              <w:keepNext w:val="0"/>
              <w:keepLines w:val="0"/>
              <w:suppressLineNumbers w:val="0"/>
              <w:spacing w:before="0" w:beforeAutospacing="0" w:after="0" w:afterAutospacing="0"/>
              <w:ind w:left="0" w:right="0"/>
              <w:jc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1项</w:t>
            </w:r>
          </w:p>
        </w:tc>
        <w:tc>
          <w:tcPr>
            <w:tcW w:w="5072" w:type="dxa"/>
            <w:tcBorders>
              <w:top w:val="single" w:color="auto" w:sz="4" w:space="0"/>
              <w:left w:val="single" w:color="auto" w:sz="4" w:space="0"/>
              <w:bottom w:val="single" w:color="auto" w:sz="4" w:space="0"/>
              <w:right w:val="single" w:color="auto" w:sz="4" w:space="0"/>
            </w:tcBorders>
            <w:vAlign w:val="center"/>
          </w:tcPr>
          <w:p w14:paraId="569DA71A">
            <w:pPr>
              <w:keepNext w:val="0"/>
              <w:keepLines w:val="0"/>
              <w:widowControl/>
              <w:suppressLineNumbers w:val="0"/>
              <w:spacing w:before="0" w:beforeAutospacing="0" w:after="0" w:afterAutospacing="0" w:line="400" w:lineRule="exact"/>
              <w:ind w:left="0" w:righ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一、建设内容</w:t>
            </w:r>
          </w:p>
          <w:p w14:paraId="543B768A">
            <w:pPr>
              <w:keepNext w:val="0"/>
              <w:keepLines w:val="0"/>
              <w:widowControl/>
              <w:suppressLineNumbers w:val="0"/>
              <w:spacing w:before="0" w:beforeAutospacing="0" w:after="0" w:afterAutospacing="0" w:line="400" w:lineRule="exact"/>
              <w:ind w:left="0" w:right="0"/>
              <w:jc w:val="left"/>
              <w:rPr>
                <w:rFonts w:hint="eastAsia" w:ascii="宋体" w:hAnsi="宋体" w:eastAsia="宋体" w:cs="宋体"/>
                <w:color w:val="auto"/>
                <w:sz w:val="21"/>
                <w:szCs w:val="21"/>
                <w:highlight w:val="none"/>
                <w:lang w:eastAsia="zh-CN"/>
              </w:rPr>
            </w:pPr>
            <w:r>
              <w:rPr>
                <w:rFonts w:hint="eastAsia" w:ascii="宋体" w:hAnsi="宋体" w:eastAsia="宋体" w:cs="宋体"/>
                <w:color w:val="auto"/>
                <w:sz w:val="21"/>
                <w:szCs w:val="21"/>
                <w:highlight w:val="none"/>
              </w:rPr>
              <w:t>进行3D元宇宙虚拟展厅的建设，其中包括口腔修复专业资源库3D元宇宙虚拟展厅建设和固定义齿课程展厅</w:t>
            </w:r>
            <w:r>
              <w:rPr>
                <w:rFonts w:hint="eastAsia" w:ascii="宋体" w:hAnsi="宋体" w:cs="宋体"/>
                <w:color w:val="auto"/>
                <w:sz w:val="21"/>
                <w:szCs w:val="21"/>
                <w:highlight w:val="none"/>
                <w:lang w:eastAsia="zh-CN"/>
              </w:rPr>
              <w:t>。</w:t>
            </w:r>
          </w:p>
          <w:p w14:paraId="37BE357E">
            <w:pPr>
              <w:keepNext w:val="0"/>
              <w:keepLines w:val="0"/>
              <w:widowControl/>
              <w:suppressLineNumbers w:val="0"/>
              <w:spacing w:before="0" w:beforeAutospacing="0" w:after="0" w:afterAutospacing="0" w:line="400" w:lineRule="exact"/>
              <w:ind w:left="0" w:right="0"/>
              <w:jc w:val="left"/>
              <w:rPr>
                <w:rFonts w:hint="eastAsia" w:ascii="宋体" w:hAnsi="宋体" w:eastAsia="宋体" w:cs="宋体"/>
                <w:color w:val="auto"/>
                <w:sz w:val="21"/>
                <w:szCs w:val="21"/>
                <w:highlight w:val="none"/>
              </w:rPr>
            </w:pPr>
            <w:r>
              <w:rPr>
                <w:rFonts w:hint="eastAsia" w:ascii="宋体" w:hAnsi="宋体" w:cs="宋体"/>
                <w:color w:val="auto"/>
                <w:sz w:val="21"/>
                <w:szCs w:val="21"/>
                <w:highlight w:val="none"/>
                <w:lang w:eastAsia="zh-CN"/>
              </w:rPr>
              <w:t>……详见采购需求</w:t>
            </w:r>
          </w:p>
        </w:tc>
        <w:tc>
          <w:tcPr>
            <w:tcW w:w="1557" w:type="dxa"/>
            <w:tcBorders>
              <w:top w:val="single" w:color="auto" w:sz="4" w:space="0"/>
              <w:bottom w:val="single" w:color="auto" w:sz="4" w:space="0"/>
            </w:tcBorders>
            <w:shd w:val="clear" w:color="auto" w:fill="auto"/>
            <w:vAlign w:val="center"/>
          </w:tcPr>
          <w:p w14:paraId="0C165D8C">
            <w:pPr>
              <w:keepNext w:val="0"/>
              <w:keepLines w:val="0"/>
              <w:suppressLineNumbers w:val="0"/>
              <w:spacing w:before="0" w:beforeAutospacing="0" w:after="0" w:afterAutospacing="0"/>
              <w:ind w:left="0" w:right="0"/>
              <w:jc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val="en-US" w:eastAsia="zh-CN"/>
              </w:rPr>
              <w:t>145000</w:t>
            </w:r>
            <w:r>
              <w:rPr>
                <w:rFonts w:hint="eastAsia" w:ascii="宋体" w:hAnsi="宋体" w:eastAsia="宋体" w:cs="宋体"/>
                <w:color w:val="auto"/>
                <w:sz w:val="21"/>
                <w:szCs w:val="21"/>
                <w:highlight w:val="none"/>
              </w:rPr>
              <w:t>.00</w:t>
            </w:r>
          </w:p>
        </w:tc>
      </w:tr>
      <w:tr w14:paraId="4E4A5BE1">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1319" w:hRule="atLeast"/>
          <w:jc w:val="center"/>
        </w:trPr>
        <w:tc>
          <w:tcPr>
            <w:tcW w:w="643" w:type="dxa"/>
            <w:tcBorders>
              <w:top w:val="single" w:color="auto" w:sz="4" w:space="0"/>
              <w:left w:val="single" w:color="auto" w:sz="4" w:space="0"/>
              <w:bottom w:val="single" w:color="auto" w:sz="4" w:space="0"/>
              <w:right w:val="single" w:color="auto" w:sz="4" w:space="0"/>
            </w:tcBorders>
            <w:vAlign w:val="center"/>
          </w:tcPr>
          <w:p w14:paraId="31C5A8BE">
            <w:pPr>
              <w:keepNext w:val="0"/>
              <w:keepLines w:val="0"/>
              <w:suppressLineNumbers w:val="0"/>
              <w:snapToGrid w:val="0"/>
              <w:spacing w:before="0" w:beforeAutospacing="0" w:after="0" w:afterAutospacing="0" w:line="360" w:lineRule="auto"/>
              <w:ind w:left="0" w:right="0"/>
              <w:jc w:val="center"/>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4</w:t>
            </w:r>
          </w:p>
        </w:tc>
        <w:tc>
          <w:tcPr>
            <w:tcW w:w="1614" w:type="dxa"/>
            <w:tcBorders>
              <w:top w:val="single" w:color="auto" w:sz="4" w:space="0"/>
              <w:left w:val="single" w:color="auto" w:sz="4" w:space="0"/>
              <w:bottom w:val="single" w:color="auto" w:sz="4" w:space="0"/>
              <w:right w:val="single" w:color="auto" w:sz="4" w:space="0"/>
            </w:tcBorders>
            <w:vAlign w:val="center"/>
          </w:tcPr>
          <w:p w14:paraId="26971395">
            <w:pPr>
              <w:keepNext w:val="0"/>
              <w:keepLines w:val="0"/>
              <w:suppressLineNumbers w:val="0"/>
              <w:spacing w:before="0" w:beforeAutospacing="0" w:after="0" w:afterAutospacing="0"/>
              <w:ind w:left="0" w:right="0"/>
              <w:jc w:val="center"/>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中泰英三语《可摘义齿》课程国际化课程建设</w:t>
            </w:r>
          </w:p>
        </w:tc>
        <w:tc>
          <w:tcPr>
            <w:tcW w:w="1052" w:type="dxa"/>
            <w:tcBorders>
              <w:top w:val="single" w:color="auto" w:sz="4" w:space="0"/>
              <w:left w:val="single" w:color="auto" w:sz="4" w:space="0"/>
              <w:bottom w:val="single" w:color="auto" w:sz="4" w:space="0"/>
              <w:right w:val="single" w:color="auto" w:sz="4" w:space="0"/>
            </w:tcBorders>
            <w:vAlign w:val="center"/>
          </w:tcPr>
          <w:p w14:paraId="53FF0089">
            <w:pPr>
              <w:keepNext w:val="0"/>
              <w:keepLines w:val="0"/>
              <w:suppressLineNumbers w:val="0"/>
              <w:spacing w:before="0" w:beforeAutospacing="0" w:after="0" w:afterAutospacing="0"/>
              <w:ind w:left="0" w:right="0"/>
              <w:jc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1项</w:t>
            </w:r>
          </w:p>
        </w:tc>
        <w:tc>
          <w:tcPr>
            <w:tcW w:w="5072" w:type="dxa"/>
            <w:tcBorders>
              <w:top w:val="single" w:color="auto" w:sz="4" w:space="0"/>
              <w:left w:val="single" w:color="auto" w:sz="4" w:space="0"/>
              <w:bottom w:val="single" w:color="auto" w:sz="4" w:space="0"/>
              <w:right w:val="single" w:color="auto" w:sz="4" w:space="0"/>
            </w:tcBorders>
            <w:vAlign w:val="center"/>
          </w:tcPr>
          <w:p w14:paraId="55F1CC9C">
            <w:pPr>
              <w:keepNext w:val="0"/>
              <w:keepLines w:val="0"/>
              <w:widowControl/>
              <w:suppressLineNumbers w:val="0"/>
              <w:spacing w:before="0" w:beforeAutospacing="0" w:after="0" w:afterAutospacing="0" w:line="400" w:lineRule="exact"/>
              <w:ind w:left="0" w:righ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一、建设内容</w:t>
            </w:r>
          </w:p>
          <w:p w14:paraId="0937A28E">
            <w:pPr>
              <w:keepNext w:val="0"/>
              <w:keepLines w:val="0"/>
              <w:widowControl/>
              <w:suppressLineNumbers w:val="0"/>
              <w:spacing w:before="0" w:beforeAutospacing="0" w:after="0" w:afterAutospacing="0" w:line="400" w:lineRule="exact"/>
              <w:ind w:left="0" w:right="0"/>
              <w:jc w:val="left"/>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进行《可摘义齿》国际化课程建设翻译，其中包含30个三语翻译微课视频与PPT25个、配套试题库三语翻译等。</w:t>
            </w:r>
          </w:p>
          <w:p w14:paraId="2EBE38ED">
            <w:pPr>
              <w:keepNext w:val="0"/>
              <w:keepLines w:val="0"/>
              <w:widowControl/>
              <w:suppressLineNumbers w:val="0"/>
              <w:spacing w:before="0" w:beforeAutospacing="0" w:after="0" w:afterAutospacing="0" w:line="400" w:lineRule="exact"/>
              <w:ind w:left="0" w:right="0"/>
              <w:jc w:val="left"/>
              <w:rPr>
                <w:rFonts w:hint="eastAsia" w:ascii="宋体" w:hAnsi="宋体" w:eastAsia="宋体" w:cs="宋体"/>
                <w:color w:val="auto"/>
                <w:sz w:val="21"/>
                <w:szCs w:val="21"/>
                <w:highlight w:val="none"/>
              </w:rPr>
            </w:pPr>
            <w:r>
              <w:rPr>
                <w:rFonts w:hint="eastAsia" w:ascii="宋体" w:hAnsi="宋体" w:cs="宋体"/>
                <w:color w:val="auto"/>
                <w:sz w:val="21"/>
                <w:szCs w:val="21"/>
                <w:highlight w:val="none"/>
                <w:lang w:eastAsia="zh-CN"/>
              </w:rPr>
              <w:t>……详见采购需求</w:t>
            </w:r>
          </w:p>
        </w:tc>
        <w:tc>
          <w:tcPr>
            <w:tcW w:w="1557" w:type="dxa"/>
            <w:tcBorders>
              <w:top w:val="single" w:color="auto" w:sz="4" w:space="0"/>
              <w:bottom w:val="single" w:color="auto" w:sz="4" w:space="0"/>
            </w:tcBorders>
            <w:shd w:val="clear" w:color="auto" w:fill="auto"/>
            <w:vAlign w:val="center"/>
          </w:tcPr>
          <w:p w14:paraId="3FD2DD4A">
            <w:pPr>
              <w:keepNext w:val="0"/>
              <w:keepLines w:val="0"/>
              <w:suppressLineNumbers w:val="0"/>
              <w:spacing w:before="0" w:beforeAutospacing="0" w:after="0" w:afterAutospacing="0"/>
              <w:ind w:left="0" w:right="0"/>
              <w:jc w:val="center"/>
              <w:rPr>
                <w:rFonts w:hint="eastAsia" w:ascii="宋体" w:hAnsi="宋体" w:eastAsia="宋体" w:cs="宋体"/>
                <w:color w:val="auto"/>
                <w:sz w:val="21"/>
                <w:szCs w:val="21"/>
                <w:highlight w:val="none"/>
                <w:lang w:val="en-US"/>
              </w:rPr>
            </w:pPr>
            <w:r>
              <w:rPr>
                <w:rFonts w:hint="eastAsia" w:ascii="宋体" w:hAnsi="宋体" w:eastAsia="宋体" w:cs="宋体"/>
                <w:color w:val="auto"/>
                <w:sz w:val="21"/>
                <w:szCs w:val="21"/>
                <w:highlight w:val="none"/>
                <w:lang w:val="en-US" w:eastAsia="zh-CN"/>
              </w:rPr>
              <w:t>90000.00</w:t>
            </w:r>
          </w:p>
        </w:tc>
      </w:tr>
      <w:tr w14:paraId="4F1107BF">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1092" w:hRule="atLeast"/>
          <w:jc w:val="center"/>
        </w:trPr>
        <w:tc>
          <w:tcPr>
            <w:tcW w:w="643" w:type="dxa"/>
            <w:tcBorders>
              <w:top w:val="single" w:color="auto" w:sz="4" w:space="0"/>
              <w:left w:val="single" w:color="auto" w:sz="4" w:space="0"/>
              <w:bottom w:val="single" w:color="auto" w:sz="4" w:space="0"/>
              <w:right w:val="single" w:color="auto" w:sz="4" w:space="0"/>
            </w:tcBorders>
            <w:vAlign w:val="center"/>
          </w:tcPr>
          <w:p w14:paraId="3CE8C9BB">
            <w:pPr>
              <w:keepNext w:val="0"/>
              <w:keepLines w:val="0"/>
              <w:suppressLineNumbers w:val="0"/>
              <w:snapToGrid w:val="0"/>
              <w:spacing w:before="0" w:beforeAutospacing="0" w:after="0" w:afterAutospacing="0" w:line="360" w:lineRule="auto"/>
              <w:ind w:left="0" w:right="0"/>
              <w:jc w:val="center"/>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5</w:t>
            </w:r>
          </w:p>
        </w:tc>
        <w:tc>
          <w:tcPr>
            <w:tcW w:w="1614" w:type="dxa"/>
            <w:tcBorders>
              <w:top w:val="single" w:color="auto" w:sz="4" w:space="0"/>
              <w:left w:val="single" w:color="auto" w:sz="4" w:space="0"/>
              <w:bottom w:val="single" w:color="auto" w:sz="4" w:space="0"/>
              <w:right w:val="single" w:color="auto" w:sz="4" w:space="0"/>
            </w:tcBorders>
            <w:vAlign w:val="center"/>
          </w:tcPr>
          <w:p w14:paraId="1E827BAC">
            <w:pPr>
              <w:keepNext w:val="0"/>
              <w:keepLines w:val="0"/>
              <w:suppressLineNumbers w:val="0"/>
              <w:spacing w:before="0" w:beforeAutospacing="0" w:after="0" w:afterAutospacing="0"/>
              <w:ind w:left="0" w:right="0"/>
              <w:jc w:val="center"/>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二维思政动画资源</w:t>
            </w:r>
          </w:p>
        </w:tc>
        <w:tc>
          <w:tcPr>
            <w:tcW w:w="1052" w:type="dxa"/>
            <w:tcBorders>
              <w:top w:val="single" w:color="auto" w:sz="4" w:space="0"/>
              <w:left w:val="single" w:color="auto" w:sz="4" w:space="0"/>
              <w:bottom w:val="single" w:color="auto" w:sz="4" w:space="0"/>
              <w:right w:val="single" w:color="auto" w:sz="4" w:space="0"/>
            </w:tcBorders>
            <w:vAlign w:val="center"/>
          </w:tcPr>
          <w:p w14:paraId="10D898BD">
            <w:pPr>
              <w:keepNext w:val="0"/>
              <w:keepLines w:val="0"/>
              <w:suppressLineNumbers w:val="0"/>
              <w:spacing w:before="0" w:beforeAutospacing="0" w:after="0" w:afterAutospacing="0"/>
              <w:ind w:left="0" w:right="0"/>
              <w:jc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1项</w:t>
            </w:r>
          </w:p>
        </w:tc>
        <w:tc>
          <w:tcPr>
            <w:tcW w:w="5072" w:type="dxa"/>
            <w:tcBorders>
              <w:top w:val="single" w:color="auto" w:sz="4" w:space="0"/>
              <w:left w:val="single" w:color="auto" w:sz="4" w:space="0"/>
              <w:bottom w:val="single" w:color="auto" w:sz="4" w:space="0"/>
              <w:right w:val="single" w:color="auto" w:sz="4" w:space="0"/>
            </w:tcBorders>
            <w:vAlign w:val="center"/>
          </w:tcPr>
          <w:p w14:paraId="06C73C3B">
            <w:pPr>
              <w:keepNext w:val="0"/>
              <w:keepLines w:val="0"/>
              <w:widowControl/>
              <w:suppressLineNumbers w:val="0"/>
              <w:spacing w:before="0" w:beforeAutospacing="0" w:after="0" w:afterAutospacing="0" w:line="400" w:lineRule="exact"/>
              <w:ind w:left="0" w:righ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一、建设内容</w:t>
            </w:r>
          </w:p>
          <w:p w14:paraId="2859841A">
            <w:pPr>
              <w:keepNext w:val="0"/>
              <w:keepLines w:val="0"/>
              <w:widowControl/>
              <w:suppressLineNumbers w:val="0"/>
              <w:spacing w:before="0" w:beforeAutospacing="0" w:after="0" w:afterAutospacing="0" w:line="400" w:lineRule="exact"/>
              <w:ind w:left="0" w:right="0"/>
              <w:jc w:val="left"/>
              <w:rPr>
                <w:rFonts w:hint="eastAsia" w:ascii="宋体" w:hAnsi="宋体" w:cs="宋体"/>
                <w:color w:val="auto"/>
                <w:sz w:val="21"/>
                <w:szCs w:val="21"/>
                <w:highlight w:val="none"/>
                <w:lang w:eastAsia="zh-CN"/>
              </w:rPr>
            </w:pPr>
            <w:r>
              <w:rPr>
                <w:rFonts w:hint="eastAsia" w:ascii="宋体" w:hAnsi="宋体" w:eastAsia="宋体" w:cs="宋体"/>
                <w:color w:val="auto"/>
                <w:sz w:val="21"/>
                <w:szCs w:val="21"/>
                <w:highlight w:val="none"/>
              </w:rPr>
              <w:t>二维思政动画建设不少于30分钟，每个1-3分钟</w:t>
            </w:r>
            <w:r>
              <w:rPr>
                <w:rFonts w:hint="eastAsia" w:ascii="宋体" w:hAnsi="宋体" w:cs="宋体"/>
                <w:color w:val="auto"/>
                <w:sz w:val="21"/>
                <w:szCs w:val="21"/>
                <w:highlight w:val="none"/>
                <w:lang w:eastAsia="zh-CN"/>
              </w:rPr>
              <w:t>。</w:t>
            </w:r>
          </w:p>
          <w:p w14:paraId="61226E56">
            <w:pPr>
              <w:keepNext w:val="0"/>
              <w:keepLines w:val="0"/>
              <w:widowControl/>
              <w:suppressLineNumbers w:val="0"/>
              <w:spacing w:before="0" w:beforeAutospacing="0" w:after="0" w:afterAutospacing="0" w:line="400" w:lineRule="exact"/>
              <w:ind w:left="0" w:right="0"/>
              <w:jc w:val="left"/>
              <w:rPr>
                <w:rFonts w:hint="eastAsia"/>
                <w:color w:val="auto"/>
                <w:highlight w:val="none"/>
                <w:lang w:eastAsia="zh-CN"/>
              </w:rPr>
            </w:pPr>
            <w:r>
              <w:rPr>
                <w:rFonts w:hint="eastAsia" w:ascii="宋体" w:hAnsi="宋体" w:cs="宋体"/>
                <w:color w:val="auto"/>
                <w:sz w:val="21"/>
                <w:szCs w:val="21"/>
                <w:highlight w:val="none"/>
                <w:lang w:eastAsia="zh-CN"/>
              </w:rPr>
              <w:t>……详见采购需求</w:t>
            </w:r>
          </w:p>
        </w:tc>
        <w:tc>
          <w:tcPr>
            <w:tcW w:w="1557" w:type="dxa"/>
            <w:tcBorders>
              <w:top w:val="single" w:color="auto" w:sz="4" w:space="0"/>
              <w:bottom w:val="single" w:color="auto" w:sz="4" w:space="0"/>
            </w:tcBorders>
            <w:shd w:val="clear" w:color="auto" w:fill="auto"/>
            <w:vAlign w:val="center"/>
          </w:tcPr>
          <w:p w14:paraId="3E9BC9DC">
            <w:pPr>
              <w:keepNext w:val="0"/>
              <w:keepLines w:val="0"/>
              <w:suppressLineNumbers w:val="0"/>
              <w:spacing w:before="0" w:beforeAutospacing="0" w:after="0" w:afterAutospacing="0"/>
              <w:ind w:left="0" w:right="0"/>
              <w:jc w:val="center"/>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90000</w:t>
            </w:r>
            <w:r>
              <w:rPr>
                <w:rFonts w:hint="eastAsia" w:ascii="宋体" w:hAnsi="宋体" w:eastAsia="宋体" w:cs="宋体"/>
                <w:color w:val="auto"/>
                <w:sz w:val="21"/>
                <w:szCs w:val="21"/>
                <w:highlight w:val="none"/>
              </w:rPr>
              <w:t>.00</w:t>
            </w:r>
          </w:p>
        </w:tc>
      </w:tr>
      <w:tr w14:paraId="54DD4797">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1734" w:hRule="atLeast"/>
          <w:jc w:val="center"/>
        </w:trPr>
        <w:tc>
          <w:tcPr>
            <w:tcW w:w="643" w:type="dxa"/>
            <w:tcBorders>
              <w:top w:val="single" w:color="auto" w:sz="4" w:space="0"/>
              <w:left w:val="single" w:color="auto" w:sz="4" w:space="0"/>
              <w:bottom w:val="single" w:color="auto" w:sz="4" w:space="0"/>
              <w:right w:val="single" w:color="auto" w:sz="4" w:space="0"/>
            </w:tcBorders>
            <w:vAlign w:val="center"/>
          </w:tcPr>
          <w:p w14:paraId="7C3A31B0">
            <w:pPr>
              <w:keepNext w:val="0"/>
              <w:keepLines w:val="0"/>
              <w:suppressLineNumbers w:val="0"/>
              <w:snapToGrid w:val="0"/>
              <w:spacing w:before="0" w:beforeAutospacing="0" w:after="0" w:afterAutospacing="0" w:line="360" w:lineRule="auto"/>
              <w:ind w:left="0" w:right="0"/>
              <w:jc w:val="center"/>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6</w:t>
            </w:r>
          </w:p>
        </w:tc>
        <w:tc>
          <w:tcPr>
            <w:tcW w:w="1614" w:type="dxa"/>
            <w:tcBorders>
              <w:top w:val="single" w:color="auto" w:sz="4" w:space="0"/>
              <w:left w:val="single" w:color="auto" w:sz="4" w:space="0"/>
              <w:bottom w:val="single" w:color="auto" w:sz="4" w:space="0"/>
              <w:right w:val="single" w:color="auto" w:sz="4" w:space="0"/>
            </w:tcBorders>
            <w:vAlign w:val="center"/>
          </w:tcPr>
          <w:p w14:paraId="106797F9">
            <w:pPr>
              <w:keepNext w:val="0"/>
              <w:keepLines w:val="0"/>
              <w:suppressLineNumbers w:val="0"/>
              <w:spacing w:before="0" w:beforeAutospacing="0" w:after="0" w:afterAutospacing="0"/>
              <w:ind w:left="0" w:right="0"/>
              <w:jc w:val="center"/>
              <w:rPr>
                <w:rFonts w:hint="eastAsia" w:ascii="宋体" w:hAnsi="宋体" w:eastAsia="宋体" w:cs="宋体"/>
                <w:color w:val="auto"/>
                <w:sz w:val="21"/>
                <w:szCs w:val="21"/>
                <w:highlight w:val="none"/>
                <w:lang w:val="en-US" w:eastAsia="zh-CN"/>
              </w:rPr>
            </w:pPr>
            <w:r>
              <w:rPr>
                <w:rFonts w:hint="eastAsia" w:ascii="宋体" w:hAnsi="宋体" w:eastAsia="宋体" w:cs="宋体"/>
                <w:b w:val="0"/>
                <w:bCs w:val="0"/>
                <w:color w:val="auto"/>
                <w:sz w:val="21"/>
                <w:szCs w:val="21"/>
                <w:highlight w:val="none"/>
                <w:lang w:val="en-US" w:eastAsia="zh-CN"/>
              </w:rPr>
              <w:t>教师混合式教学比赛拍摄及专家指导</w:t>
            </w:r>
          </w:p>
        </w:tc>
        <w:tc>
          <w:tcPr>
            <w:tcW w:w="1052" w:type="dxa"/>
            <w:tcBorders>
              <w:top w:val="single" w:color="auto" w:sz="4" w:space="0"/>
              <w:left w:val="single" w:color="auto" w:sz="4" w:space="0"/>
              <w:bottom w:val="single" w:color="auto" w:sz="4" w:space="0"/>
              <w:right w:val="single" w:color="auto" w:sz="4" w:space="0"/>
            </w:tcBorders>
            <w:vAlign w:val="center"/>
          </w:tcPr>
          <w:p w14:paraId="603EB038">
            <w:pPr>
              <w:keepNext w:val="0"/>
              <w:keepLines w:val="0"/>
              <w:suppressLineNumbers w:val="0"/>
              <w:spacing w:before="0" w:beforeAutospacing="0" w:after="0" w:afterAutospacing="0"/>
              <w:ind w:left="0" w:right="0"/>
              <w:jc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1项</w:t>
            </w:r>
          </w:p>
        </w:tc>
        <w:tc>
          <w:tcPr>
            <w:tcW w:w="5072" w:type="dxa"/>
            <w:tcBorders>
              <w:top w:val="single" w:color="auto" w:sz="4" w:space="0"/>
              <w:left w:val="single" w:color="auto" w:sz="4" w:space="0"/>
              <w:bottom w:val="single" w:color="auto" w:sz="4" w:space="0"/>
              <w:right w:val="single" w:color="auto" w:sz="4" w:space="0"/>
            </w:tcBorders>
            <w:vAlign w:val="center"/>
          </w:tcPr>
          <w:p w14:paraId="0BCED77E">
            <w:pPr>
              <w:keepNext w:val="0"/>
              <w:keepLines w:val="0"/>
              <w:widowControl/>
              <w:suppressLineNumbers w:val="0"/>
              <w:spacing w:before="0" w:beforeAutospacing="0" w:after="0" w:afterAutospacing="0" w:line="400" w:lineRule="exact"/>
              <w:ind w:left="0" w:righ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一、建设内容</w:t>
            </w:r>
          </w:p>
          <w:p w14:paraId="42446B9E">
            <w:pPr>
              <w:keepNext w:val="0"/>
              <w:keepLines w:val="0"/>
              <w:widowControl/>
              <w:suppressLineNumbers w:val="0"/>
              <w:spacing w:before="0" w:beforeAutospacing="0" w:after="0" w:afterAutospacing="0" w:line="400" w:lineRule="exact"/>
              <w:ind w:left="0" w:righ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1、拍摄一组符合2026年广西区级、南宁市级混合式教学比赛的参赛视频。</w:t>
            </w:r>
          </w:p>
          <w:p w14:paraId="6BBA5C21">
            <w:pPr>
              <w:keepNext w:val="0"/>
              <w:keepLines w:val="0"/>
              <w:widowControl/>
              <w:suppressLineNumbers w:val="0"/>
              <w:spacing w:before="0" w:beforeAutospacing="0" w:after="0" w:afterAutospacing="0" w:line="400" w:lineRule="exact"/>
              <w:ind w:left="0" w:righ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2、为本校参赛教师团队提供两名专家指导服务</w:t>
            </w:r>
          </w:p>
          <w:p w14:paraId="0DBCEE27">
            <w:pPr>
              <w:keepNext w:val="0"/>
              <w:keepLines w:val="0"/>
              <w:widowControl/>
              <w:suppressLineNumbers w:val="0"/>
              <w:spacing w:before="0" w:beforeAutospacing="0" w:after="0" w:afterAutospacing="0" w:line="400" w:lineRule="exact"/>
              <w:ind w:left="0" w:right="0"/>
              <w:jc w:val="left"/>
              <w:rPr>
                <w:rFonts w:hint="eastAsia"/>
                <w:color w:val="auto"/>
                <w:highlight w:val="none"/>
              </w:rPr>
            </w:pPr>
            <w:r>
              <w:rPr>
                <w:rFonts w:hint="eastAsia" w:ascii="宋体" w:hAnsi="宋体" w:cs="宋体"/>
                <w:color w:val="auto"/>
                <w:sz w:val="21"/>
                <w:szCs w:val="21"/>
                <w:highlight w:val="none"/>
                <w:lang w:eastAsia="zh-CN"/>
              </w:rPr>
              <w:t>……详见采购需求</w:t>
            </w:r>
          </w:p>
        </w:tc>
        <w:tc>
          <w:tcPr>
            <w:tcW w:w="1557" w:type="dxa"/>
            <w:tcBorders>
              <w:top w:val="single" w:color="auto" w:sz="4" w:space="0"/>
              <w:bottom w:val="single" w:color="auto" w:sz="4" w:space="0"/>
            </w:tcBorders>
            <w:shd w:val="clear" w:color="auto" w:fill="auto"/>
            <w:vAlign w:val="center"/>
          </w:tcPr>
          <w:p w14:paraId="71F7FFE0">
            <w:pPr>
              <w:keepNext w:val="0"/>
              <w:keepLines w:val="0"/>
              <w:suppressLineNumbers w:val="0"/>
              <w:spacing w:before="0" w:beforeAutospacing="0" w:after="0" w:afterAutospacing="0"/>
              <w:ind w:left="0" w:right="0"/>
              <w:jc w:val="center"/>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50000</w:t>
            </w:r>
            <w:r>
              <w:rPr>
                <w:rFonts w:hint="eastAsia" w:ascii="宋体" w:hAnsi="宋体" w:eastAsia="宋体" w:cs="宋体"/>
                <w:color w:val="auto"/>
                <w:sz w:val="21"/>
                <w:szCs w:val="21"/>
                <w:highlight w:val="none"/>
              </w:rPr>
              <w:t>.00</w:t>
            </w:r>
          </w:p>
        </w:tc>
      </w:tr>
      <w:tr w14:paraId="2BBC9805">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1734" w:hRule="atLeast"/>
          <w:jc w:val="center"/>
        </w:trPr>
        <w:tc>
          <w:tcPr>
            <w:tcW w:w="643" w:type="dxa"/>
            <w:tcBorders>
              <w:top w:val="single" w:color="auto" w:sz="4" w:space="0"/>
              <w:left w:val="single" w:color="auto" w:sz="4" w:space="0"/>
              <w:bottom w:val="single" w:color="auto" w:sz="4" w:space="0"/>
              <w:right w:val="single" w:color="auto" w:sz="4" w:space="0"/>
            </w:tcBorders>
            <w:vAlign w:val="center"/>
          </w:tcPr>
          <w:p w14:paraId="6CEFCC68">
            <w:pPr>
              <w:keepNext w:val="0"/>
              <w:keepLines w:val="0"/>
              <w:suppressLineNumbers w:val="0"/>
              <w:snapToGrid w:val="0"/>
              <w:spacing w:before="0" w:beforeAutospacing="0" w:after="0" w:afterAutospacing="0" w:line="360" w:lineRule="auto"/>
              <w:ind w:left="0" w:right="0"/>
              <w:jc w:val="center"/>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7</w:t>
            </w:r>
          </w:p>
        </w:tc>
        <w:tc>
          <w:tcPr>
            <w:tcW w:w="1614" w:type="dxa"/>
            <w:tcBorders>
              <w:top w:val="single" w:color="auto" w:sz="4" w:space="0"/>
              <w:left w:val="single" w:color="auto" w:sz="4" w:space="0"/>
              <w:bottom w:val="single" w:color="auto" w:sz="4" w:space="0"/>
              <w:right w:val="single" w:color="auto" w:sz="4" w:space="0"/>
            </w:tcBorders>
            <w:vAlign w:val="center"/>
          </w:tcPr>
          <w:p w14:paraId="584B58BE">
            <w:pPr>
              <w:keepNext w:val="0"/>
              <w:keepLines w:val="0"/>
              <w:suppressLineNumbers w:val="0"/>
              <w:spacing w:before="0" w:beforeAutospacing="0" w:after="0" w:afterAutospacing="0"/>
              <w:ind w:left="0" w:right="0"/>
              <w:jc w:val="center"/>
              <w:rPr>
                <w:rFonts w:hint="eastAsia" w:ascii="宋体" w:hAnsi="宋体" w:eastAsia="宋体" w:cs="宋体"/>
                <w:color w:val="auto"/>
                <w:sz w:val="21"/>
                <w:szCs w:val="21"/>
                <w:highlight w:val="none"/>
                <w:lang w:val="en-US" w:eastAsia="zh-CN"/>
              </w:rPr>
            </w:pPr>
            <w:r>
              <w:rPr>
                <w:rFonts w:hint="eastAsia" w:ascii="宋体" w:hAnsi="宋体" w:eastAsia="宋体" w:cs="宋体"/>
                <w:b w:val="0"/>
                <w:bCs w:val="0"/>
                <w:color w:val="auto"/>
                <w:sz w:val="21"/>
                <w:szCs w:val="21"/>
                <w:highlight w:val="none"/>
                <w:lang w:val="en-US" w:eastAsia="zh-CN"/>
              </w:rPr>
              <w:t>AI智能体搭建</w:t>
            </w:r>
          </w:p>
        </w:tc>
        <w:tc>
          <w:tcPr>
            <w:tcW w:w="1052" w:type="dxa"/>
            <w:tcBorders>
              <w:top w:val="single" w:color="auto" w:sz="4" w:space="0"/>
              <w:left w:val="single" w:color="auto" w:sz="4" w:space="0"/>
              <w:bottom w:val="single" w:color="auto" w:sz="4" w:space="0"/>
              <w:right w:val="single" w:color="auto" w:sz="4" w:space="0"/>
            </w:tcBorders>
            <w:vAlign w:val="center"/>
          </w:tcPr>
          <w:p w14:paraId="149535F9">
            <w:pPr>
              <w:keepNext w:val="0"/>
              <w:keepLines w:val="0"/>
              <w:suppressLineNumbers w:val="0"/>
              <w:spacing w:before="0" w:beforeAutospacing="0" w:after="0" w:afterAutospacing="0"/>
              <w:ind w:left="0" w:right="0"/>
              <w:jc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1项</w:t>
            </w:r>
          </w:p>
        </w:tc>
        <w:tc>
          <w:tcPr>
            <w:tcW w:w="5072" w:type="dxa"/>
            <w:tcBorders>
              <w:top w:val="single" w:color="auto" w:sz="4" w:space="0"/>
              <w:left w:val="single" w:color="auto" w:sz="4" w:space="0"/>
              <w:bottom w:val="single" w:color="auto" w:sz="4" w:space="0"/>
              <w:right w:val="single" w:color="auto" w:sz="4" w:space="0"/>
            </w:tcBorders>
            <w:vAlign w:val="center"/>
          </w:tcPr>
          <w:p w14:paraId="2B4F13E3">
            <w:pPr>
              <w:keepNext w:val="0"/>
              <w:keepLines w:val="0"/>
              <w:widowControl/>
              <w:suppressLineNumbers w:val="0"/>
              <w:spacing w:before="0" w:beforeAutospacing="0" w:after="0" w:afterAutospacing="0" w:line="400" w:lineRule="exact"/>
              <w:ind w:left="0" w:righ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一、建设内容</w:t>
            </w:r>
          </w:p>
          <w:p w14:paraId="57CD0272">
            <w:pPr>
              <w:keepNext w:val="0"/>
              <w:keepLines w:val="0"/>
              <w:widowControl/>
              <w:suppressLineNumbers w:val="0"/>
              <w:spacing w:before="0" w:beforeAutospacing="0" w:after="0" w:afterAutospacing="0" w:line="400" w:lineRule="exact"/>
              <w:ind w:left="0" w:right="0"/>
              <w:jc w:val="left"/>
              <w:rPr>
                <w:rFonts w:hint="eastAsia" w:ascii="宋体" w:hAnsi="宋体" w:cs="宋体"/>
                <w:color w:val="auto"/>
                <w:sz w:val="21"/>
                <w:szCs w:val="21"/>
                <w:highlight w:val="none"/>
                <w:lang w:eastAsia="zh-CN"/>
              </w:rPr>
            </w:pPr>
            <w:r>
              <w:rPr>
                <w:rFonts w:hint="eastAsia" w:ascii="宋体" w:hAnsi="宋体" w:eastAsia="宋体" w:cs="宋体"/>
                <w:color w:val="auto"/>
                <w:sz w:val="21"/>
                <w:szCs w:val="21"/>
                <w:highlight w:val="none"/>
              </w:rPr>
              <w:t>完成搭建3个AI智能体</w:t>
            </w:r>
            <w:r>
              <w:rPr>
                <w:rFonts w:hint="eastAsia" w:ascii="宋体" w:hAnsi="宋体" w:cs="宋体"/>
                <w:color w:val="auto"/>
                <w:sz w:val="21"/>
                <w:szCs w:val="21"/>
                <w:highlight w:val="none"/>
                <w:lang w:eastAsia="zh-CN"/>
              </w:rPr>
              <w:t>。</w:t>
            </w:r>
          </w:p>
          <w:p w14:paraId="0F43CC88">
            <w:pPr>
              <w:keepNext w:val="0"/>
              <w:keepLines w:val="0"/>
              <w:widowControl/>
              <w:suppressLineNumbers w:val="0"/>
              <w:spacing w:before="0" w:beforeAutospacing="0" w:after="0" w:afterAutospacing="0" w:line="400" w:lineRule="exact"/>
              <w:ind w:left="0" w:right="0"/>
              <w:jc w:val="left"/>
              <w:rPr>
                <w:rFonts w:hint="eastAsia"/>
                <w:color w:val="auto"/>
                <w:highlight w:val="none"/>
                <w:lang w:eastAsia="zh-CN"/>
              </w:rPr>
            </w:pPr>
            <w:r>
              <w:rPr>
                <w:rFonts w:hint="eastAsia" w:ascii="宋体" w:hAnsi="宋体" w:cs="宋体"/>
                <w:color w:val="auto"/>
                <w:sz w:val="21"/>
                <w:szCs w:val="21"/>
                <w:highlight w:val="none"/>
                <w:lang w:eastAsia="zh-CN"/>
              </w:rPr>
              <w:t>……详见采购需求</w:t>
            </w:r>
          </w:p>
        </w:tc>
        <w:tc>
          <w:tcPr>
            <w:tcW w:w="1557" w:type="dxa"/>
            <w:tcBorders>
              <w:top w:val="single" w:color="auto" w:sz="4" w:space="0"/>
              <w:bottom w:val="single" w:color="auto" w:sz="4" w:space="0"/>
            </w:tcBorders>
            <w:shd w:val="clear" w:color="auto" w:fill="auto"/>
            <w:vAlign w:val="center"/>
          </w:tcPr>
          <w:p w14:paraId="3301FA9A">
            <w:pPr>
              <w:keepNext w:val="0"/>
              <w:keepLines w:val="0"/>
              <w:suppressLineNumbers w:val="0"/>
              <w:spacing w:before="0" w:beforeAutospacing="0" w:after="0" w:afterAutospacing="0"/>
              <w:ind w:left="0" w:right="0"/>
              <w:jc w:val="center"/>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180000</w:t>
            </w:r>
            <w:r>
              <w:rPr>
                <w:rFonts w:hint="eastAsia" w:ascii="宋体" w:hAnsi="宋体" w:eastAsia="宋体" w:cs="宋体"/>
                <w:color w:val="auto"/>
                <w:sz w:val="21"/>
                <w:szCs w:val="21"/>
                <w:highlight w:val="none"/>
              </w:rPr>
              <w:t>.00</w:t>
            </w:r>
          </w:p>
        </w:tc>
      </w:tr>
      <w:tr w14:paraId="1FA9D548">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1734" w:hRule="atLeast"/>
          <w:jc w:val="center"/>
        </w:trPr>
        <w:tc>
          <w:tcPr>
            <w:tcW w:w="643" w:type="dxa"/>
            <w:tcBorders>
              <w:top w:val="single" w:color="auto" w:sz="4" w:space="0"/>
              <w:left w:val="single" w:color="auto" w:sz="4" w:space="0"/>
              <w:bottom w:val="single" w:color="auto" w:sz="4" w:space="0"/>
              <w:right w:val="single" w:color="auto" w:sz="4" w:space="0"/>
            </w:tcBorders>
            <w:vAlign w:val="center"/>
          </w:tcPr>
          <w:p w14:paraId="4F43CC0B">
            <w:pPr>
              <w:keepNext w:val="0"/>
              <w:keepLines w:val="0"/>
              <w:suppressLineNumbers w:val="0"/>
              <w:snapToGrid w:val="0"/>
              <w:spacing w:before="0" w:beforeAutospacing="0" w:after="0" w:afterAutospacing="0" w:line="360" w:lineRule="auto"/>
              <w:ind w:left="0" w:right="0"/>
              <w:jc w:val="center"/>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8</w:t>
            </w:r>
          </w:p>
        </w:tc>
        <w:tc>
          <w:tcPr>
            <w:tcW w:w="1614" w:type="dxa"/>
            <w:tcBorders>
              <w:top w:val="single" w:color="auto" w:sz="4" w:space="0"/>
              <w:left w:val="single" w:color="auto" w:sz="4" w:space="0"/>
              <w:bottom w:val="single" w:color="auto" w:sz="4" w:space="0"/>
              <w:right w:val="single" w:color="auto" w:sz="4" w:space="0"/>
            </w:tcBorders>
            <w:vAlign w:val="center"/>
          </w:tcPr>
          <w:p w14:paraId="6E0CDDE8">
            <w:pPr>
              <w:keepNext w:val="0"/>
              <w:keepLines w:val="0"/>
              <w:suppressLineNumbers w:val="0"/>
              <w:spacing w:before="0" w:beforeAutospacing="0" w:after="0" w:afterAutospacing="0"/>
              <w:ind w:left="0" w:right="0"/>
              <w:jc w:val="center"/>
              <w:rPr>
                <w:rFonts w:hint="eastAsia" w:ascii="宋体" w:hAnsi="宋体" w:eastAsia="宋体" w:cs="宋体"/>
                <w:color w:val="auto"/>
                <w:sz w:val="21"/>
                <w:szCs w:val="21"/>
                <w:highlight w:val="none"/>
                <w:lang w:val="en-US" w:eastAsia="zh-CN"/>
              </w:rPr>
            </w:pPr>
            <w:r>
              <w:rPr>
                <w:rFonts w:hint="eastAsia" w:ascii="宋体" w:hAnsi="宋体" w:eastAsia="宋体" w:cs="宋体"/>
                <w:color w:val="auto"/>
                <w:kern w:val="0"/>
                <w:sz w:val="21"/>
                <w:szCs w:val="21"/>
                <w:highlight w:val="none"/>
                <w:lang w:val="en-US" w:eastAsia="zh-CN" w:bidi="ar-SA"/>
              </w:rPr>
              <w:t>微课比赛视频制作</w:t>
            </w:r>
          </w:p>
        </w:tc>
        <w:tc>
          <w:tcPr>
            <w:tcW w:w="1052" w:type="dxa"/>
            <w:tcBorders>
              <w:top w:val="single" w:color="auto" w:sz="4" w:space="0"/>
              <w:left w:val="single" w:color="auto" w:sz="4" w:space="0"/>
              <w:bottom w:val="single" w:color="auto" w:sz="4" w:space="0"/>
              <w:right w:val="single" w:color="auto" w:sz="4" w:space="0"/>
            </w:tcBorders>
            <w:vAlign w:val="center"/>
          </w:tcPr>
          <w:p w14:paraId="294CC6B0">
            <w:pPr>
              <w:keepNext w:val="0"/>
              <w:keepLines w:val="0"/>
              <w:suppressLineNumbers w:val="0"/>
              <w:spacing w:before="0" w:beforeAutospacing="0" w:after="0" w:afterAutospacing="0"/>
              <w:ind w:left="0" w:right="0"/>
              <w:jc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1项</w:t>
            </w:r>
          </w:p>
        </w:tc>
        <w:tc>
          <w:tcPr>
            <w:tcW w:w="5072" w:type="dxa"/>
            <w:tcBorders>
              <w:top w:val="single" w:color="auto" w:sz="4" w:space="0"/>
              <w:left w:val="single" w:color="auto" w:sz="4" w:space="0"/>
              <w:bottom w:val="single" w:color="auto" w:sz="4" w:space="0"/>
              <w:right w:val="single" w:color="auto" w:sz="4" w:space="0"/>
            </w:tcBorders>
            <w:vAlign w:val="center"/>
          </w:tcPr>
          <w:p w14:paraId="4FE036CB">
            <w:pPr>
              <w:keepNext w:val="0"/>
              <w:keepLines w:val="0"/>
              <w:widowControl/>
              <w:suppressLineNumbers w:val="0"/>
              <w:spacing w:before="0" w:beforeAutospacing="0" w:after="0" w:afterAutospacing="0" w:line="400" w:lineRule="exact"/>
              <w:ind w:left="0" w:righ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一、建设内容</w:t>
            </w:r>
          </w:p>
          <w:p w14:paraId="451EF346">
            <w:pPr>
              <w:keepNext w:val="0"/>
              <w:keepLines w:val="0"/>
              <w:widowControl/>
              <w:suppressLineNumbers w:val="0"/>
              <w:spacing w:before="0" w:beforeAutospacing="0" w:after="0" w:afterAutospacing="0" w:line="400" w:lineRule="exact"/>
              <w:ind w:left="0" w:righ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1、完成建设6个比赛级微课视频，每段微课时长5-10分钟</w:t>
            </w:r>
          </w:p>
          <w:p w14:paraId="567BCD0E">
            <w:pPr>
              <w:keepNext w:val="0"/>
              <w:keepLines w:val="0"/>
              <w:widowControl/>
              <w:suppressLineNumbers w:val="0"/>
              <w:spacing w:before="0" w:beforeAutospacing="0" w:after="0" w:afterAutospacing="0" w:line="400" w:lineRule="exact"/>
              <w:ind w:left="0" w:right="0"/>
              <w:jc w:val="left"/>
              <w:rPr>
                <w:rFonts w:hint="eastAsia" w:ascii="宋体" w:hAnsi="宋体" w:cs="宋体"/>
                <w:color w:val="auto"/>
                <w:sz w:val="21"/>
                <w:szCs w:val="21"/>
                <w:highlight w:val="none"/>
                <w:lang w:eastAsia="zh-CN"/>
              </w:rPr>
            </w:pPr>
            <w:r>
              <w:rPr>
                <w:rFonts w:hint="eastAsia" w:ascii="宋体" w:hAnsi="宋体" w:eastAsia="宋体" w:cs="宋体"/>
                <w:color w:val="auto"/>
                <w:sz w:val="21"/>
                <w:szCs w:val="21"/>
                <w:highlight w:val="none"/>
              </w:rPr>
              <w:t>2、完成配套PPT的美化工作</w:t>
            </w:r>
            <w:r>
              <w:rPr>
                <w:rFonts w:hint="eastAsia" w:ascii="宋体" w:hAnsi="宋体" w:cs="宋体"/>
                <w:color w:val="auto"/>
                <w:sz w:val="21"/>
                <w:szCs w:val="21"/>
                <w:highlight w:val="none"/>
                <w:lang w:eastAsia="zh-CN"/>
              </w:rPr>
              <w:t>。</w:t>
            </w:r>
          </w:p>
          <w:p w14:paraId="116732AF">
            <w:pPr>
              <w:keepNext w:val="0"/>
              <w:keepLines w:val="0"/>
              <w:widowControl/>
              <w:suppressLineNumbers w:val="0"/>
              <w:spacing w:before="0" w:beforeAutospacing="0" w:after="0" w:afterAutospacing="0" w:line="400" w:lineRule="exact"/>
              <w:ind w:left="0" w:right="0"/>
              <w:jc w:val="left"/>
              <w:rPr>
                <w:rFonts w:hint="eastAsia" w:ascii="宋体" w:hAnsi="宋体" w:eastAsia="宋体" w:cs="宋体"/>
                <w:color w:val="auto"/>
                <w:sz w:val="21"/>
                <w:szCs w:val="21"/>
                <w:highlight w:val="none"/>
                <w:lang w:eastAsia="zh-CN"/>
              </w:rPr>
            </w:pPr>
            <w:r>
              <w:rPr>
                <w:rFonts w:hint="eastAsia" w:ascii="宋体" w:hAnsi="宋体" w:cs="宋体"/>
                <w:color w:val="auto"/>
                <w:sz w:val="21"/>
                <w:szCs w:val="21"/>
                <w:highlight w:val="none"/>
                <w:lang w:eastAsia="zh-CN"/>
              </w:rPr>
              <w:t>……详见采购需求</w:t>
            </w:r>
          </w:p>
        </w:tc>
        <w:tc>
          <w:tcPr>
            <w:tcW w:w="1557" w:type="dxa"/>
            <w:tcBorders>
              <w:top w:val="single" w:color="auto" w:sz="4" w:space="0"/>
              <w:bottom w:val="single" w:color="auto" w:sz="4" w:space="0"/>
            </w:tcBorders>
            <w:shd w:val="clear" w:color="auto" w:fill="auto"/>
            <w:vAlign w:val="center"/>
          </w:tcPr>
          <w:p w14:paraId="3F2D00F3">
            <w:pPr>
              <w:keepNext w:val="0"/>
              <w:keepLines w:val="0"/>
              <w:suppressLineNumbers w:val="0"/>
              <w:spacing w:before="0" w:beforeAutospacing="0" w:after="0" w:afterAutospacing="0"/>
              <w:ind w:left="0" w:right="0"/>
              <w:jc w:val="center"/>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20000</w:t>
            </w:r>
            <w:r>
              <w:rPr>
                <w:rFonts w:hint="eastAsia" w:ascii="宋体" w:hAnsi="宋体" w:eastAsia="宋体" w:cs="宋体"/>
                <w:color w:val="auto"/>
                <w:sz w:val="21"/>
                <w:szCs w:val="21"/>
                <w:highlight w:val="none"/>
              </w:rPr>
              <w:t>.00</w:t>
            </w:r>
          </w:p>
        </w:tc>
      </w:tr>
    </w:tbl>
    <w:p w14:paraId="1888269C">
      <w:pPr>
        <w:spacing w:line="360" w:lineRule="auto"/>
        <w:ind w:firstLine="420" w:firstLineChars="200"/>
        <w:rPr>
          <w:rFonts w:hint="eastAsia" w:ascii="宋体" w:hAnsi="宋体" w:eastAsia="宋体" w:cs="宋体"/>
          <w:color w:val="auto"/>
          <w:sz w:val="21"/>
          <w:szCs w:val="21"/>
          <w:highlight w:val="none"/>
        </w:rPr>
      </w:pPr>
    </w:p>
    <w:p w14:paraId="1A9BC4BE">
      <w:pPr>
        <w:spacing w:line="360" w:lineRule="auto"/>
        <w:ind w:firstLine="420" w:firstLineChars="200"/>
        <w:rPr>
          <w:rFonts w:hint="eastAsia" w:ascii="宋体" w:hAnsi="宋体" w:eastAsia="宋体" w:cs="宋体"/>
          <w:color w:val="auto"/>
          <w:sz w:val="21"/>
          <w:szCs w:val="21"/>
          <w:highlight w:val="none"/>
          <w:u w:val="single"/>
        </w:rPr>
      </w:pPr>
      <w:r>
        <w:rPr>
          <w:rFonts w:hint="eastAsia" w:ascii="宋体" w:hAnsi="宋体" w:eastAsia="宋体" w:cs="宋体"/>
          <w:color w:val="auto"/>
          <w:sz w:val="21"/>
          <w:szCs w:val="21"/>
          <w:highlight w:val="none"/>
        </w:rPr>
        <w:t>提交成果时间：</w:t>
      </w:r>
      <w:r>
        <w:rPr>
          <w:rFonts w:hint="eastAsia" w:ascii="宋体" w:hAnsi="宋体" w:eastAsia="宋体" w:cs="宋体"/>
          <w:color w:val="auto"/>
          <w:sz w:val="21"/>
          <w:szCs w:val="21"/>
          <w:highlight w:val="none"/>
          <w:lang w:eastAsia="zh-CN"/>
        </w:rPr>
        <w:t>签订合同后</w:t>
      </w:r>
      <w:r>
        <w:rPr>
          <w:rFonts w:hint="eastAsia" w:ascii="宋体" w:hAnsi="宋体" w:eastAsia="宋体" w:cs="宋体"/>
          <w:color w:val="auto"/>
          <w:sz w:val="21"/>
          <w:szCs w:val="21"/>
          <w:highlight w:val="none"/>
          <w:lang w:val="en-US" w:eastAsia="zh-CN"/>
        </w:rPr>
        <w:t>150个日历日</w:t>
      </w:r>
      <w:r>
        <w:rPr>
          <w:rFonts w:hint="eastAsia" w:ascii="宋体" w:hAnsi="宋体" w:eastAsia="宋体" w:cs="宋体"/>
          <w:color w:val="auto"/>
          <w:sz w:val="21"/>
          <w:szCs w:val="21"/>
          <w:highlight w:val="none"/>
        </w:rPr>
        <w:t>提交完成。</w:t>
      </w:r>
    </w:p>
    <w:p w14:paraId="36133C0C">
      <w:pPr>
        <w:spacing w:line="360" w:lineRule="auto"/>
        <w:ind w:firstLine="420" w:firstLineChars="20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本项目是否接受联合体投标：□是/√否。</w:t>
      </w:r>
    </w:p>
    <w:p w14:paraId="5E346C06">
      <w:pPr>
        <w:spacing w:line="360" w:lineRule="auto"/>
        <w:rPr>
          <w:rFonts w:hint="eastAsia" w:ascii="宋体" w:hAnsi="宋体" w:eastAsia="宋体" w:cs="宋体"/>
          <w:b/>
          <w:bCs/>
          <w:color w:val="auto"/>
          <w:sz w:val="21"/>
          <w:szCs w:val="21"/>
          <w:highlight w:val="none"/>
        </w:rPr>
      </w:pPr>
      <w:bookmarkStart w:id="6" w:name="_Toc28359003"/>
      <w:bookmarkStart w:id="7" w:name="_Toc35393791"/>
      <w:bookmarkStart w:id="8" w:name="_Toc35393622"/>
      <w:bookmarkStart w:id="9" w:name="_Toc28359080"/>
      <w:r>
        <w:rPr>
          <w:rFonts w:hint="eastAsia" w:ascii="宋体" w:hAnsi="宋体" w:eastAsia="宋体" w:cs="宋体"/>
          <w:b/>
          <w:bCs/>
          <w:color w:val="auto"/>
          <w:sz w:val="21"/>
          <w:szCs w:val="21"/>
          <w:highlight w:val="none"/>
        </w:rPr>
        <w:t>二、投标人的资格要求：</w:t>
      </w:r>
      <w:bookmarkEnd w:id="6"/>
      <w:bookmarkEnd w:id="7"/>
      <w:bookmarkEnd w:id="8"/>
      <w:bookmarkEnd w:id="9"/>
    </w:p>
    <w:p w14:paraId="32000DBA">
      <w:pPr>
        <w:spacing w:line="360" w:lineRule="auto"/>
        <w:ind w:firstLine="420" w:firstLineChars="20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1.满足《中华人民共和国政府采购法》第二十二条规定；</w:t>
      </w:r>
    </w:p>
    <w:p w14:paraId="7BC133B3">
      <w:pPr>
        <w:spacing w:line="360" w:lineRule="auto"/>
        <w:ind w:firstLine="420" w:firstLineChars="200"/>
        <w:rPr>
          <w:rFonts w:hint="eastAsia" w:ascii="宋体" w:hAnsi="宋体" w:eastAsia="宋体" w:cs="宋体"/>
          <w:color w:val="auto"/>
          <w:sz w:val="21"/>
          <w:szCs w:val="21"/>
          <w:highlight w:val="none"/>
        </w:rPr>
      </w:pPr>
      <w:bookmarkStart w:id="10" w:name="_Toc28359081"/>
      <w:bookmarkStart w:id="11" w:name="_Toc28359004"/>
      <w:r>
        <w:rPr>
          <w:rFonts w:hint="eastAsia" w:ascii="宋体" w:hAnsi="宋体" w:eastAsia="宋体" w:cs="宋体"/>
          <w:color w:val="auto"/>
          <w:sz w:val="21"/>
          <w:szCs w:val="21"/>
          <w:highlight w:val="none"/>
        </w:rPr>
        <w:t>2.落实政府采购政策需满足的资格要求：</w:t>
      </w:r>
    </w:p>
    <w:p w14:paraId="1FEE3364">
      <w:pPr>
        <w:spacing w:line="360" w:lineRule="auto"/>
        <w:ind w:firstLine="422" w:firstLineChars="200"/>
        <w:rPr>
          <w:rFonts w:hint="eastAsia" w:ascii="宋体" w:hAnsi="宋体" w:eastAsia="宋体" w:cs="宋体"/>
          <w:color w:val="auto"/>
          <w:sz w:val="21"/>
          <w:szCs w:val="21"/>
          <w:highlight w:val="none"/>
        </w:rPr>
      </w:pPr>
      <w:r>
        <w:rPr>
          <w:rFonts w:hint="eastAsia" w:ascii="宋体" w:hAnsi="宋体" w:eastAsia="宋体" w:cs="宋体"/>
          <w:b/>
          <w:color w:val="auto"/>
          <w:sz w:val="21"/>
          <w:szCs w:val="21"/>
          <w:highlight w:val="none"/>
        </w:rPr>
        <w:t>√</w:t>
      </w:r>
      <w:r>
        <w:rPr>
          <w:rFonts w:hint="eastAsia" w:ascii="宋体" w:hAnsi="宋体" w:eastAsia="宋体" w:cs="宋体"/>
          <w:color w:val="auto"/>
          <w:sz w:val="21"/>
          <w:szCs w:val="21"/>
          <w:highlight w:val="none"/>
        </w:rPr>
        <w:t>专门面向中小企业采购的项目（承接服务的投标人应为中型或小型或微型企业或监狱企业或残疾人福利性单位)</w:t>
      </w:r>
    </w:p>
    <w:p w14:paraId="01FA15EC">
      <w:pPr>
        <w:spacing w:line="360" w:lineRule="auto"/>
        <w:ind w:firstLine="420" w:firstLineChars="20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□非专门面向中小企业采购的项目</w:t>
      </w:r>
    </w:p>
    <w:p w14:paraId="7CBE4CE4">
      <w:pPr>
        <w:snapToGrid w:val="0"/>
        <w:spacing w:line="360" w:lineRule="auto"/>
        <w:ind w:firstLine="472" w:firstLineChars="225"/>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3.本项目的特定资格要求：</w:t>
      </w:r>
      <w:r>
        <w:rPr>
          <w:rFonts w:hint="eastAsia" w:ascii="宋体" w:hAnsi="宋体" w:eastAsia="宋体" w:cs="宋体"/>
          <w:color w:val="auto"/>
          <w:sz w:val="21"/>
          <w:szCs w:val="21"/>
          <w:highlight w:val="none"/>
          <w:lang w:val="en-US" w:eastAsia="zh-CN"/>
        </w:rPr>
        <w:t>无</w:t>
      </w:r>
      <w:r>
        <w:rPr>
          <w:rFonts w:hint="eastAsia" w:ascii="宋体" w:hAnsi="宋体" w:eastAsia="宋体" w:cs="宋体"/>
          <w:color w:val="auto"/>
          <w:sz w:val="21"/>
          <w:szCs w:val="21"/>
          <w:highlight w:val="none"/>
        </w:rPr>
        <w:t>。</w:t>
      </w:r>
    </w:p>
    <w:p w14:paraId="45D9492E">
      <w:pPr>
        <w:spacing w:line="360" w:lineRule="auto"/>
        <w:ind w:firstLine="420" w:firstLineChars="20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4.本项目的特定条件：无。</w:t>
      </w:r>
    </w:p>
    <w:p w14:paraId="2A36A563">
      <w:pPr>
        <w:snapToGrid w:val="0"/>
        <w:spacing w:line="360" w:lineRule="auto"/>
        <w:ind w:firstLine="42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5. 单位负责人为同一人或者存在直接控股、管理关系的不同投标人，不得参加同一合同项下的政府采购活动。为本项目提供过整体设计、规范编制或者项目管理、监理、检测等服务的投标人，不得再参加本项目上述服务以外的其他采购活动。</w:t>
      </w:r>
    </w:p>
    <w:p w14:paraId="4E57676B">
      <w:pPr>
        <w:spacing w:line="360" w:lineRule="auto"/>
        <w:ind w:firstLine="420" w:firstLineChars="20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 xml:space="preserve">6. 对在“信用中国”网站(www.creditchina.gov.cn) 、中国政府采购网(www.ccgp.gov.cn)被列入失信被执行人、重大税收违法失信主体、政府采购严重违法失信行为记录名单及其他不符合《中华人民共和国政府采购法》第二十二条规定条件的投标人，不得参与政府采购活动。 </w:t>
      </w:r>
    </w:p>
    <w:p w14:paraId="03116BB7">
      <w:pPr>
        <w:spacing w:line="360" w:lineRule="auto"/>
        <w:rPr>
          <w:rFonts w:hint="eastAsia" w:ascii="宋体" w:hAnsi="宋体" w:eastAsia="宋体" w:cs="宋体"/>
          <w:b/>
          <w:bCs/>
          <w:color w:val="auto"/>
          <w:sz w:val="21"/>
          <w:szCs w:val="21"/>
          <w:highlight w:val="none"/>
        </w:rPr>
      </w:pPr>
      <w:bookmarkStart w:id="12" w:name="_Toc35393792"/>
      <w:bookmarkStart w:id="13" w:name="_Toc35393623"/>
      <w:r>
        <w:rPr>
          <w:rFonts w:hint="eastAsia" w:ascii="宋体" w:hAnsi="宋体" w:eastAsia="宋体" w:cs="宋体"/>
          <w:b/>
          <w:bCs/>
          <w:color w:val="auto"/>
          <w:sz w:val="21"/>
          <w:szCs w:val="21"/>
          <w:highlight w:val="none"/>
        </w:rPr>
        <w:t>三、获取招标文件</w:t>
      </w:r>
      <w:bookmarkEnd w:id="10"/>
      <w:bookmarkEnd w:id="11"/>
      <w:bookmarkEnd w:id="12"/>
      <w:bookmarkEnd w:id="13"/>
    </w:p>
    <w:p w14:paraId="15ECAD83">
      <w:pPr>
        <w:snapToGrid w:val="0"/>
        <w:spacing w:line="360" w:lineRule="auto"/>
        <w:ind w:firstLine="472" w:firstLineChars="225"/>
        <w:rPr>
          <w:rFonts w:hint="eastAsia" w:ascii="宋体" w:hAnsi="宋体" w:eastAsia="宋体" w:cs="宋体"/>
          <w:color w:val="auto"/>
          <w:sz w:val="21"/>
          <w:szCs w:val="21"/>
          <w:highlight w:val="none"/>
        </w:rPr>
      </w:pPr>
      <w:bookmarkStart w:id="14" w:name="_Toc28359082"/>
      <w:bookmarkStart w:id="15" w:name="_Toc28359005"/>
      <w:bookmarkStart w:id="16" w:name="_Toc35393793"/>
      <w:bookmarkStart w:id="17" w:name="_Toc35393624"/>
      <w:r>
        <w:rPr>
          <w:rFonts w:hint="eastAsia" w:ascii="宋体" w:hAnsi="宋体" w:eastAsia="宋体" w:cs="宋体"/>
          <w:color w:val="auto"/>
          <w:sz w:val="21"/>
          <w:szCs w:val="21"/>
          <w:highlight w:val="none"/>
        </w:rPr>
        <w:t>时间：自公告发布之日起。</w:t>
      </w:r>
    </w:p>
    <w:p w14:paraId="7F432E22">
      <w:pPr>
        <w:spacing w:line="360" w:lineRule="auto"/>
        <w:ind w:firstLine="420" w:firstLineChars="200"/>
        <w:rPr>
          <w:rFonts w:hint="eastAsia" w:ascii="宋体" w:hAnsi="宋体" w:eastAsia="宋体" w:cs="宋体"/>
          <w:b/>
          <w:bCs/>
          <w:color w:val="auto"/>
          <w:sz w:val="21"/>
          <w:szCs w:val="21"/>
          <w:highlight w:val="none"/>
        </w:rPr>
      </w:pPr>
      <w:r>
        <w:rPr>
          <w:rFonts w:hint="eastAsia" w:ascii="宋体" w:hAnsi="宋体" w:eastAsia="宋体" w:cs="宋体"/>
          <w:color w:val="auto"/>
          <w:sz w:val="21"/>
          <w:szCs w:val="21"/>
          <w:highlight w:val="none"/>
        </w:rPr>
        <w:t>获取方式:网上下载。本项目不发放纸质文件，投标人可自行在广西政府采购云平台（https://www.gcy.zfcg.gxzf.gov.cn/）下载招标文件（操作路径：登录“广西政府采购云平台”平台-项目采购-获取采购文件-找到本项目-点击“申请获取采购文件”），电子投标文件制作需要基于“广西政府采购云平台”平台获取的招标文件编制。</w:t>
      </w:r>
    </w:p>
    <w:p w14:paraId="5A65C6AB">
      <w:pPr>
        <w:snapToGrid w:val="0"/>
        <w:spacing w:line="360" w:lineRule="auto"/>
        <w:ind w:firstLine="472" w:firstLineChars="225"/>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售价：0元。</w:t>
      </w:r>
    </w:p>
    <w:p w14:paraId="3C63F578">
      <w:pPr>
        <w:spacing w:line="360" w:lineRule="auto"/>
        <w:rPr>
          <w:rFonts w:hint="eastAsia" w:ascii="宋体" w:hAnsi="宋体" w:eastAsia="宋体" w:cs="宋体"/>
          <w:b/>
          <w:bCs/>
          <w:color w:val="auto"/>
          <w:sz w:val="21"/>
          <w:szCs w:val="21"/>
          <w:highlight w:val="none"/>
        </w:rPr>
      </w:pPr>
      <w:r>
        <w:rPr>
          <w:rFonts w:hint="eastAsia" w:ascii="宋体" w:hAnsi="宋体" w:eastAsia="宋体" w:cs="宋体"/>
          <w:b/>
          <w:bCs/>
          <w:color w:val="auto"/>
          <w:sz w:val="21"/>
          <w:szCs w:val="21"/>
          <w:highlight w:val="none"/>
        </w:rPr>
        <w:t>四、提交投标文件</w:t>
      </w:r>
      <w:bookmarkEnd w:id="14"/>
      <w:bookmarkEnd w:id="15"/>
      <w:r>
        <w:rPr>
          <w:rFonts w:hint="eastAsia" w:ascii="宋体" w:hAnsi="宋体" w:eastAsia="宋体" w:cs="宋体"/>
          <w:b/>
          <w:bCs/>
          <w:color w:val="auto"/>
          <w:sz w:val="21"/>
          <w:szCs w:val="21"/>
          <w:highlight w:val="none"/>
        </w:rPr>
        <w:t>截止时间、开标时间和地点</w:t>
      </w:r>
      <w:bookmarkEnd w:id="16"/>
      <w:bookmarkEnd w:id="17"/>
    </w:p>
    <w:p w14:paraId="2ACCEB30">
      <w:pPr>
        <w:spacing w:line="360" w:lineRule="auto"/>
        <w:ind w:firstLine="420" w:firstLineChars="200"/>
        <w:rPr>
          <w:rFonts w:hint="eastAsia" w:ascii="宋体" w:hAnsi="宋体" w:eastAsia="宋体" w:cs="宋体"/>
          <w:bCs/>
          <w:color w:val="auto"/>
          <w:sz w:val="21"/>
          <w:szCs w:val="21"/>
          <w:highlight w:val="none"/>
          <w:u w:val="single"/>
        </w:rPr>
      </w:pPr>
      <w:r>
        <w:rPr>
          <w:rFonts w:hint="eastAsia" w:ascii="宋体" w:hAnsi="宋体" w:eastAsia="宋体" w:cs="宋体"/>
          <w:bCs/>
          <w:color w:val="auto"/>
          <w:sz w:val="21"/>
          <w:szCs w:val="21"/>
          <w:highlight w:val="none"/>
        </w:rPr>
        <w:t>1、提交投标文件截止时间和开标时间：</w:t>
      </w:r>
      <w:r>
        <w:rPr>
          <w:rFonts w:hint="eastAsia" w:ascii="宋体" w:hAnsi="宋体" w:eastAsia="宋体" w:cs="宋体"/>
          <w:bCs/>
          <w:color w:val="auto"/>
          <w:sz w:val="21"/>
          <w:szCs w:val="21"/>
          <w:highlight w:val="none"/>
          <w:u w:val="single"/>
        </w:rPr>
        <w:t>2026年</w:t>
      </w:r>
      <w:r>
        <w:rPr>
          <w:rFonts w:hint="eastAsia" w:ascii="宋体" w:hAnsi="宋体" w:cs="宋体"/>
          <w:bCs/>
          <w:color w:val="auto"/>
          <w:sz w:val="21"/>
          <w:szCs w:val="21"/>
          <w:highlight w:val="none"/>
          <w:u w:val="single"/>
          <w:lang w:val="en-US" w:eastAsia="zh-CN"/>
        </w:rPr>
        <w:t>6</w:t>
      </w:r>
      <w:r>
        <w:rPr>
          <w:rFonts w:hint="eastAsia" w:ascii="宋体" w:hAnsi="宋体" w:eastAsia="宋体" w:cs="宋体"/>
          <w:bCs/>
          <w:color w:val="auto"/>
          <w:sz w:val="21"/>
          <w:szCs w:val="21"/>
          <w:highlight w:val="none"/>
          <w:u w:val="single"/>
        </w:rPr>
        <w:t>月</w:t>
      </w:r>
      <w:r>
        <w:rPr>
          <w:rFonts w:hint="eastAsia" w:ascii="宋体" w:hAnsi="宋体" w:cs="宋体"/>
          <w:bCs/>
          <w:color w:val="auto"/>
          <w:sz w:val="21"/>
          <w:szCs w:val="21"/>
          <w:highlight w:val="none"/>
          <w:u w:val="single"/>
          <w:lang w:val="en-US" w:eastAsia="zh-CN"/>
        </w:rPr>
        <w:t>9</w:t>
      </w:r>
      <w:r>
        <w:rPr>
          <w:rFonts w:hint="eastAsia" w:ascii="宋体" w:hAnsi="宋体" w:eastAsia="宋体" w:cs="宋体"/>
          <w:bCs/>
          <w:color w:val="auto"/>
          <w:sz w:val="21"/>
          <w:szCs w:val="21"/>
          <w:highlight w:val="none"/>
          <w:u w:val="single"/>
        </w:rPr>
        <w:t>日9时30分（北京时间）</w:t>
      </w:r>
    </w:p>
    <w:p w14:paraId="6DA1D68A">
      <w:pPr>
        <w:spacing w:line="360" w:lineRule="auto"/>
        <w:ind w:firstLine="420" w:firstLineChars="20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2、投标和开标地点：</w:t>
      </w:r>
    </w:p>
    <w:p w14:paraId="60848A94">
      <w:pPr>
        <w:widowControl/>
        <w:spacing w:line="360" w:lineRule="auto"/>
        <w:ind w:firstLine="420" w:firstLineChars="20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（1）投标文件提交方式：本项目为南宁市全流程电子化项目，通过广西政府采购云平台（</w:t>
      </w:r>
      <w:r>
        <w:rPr>
          <w:rFonts w:hint="eastAsia" w:ascii="宋体" w:hAnsi="宋体" w:eastAsia="宋体" w:cs="宋体"/>
          <w:bCs/>
          <w:color w:val="auto"/>
          <w:sz w:val="21"/>
          <w:szCs w:val="21"/>
          <w:highlight w:val="none"/>
        </w:rPr>
        <w:t>https://www.gcy.zfcg.gxzf.gov.cn/</w:t>
      </w:r>
      <w:r>
        <w:rPr>
          <w:rFonts w:hint="eastAsia" w:ascii="宋体" w:hAnsi="宋体" w:eastAsia="宋体" w:cs="宋体"/>
          <w:color w:val="auto"/>
          <w:sz w:val="21"/>
          <w:szCs w:val="21"/>
          <w:highlight w:val="none"/>
        </w:rPr>
        <w:t>）实行在线电子投标，投标人应先安装“广西政府采购云平台电子交易客户端”（请自行前往“广西政府采购云平台”平台进行下载），并按照本项目招标文件和“广西政府采购云平台”平台的要求编制、加密后在投标截止时间前通过网络上传至 “广西政府采购云平台”平台，</w:t>
      </w:r>
      <w:r>
        <w:rPr>
          <w:rFonts w:hint="eastAsia" w:ascii="宋体" w:hAnsi="宋体" w:eastAsia="宋体" w:cs="宋体"/>
          <w:b/>
          <w:color w:val="auto"/>
          <w:sz w:val="21"/>
          <w:szCs w:val="21"/>
          <w:highlight w:val="none"/>
        </w:rPr>
        <w:t>投标人在“</w:t>
      </w:r>
      <w:r>
        <w:rPr>
          <w:rFonts w:hint="eastAsia" w:ascii="宋体" w:hAnsi="宋体" w:eastAsia="宋体" w:cs="宋体"/>
          <w:color w:val="auto"/>
          <w:sz w:val="21"/>
          <w:szCs w:val="21"/>
          <w:highlight w:val="none"/>
        </w:rPr>
        <w:t>广西政府采购云平台</w:t>
      </w:r>
      <w:r>
        <w:rPr>
          <w:rFonts w:hint="eastAsia" w:ascii="宋体" w:hAnsi="宋体" w:eastAsia="宋体" w:cs="宋体"/>
          <w:b/>
          <w:color w:val="auto"/>
          <w:sz w:val="21"/>
          <w:szCs w:val="21"/>
          <w:highlight w:val="none"/>
        </w:rPr>
        <w:t>”平台提交电子版投标文件时，请填写参加远程开标活动经办人联系方式，</w:t>
      </w:r>
      <w:r>
        <w:rPr>
          <w:rFonts w:hint="eastAsia" w:ascii="宋体" w:hAnsi="宋体" w:eastAsia="宋体" w:cs="宋体"/>
          <w:color w:val="auto"/>
          <w:sz w:val="21"/>
          <w:szCs w:val="21"/>
          <w:highlight w:val="none"/>
        </w:rPr>
        <w:t>电子投标具体操作流程详见本公告附件2。</w:t>
      </w:r>
    </w:p>
    <w:p w14:paraId="73CF9ACE">
      <w:pPr>
        <w:widowControl/>
        <w:spacing w:line="360" w:lineRule="auto"/>
        <w:ind w:firstLine="420" w:firstLineChars="20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2）未进行网上注册并办理数字证书（CA认证）的投标人将无法参与本项目政府采购活动，潜在投标人应当在投标截止时间前，完成电子交易平台上的CA数字证书办理（申领流程见本公告附件1）及投标文件的提交。完成CA数字证书办理预计7日左右，投标人只需办理其中一家CA数字证书及签章，建议各投标人抓紧时间办理。</w:t>
      </w:r>
    </w:p>
    <w:p w14:paraId="5F8EA02C">
      <w:pPr>
        <w:widowControl/>
        <w:spacing w:line="360" w:lineRule="auto"/>
        <w:ind w:firstLine="420" w:firstLineChars="20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（3）为确保网上操作合法、有效和安全，请投标供应商确保在电子投标过程中能够对相关数据电文进行加密和使用电子签章，妥善保管CA数字证书并使用有效的CA数字证书参与整个招标活动。</w:t>
      </w:r>
    </w:p>
    <w:p w14:paraId="4FC969D8">
      <w:pPr>
        <w:spacing w:line="360" w:lineRule="auto"/>
        <w:ind w:firstLine="420" w:firstLineChars="200"/>
        <w:rPr>
          <w:rFonts w:hint="eastAsia" w:ascii="宋体" w:hAnsi="宋体" w:eastAsia="宋体" w:cs="宋体"/>
          <w:bCs/>
          <w:color w:val="auto"/>
          <w:sz w:val="21"/>
          <w:szCs w:val="21"/>
          <w:highlight w:val="none"/>
          <w:u w:val="single"/>
        </w:rPr>
      </w:pPr>
      <w:r>
        <w:rPr>
          <w:rFonts w:hint="eastAsia" w:ascii="宋体" w:hAnsi="宋体" w:eastAsia="宋体" w:cs="宋体"/>
          <w:bCs/>
          <w:color w:val="auto"/>
          <w:sz w:val="21"/>
          <w:szCs w:val="21"/>
          <w:highlight w:val="none"/>
          <w:u w:val="single"/>
        </w:rPr>
        <w:t>注：投标人应当在投标截止时间前完成电子投标文件的上传、递交，投标截止时间前可以补充、修改或者撤回投标文件。补充或者修改投标文件的，应当先行撤回原文件，补充、修改后重新上传、递交。投标截止时间前未完成上传、递交的，视为撤回投标文件。投标截止时间以后上传递交的投标文件“广西政府采购云”平台将予以拒收。</w:t>
      </w:r>
    </w:p>
    <w:p w14:paraId="04BFD427">
      <w:pPr>
        <w:widowControl/>
        <w:spacing w:line="360" w:lineRule="auto"/>
        <w:ind w:firstLine="420" w:firstLineChars="20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（4）开标地点：本次招标将</w:t>
      </w:r>
      <w:r>
        <w:rPr>
          <w:rFonts w:hint="eastAsia" w:ascii="宋体" w:hAnsi="宋体" w:eastAsia="宋体" w:cs="宋体"/>
          <w:color w:val="auto"/>
          <w:sz w:val="21"/>
          <w:szCs w:val="21"/>
          <w:highlight w:val="none"/>
          <w:u w:val="single"/>
        </w:rPr>
        <w:t>于2026年</w:t>
      </w:r>
      <w:r>
        <w:rPr>
          <w:rFonts w:hint="eastAsia" w:ascii="宋体" w:hAnsi="宋体" w:cs="宋体"/>
          <w:color w:val="auto"/>
          <w:sz w:val="21"/>
          <w:szCs w:val="21"/>
          <w:highlight w:val="none"/>
          <w:u w:val="single"/>
          <w:lang w:val="en-US" w:eastAsia="zh-CN"/>
        </w:rPr>
        <w:t>6</w:t>
      </w:r>
      <w:r>
        <w:rPr>
          <w:rFonts w:hint="eastAsia" w:ascii="宋体" w:hAnsi="宋体" w:eastAsia="宋体" w:cs="宋体"/>
          <w:color w:val="auto"/>
          <w:sz w:val="21"/>
          <w:szCs w:val="21"/>
          <w:highlight w:val="none"/>
          <w:u w:val="single"/>
        </w:rPr>
        <w:t>月</w:t>
      </w:r>
      <w:r>
        <w:rPr>
          <w:rFonts w:hint="eastAsia" w:ascii="宋体" w:hAnsi="宋体" w:cs="宋体"/>
          <w:color w:val="auto"/>
          <w:sz w:val="21"/>
          <w:szCs w:val="21"/>
          <w:highlight w:val="none"/>
          <w:u w:val="single"/>
          <w:lang w:val="en-US" w:eastAsia="zh-CN"/>
        </w:rPr>
        <w:t>9</w:t>
      </w:r>
      <w:r>
        <w:rPr>
          <w:rFonts w:hint="eastAsia" w:ascii="宋体" w:hAnsi="宋体" w:eastAsia="宋体" w:cs="宋体"/>
          <w:color w:val="auto"/>
          <w:sz w:val="21"/>
          <w:szCs w:val="21"/>
          <w:highlight w:val="none"/>
          <w:u w:val="single"/>
        </w:rPr>
        <w:t>日9时30分（北京时间）</w:t>
      </w:r>
      <w:r>
        <w:rPr>
          <w:rFonts w:hint="eastAsia" w:ascii="宋体" w:hAnsi="宋体" w:eastAsia="宋体" w:cs="宋体"/>
          <w:color w:val="auto"/>
          <w:sz w:val="21"/>
          <w:szCs w:val="21"/>
          <w:highlight w:val="none"/>
        </w:rPr>
        <w:t>在“广西政府采购云平台”平台电子开标大厅开标。</w:t>
      </w:r>
    </w:p>
    <w:p w14:paraId="4FEB97D2">
      <w:pPr>
        <w:snapToGrid w:val="0"/>
        <w:spacing w:line="360" w:lineRule="auto"/>
        <w:ind w:firstLine="420" w:firstLineChars="200"/>
        <w:rPr>
          <w:rStyle w:val="45"/>
          <w:rFonts w:hint="eastAsia" w:ascii="宋体" w:hAnsi="宋体" w:eastAsia="宋体" w:cs="宋体"/>
          <w:color w:val="auto"/>
          <w:sz w:val="21"/>
          <w:szCs w:val="21"/>
          <w:highlight w:val="none"/>
        </w:rPr>
      </w:pPr>
      <w:r>
        <w:rPr>
          <w:rFonts w:hint="eastAsia" w:ascii="宋体" w:hAnsi="宋体" w:eastAsia="宋体" w:cs="宋体"/>
          <w:color w:val="auto"/>
          <w:kern w:val="0"/>
          <w:sz w:val="21"/>
          <w:szCs w:val="21"/>
          <w:highlight w:val="none"/>
        </w:rPr>
        <w:t>（5）CA证书在线解密：投标人投标时，</w:t>
      </w:r>
      <w:r>
        <w:rPr>
          <w:rFonts w:hint="eastAsia" w:ascii="宋体" w:hAnsi="宋体" w:eastAsia="宋体" w:cs="宋体"/>
          <w:b/>
          <w:color w:val="auto"/>
          <w:kern w:val="0"/>
          <w:sz w:val="21"/>
          <w:szCs w:val="21"/>
          <w:highlight w:val="none"/>
        </w:rPr>
        <w:t>需携带制作投标文件时用来加密的有效数字证书（CA认证）</w:t>
      </w:r>
      <w:r>
        <w:rPr>
          <w:rFonts w:hint="eastAsia" w:ascii="宋体" w:hAnsi="宋体" w:eastAsia="宋体" w:cs="宋体"/>
          <w:color w:val="auto"/>
          <w:kern w:val="0"/>
          <w:sz w:val="21"/>
          <w:szCs w:val="21"/>
          <w:highlight w:val="none"/>
        </w:rPr>
        <w:t>登录“</w:t>
      </w:r>
      <w:r>
        <w:rPr>
          <w:rFonts w:hint="eastAsia" w:ascii="宋体" w:hAnsi="宋体" w:eastAsia="宋体" w:cs="宋体"/>
          <w:color w:val="auto"/>
          <w:sz w:val="21"/>
          <w:szCs w:val="21"/>
          <w:highlight w:val="none"/>
        </w:rPr>
        <w:t>广西政府采购云平台</w:t>
      </w:r>
      <w:r>
        <w:rPr>
          <w:rFonts w:hint="eastAsia" w:ascii="宋体" w:hAnsi="宋体" w:eastAsia="宋体" w:cs="宋体"/>
          <w:color w:val="auto"/>
          <w:kern w:val="0"/>
          <w:sz w:val="21"/>
          <w:szCs w:val="21"/>
          <w:highlight w:val="none"/>
        </w:rPr>
        <w:t>”平台电子开标大厅现场按规定时间对加密的投标文件进行解密，未能按要求进行解密的，由此产生的后果由投标人自行承担。</w:t>
      </w:r>
    </w:p>
    <w:p w14:paraId="5415B817">
      <w:pPr>
        <w:spacing w:line="360" w:lineRule="auto"/>
        <w:rPr>
          <w:rFonts w:hint="eastAsia" w:ascii="宋体" w:hAnsi="宋体" w:eastAsia="宋体" w:cs="宋体"/>
          <w:b/>
          <w:bCs/>
          <w:color w:val="auto"/>
          <w:sz w:val="21"/>
          <w:szCs w:val="21"/>
          <w:highlight w:val="none"/>
        </w:rPr>
      </w:pPr>
      <w:bookmarkStart w:id="18" w:name="_Toc35393625"/>
      <w:bookmarkStart w:id="19" w:name="_Toc35393794"/>
      <w:bookmarkStart w:id="20" w:name="_Toc28359007"/>
      <w:bookmarkStart w:id="21" w:name="_Toc28359084"/>
      <w:r>
        <w:rPr>
          <w:rFonts w:hint="eastAsia" w:ascii="宋体" w:hAnsi="宋体" w:eastAsia="宋体" w:cs="宋体"/>
          <w:b/>
          <w:bCs/>
          <w:color w:val="auto"/>
          <w:sz w:val="21"/>
          <w:szCs w:val="21"/>
          <w:highlight w:val="none"/>
        </w:rPr>
        <w:t>五、公告期限</w:t>
      </w:r>
      <w:bookmarkEnd w:id="18"/>
      <w:bookmarkEnd w:id="19"/>
      <w:bookmarkEnd w:id="20"/>
      <w:bookmarkEnd w:id="21"/>
    </w:p>
    <w:p w14:paraId="40A29468">
      <w:pPr>
        <w:spacing w:line="360" w:lineRule="auto"/>
        <w:ind w:firstLine="420" w:firstLineChars="200"/>
        <w:rPr>
          <w:rFonts w:hint="eastAsia" w:ascii="宋体" w:hAnsi="宋体" w:eastAsia="宋体" w:cs="宋体"/>
          <w:color w:val="auto"/>
          <w:kern w:val="0"/>
          <w:sz w:val="21"/>
          <w:szCs w:val="21"/>
          <w:highlight w:val="none"/>
        </w:rPr>
      </w:pPr>
      <w:r>
        <w:rPr>
          <w:rFonts w:hint="eastAsia" w:ascii="宋体" w:hAnsi="宋体" w:eastAsia="宋体" w:cs="宋体"/>
          <w:color w:val="auto"/>
          <w:kern w:val="0"/>
          <w:sz w:val="21"/>
          <w:szCs w:val="21"/>
          <w:highlight w:val="none"/>
        </w:rPr>
        <w:t>自本公告发布之日起5个工作日。</w:t>
      </w:r>
    </w:p>
    <w:p w14:paraId="3FA39151">
      <w:pPr>
        <w:spacing w:line="360" w:lineRule="auto"/>
        <w:rPr>
          <w:rFonts w:hint="eastAsia" w:ascii="宋体" w:hAnsi="宋体" w:eastAsia="宋体" w:cs="宋体"/>
          <w:b/>
          <w:bCs/>
          <w:color w:val="auto"/>
          <w:sz w:val="21"/>
          <w:szCs w:val="21"/>
          <w:highlight w:val="none"/>
        </w:rPr>
      </w:pPr>
      <w:bookmarkStart w:id="22" w:name="_Toc35393626"/>
      <w:bookmarkStart w:id="23" w:name="_Toc35393795"/>
      <w:r>
        <w:rPr>
          <w:rFonts w:hint="eastAsia" w:ascii="宋体" w:hAnsi="宋体" w:eastAsia="宋体" w:cs="宋体"/>
          <w:b/>
          <w:bCs/>
          <w:color w:val="auto"/>
          <w:sz w:val="21"/>
          <w:szCs w:val="21"/>
          <w:highlight w:val="none"/>
        </w:rPr>
        <w:t>六、其他补充事宜</w:t>
      </w:r>
      <w:bookmarkEnd w:id="22"/>
      <w:bookmarkEnd w:id="23"/>
    </w:p>
    <w:p w14:paraId="7E3ADDC2">
      <w:pPr>
        <w:spacing w:line="360" w:lineRule="auto"/>
        <w:ind w:firstLine="315" w:firstLineChars="150"/>
        <w:rPr>
          <w:rFonts w:hint="eastAsia" w:ascii="宋体" w:hAnsi="宋体" w:eastAsia="宋体" w:cs="宋体"/>
          <w:color w:val="auto"/>
          <w:kern w:val="0"/>
          <w:sz w:val="21"/>
          <w:szCs w:val="21"/>
          <w:highlight w:val="none"/>
        </w:rPr>
      </w:pPr>
      <w:r>
        <w:rPr>
          <w:rFonts w:hint="eastAsia" w:ascii="宋体" w:hAnsi="宋体" w:eastAsia="宋体" w:cs="宋体"/>
          <w:color w:val="auto"/>
          <w:kern w:val="0"/>
          <w:sz w:val="21"/>
          <w:szCs w:val="21"/>
          <w:highlight w:val="none"/>
        </w:rPr>
        <w:t>1.投标保证金：本项目不收取投标保证金</w:t>
      </w:r>
    </w:p>
    <w:p w14:paraId="12C396C1">
      <w:pPr>
        <w:keepNext w:val="0"/>
        <w:keepLines w:val="0"/>
        <w:pageBreakBefore w:val="0"/>
        <w:widowControl w:val="0"/>
        <w:kinsoku/>
        <w:wordWrap w:val="0"/>
        <w:overflowPunct/>
        <w:topLinePunct w:val="0"/>
        <w:autoSpaceDE/>
        <w:autoSpaceDN/>
        <w:bidi w:val="0"/>
        <w:adjustRightInd/>
        <w:snapToGrid/>
        <w:spacing w:line="360" w:lineRule="auto"/>
        <w:ind w:firstLine="315" w:firstLineChars="150"/>
        <w:textAlignment w:val="auto"/>
        <w:rPr>
          <w:rFonts w:hint="eastAsia" w:ascii="宋体" w:hAnsi="宋体" w:eastAsia="宋体" w:cs="宋体"/>
          <w:color w:val="auto"/>
          <w:kern w:val="0"/>
          <w:sz w:val="21"/>
          <w:szCs w:val="21"/>
          <w:highlight w:val="none"/>
        </w:rPr>
      </w:pPr>
      <w:r>
        <w:rPr>
          <w:rFonts w:hint="eastAsia" w:ascii="宋体" w:hAnsi="宋体" w:eastAsia="宋体" w:cs="宋体"/>
          <w:color w:val="auto"/>
          <w:kern w:val="0"/>
          <w:sz w:val="21"/>
          <w:szCs w:val="21"/>
          <w:highlight w:val="none"/>
        </w:rPr>
        <w:t>2.采购意向公开链接：</w:t>
      </w:r>
      <w:bookmarkStart w:id="24" w:name="_Hlk37429585"/>
      <w:r>
        <w:rPr>
          <w:rFonts w:hint="eastAsia" w:ascii="宋体" w:hAnsi="宋体" w:eastAsia="宋体" w:cs="宋体"/>
          <w:color w:val="auto"/>
          <w:kern w:val="0"/>
          <w:sz w:val="21"/>
          <w:szCs w:val="21"/>
          <w:highlight w:val="none"/>
        </w:rPr>
        <w:fldChar w:fldCharType="begin"/>
      </w:r>
      <w:r>
        <w:rPr>
          <w:rFonts w:hint="eastAsia" w:ascii="宋体" w:hAnsi="宋体" w:eastAsia="宋体" w:cs="宋体"/>
          <w:color w:val="auto"/>
          <w:kern w:val="0"/>
          <w:sz w:val="21"/>
          <w:szCs w:val="21"/>
          <w:highlight w:val="none"/>
        </w:rPr>
        <w:instrText xml:space="preserve"> HYPERLINK "https://zfcg.gxzf.gov.cn/site/detail?categoryCode=ZcyAnnouncement&amp;parentId=66485&amp;articleId=w3VYw7JXAWGQh9vuPlC2yw==" </w:instrText>
      </w:r>
      <w:r>
        <w:rPr>
          <w:rFonts w:hint="eastAsia" w:ascii="宋体" w:hAnsi="宋体" w:eastAsia="宋体" w:cs="宋体"/>
          <w:color w:val="auto"/>
          <w:kern w:val="0"/>
          <w:sz w:val="21"/>
          <w:szCs w:val="21"/>
          <w:highlight w:val="none"/>
        </w:rPr>
        <w:fldChar w:fldCharType="separate"/>
      </w:r>
      <w:r>
        <w:rPr>
          <w:rStyle w:val="42"/>
          <w:rFonts w:hint="eastAsia" w:ascii="宋体" w:hAnsi="宋体" w:eastAsia="宋体" w:cs="宋体"/>
          <w:color w:val="auto"/>
          <w:kern w:val="0"/>
          <w:sz w:val="21"/>
          <w:szCs w:val="21"/>
          <w:highlight w:val="none"/>
        </w:rPr>
        <w:t>https://zfcg.gxzf.gov.cn/site/detail?categoryCode=ZcyAnnouncement&amp;parentId=66485&amp;articleId=w3VYw7JXAWGQh9vuPlC2yw==</w:t>
      </w:r>
      <w:r>
        <w:rPr>
          <w:rFonts w:hint="eastAsia" w:ascii="宋体" w:hAnsi="宋体" w:eastAsia="宋体" w:cs="宋体"/>
          <w:color w:val="auto"/>
          <w:kern w:val="0"/>
          <w:sz w:val="21"/>
          <w:szCs w:val="21"/>
          <w:highlight w:val="none"/>
        </w:rPr>
        <w:fldChar w:fldCharType="end"/>
      </w:r>
    </w:p>
    <w:p w14:paraId="72AFA1A7">
      <w:pPr>
        <w:keepNext w:val="0"/>
        <w:keepLines w:val="0"/>
        <w:pageBreakBefore w:val="0"/>
        <w:widowControl w:val="0"/>
        <w:kinsoku/>
        <w:wordWrap w:val="0"/>
        <w:overflowPunct/>
        <w:topLinePunct w:val="0"/>
        <w:autoSpaceDE/>
        <w:autoSpaceDN/>
        <w:bidi w:val="0"/>
        <w:adjustRightInd/>
        <w:snapToGrid/>
        <w:spacing w:line="360" w:lineRule="auto"/>
        <w:ind w:firstLine="315" w:firstLineChars="150"/>
        <w:textAlignment w:val="auto"/>
        <w:rPr>
          <w:rFonts w:hint="eastAsia" w:ascii="宋体" w:hAnsi="宋体" w:eastAsia="宋体" w:cs="宋体"/>
          <w:color w:val="auto"/>
          <w:kern w:val="0"/>
          <w:sz w:val="21"/>
          <w:szCs w:val="21"/>
          <w:highlight w:val="none"/>
        </w:rPr>
      </w:pPr>
      <w:r>
        <w:rPr>
          <w:rFonts w:hint="eastAsia" w:ascii="宋体" w:hAnsi="宋体" w:eastAsia="宋体" w:cs="宋体"/>
          <w:color w:val="auto"/>
          <w:kern w:val="0"/>
          <w:sz w:val="21"/>
          <w:szCs w:val="21"/>
          <w:highlight w:val="none"/>
        </w:rPr>
        <w:t>3.</w:t>
      </w:r>
      <w:bookmarkStart w:id="25" w:name="_Hlk37429595"/>
      <w:r>
        <w:rPr>
          <w:rFonts w:hint="eastAsia" w:ascii="宋体" w:hAnsi="宋体" w:eastAsia="宋体" w:cs="宋体"/>
          <w:color w:val="auto"/>
          <w:kern w:val="0"/>
          <w:sz w:val="21"/>
          <w:szCs w:val="21"/>
          <w:highlight w:val="none"/>
        </w:rPr>
        <w:t>网上查询地址</w:t>
      </w:r>
    </w:p>
    <w:bookmarkEnd w:id="24"/>
    <w:bookmarkEnd w:id="25"/>
    <w:p w14:paraId="26FF2C0F">
      <w:pPr>
        <w:spacing w:line="360" w:lineRule="auto"/>
        <w:ind w:left="420" w:leftChars="200"/>
        <w:rPr>
          <w:rFonts w:hint="eastAsia" w:ascii="宋体" w:hAnsi="宋体" w:eastAsia="宋体" w:cs="宋体"/>
          <w:color w:val="auto"/>
          <w:sz w:val="21"/>
          <w:szCs w:val="21"/>
          <w:highlight w:val="none"/>
        </w:rPr>
      </w:pPr>
      <w:bookmarkStart w:id="26" w:name="_Hlk37429674"/>
      <w:r>
        <w:rPr>
          <w:rFonts w:hint="eastAsia" w:ascii="宋体" w:hAnsi="宋体" w:eastAsia="宋体" w:cs="宋体"/>
          <w:color w:val="auto"/>
          <w:kern w:val="0"/>
          <w:sz w:val="21"/>
          <w:szCs w:val="21"/>
          <w:highlight w:val="none"/>
        </w:rPr>
        <w:t>中国政府采购网（http://www.ccgp.gov.cn）</w:t>
      </w:r>
      <w:r>
        <w:rPr>
          <w:rFonts w:hint="eastAsia" w:ascii="宋体" w:hAnsi="宋体" w:eastAsia="宋体" w:cs="宋体"/>
          <w:color w:val="auto"/>
          <w:kern w:val="0"/>
          <w:sz w:val="21"/>
          <w:szCs w:val="21"/>
          <w:highlight w:val="none"/>
        </w:rPr>
        <w:br w:type="textWrapping"/>
      </w:r>
      <w:r>
        <w:rPr>
          <w:rFonts w:hint="eastAsia" w:ascii="宋体" w:hAnsi="宋体" w:eastAsia="宋体" w:cs="宋体"/>
          <w:color w:val="auto"/>
          <w:kern w:val="0"/>
          <w:sz w:val="21"/>
          <w:szCs w:val="21"/>
          <w:highlight w:val="none"/>
        </w:rPr>
        <w:t>广西壮族自治区政府采购网（http://zfcg.gxzf.gov.cn）</w:t>
      </w:r>
      <w:r>
        <w:rPr>
          <w:rFonts w:hint="eastAsia" w:ascii="宋体" w:hAnsi="宋体" w:eastAsia="宋体" w:cs="宋体"/>
          <w:color w:val="auto"/>
          <w:kern w:val="0"/>
          <w:sz w:val="21"/>
          <w:szCs w:val="21"/>
          <w:highlight w:val="none"/>
        </w:rPr>
        <w:br w:type="textWrapping"/>
      </w:r>
      <w:r>
        <w:rPr>
          <w:rFonts w:hint="eastAsia" w:ascii="宋体" w:hAnsi="宋体" w:eastAsia="宋体" w:cs="宋体"/>
          <w:color w:val="auto"/>
          <w:sz w:val="21"/>
          <w:szCs w:val="21"/>
          <w:highlight w:val="none"/>
        </w:rPr>
        <w:t>全国公共资源交易平台（广西•南宁）（http://ggzy.jgswj.gxzf.gov.cn/nnggzy/）</w:t>
      </w:r>
    </w:p>
    <w:p w14:paraId="2D1146D3">
      <w:pPr>
        <w:spacing w:line="360" w:lineRule="auto"/>
        <w:ind w:firstLine="315" w:firstLineChars="150"/>
        <w:rPr>
          <w:rFonts w:hint="eastAsia" w:ascii="宋体" w:hAnsi="宋体" w:eastAsia="宋体" w:cs="宋体"/>
          <w:color w:val="auto"/>
          <w:kern w:val="0"/>
          <w:sz w:val="21"/>
          <w:szCs w:val="21"/>
          <w:highlight w:val="none"/>
        </w:rPr>
      </w:pPr>
      <w:r>
        <w:rPr>
          <w:rFonts w:hint="eastAsia" w:ascii="宋体" w:hAnsi="宋体" w:eastAsia="宋体" w:cs="宋体"/>
          <w:color w:val="auto"/>
          <w:sz w:val="21"/>
          <w:szCs w:val="21"/>
          <w:highlight w:val="none"/>
        </w:rPr>
        <w:t xml:space="preserve">4. </w:t>
      </w:r>
      <w:r>
        <w:rPr>
          <w:rFonts w:hint="eastAsia" w:ascii="宋体" w:hAnsi="宋体" w:eastAsia="宋体" w:cs="宋体"/>
          <w:color w:val="auto"/>
          <w:kern w:val="0"/>
          <w:sz w:val="21"/>
          <w:szCs w:val="21"/>
          <w:highlight w:val="none"/>
        </w:rPr>
        <w:t>本项目需要落实的政府采购政策：</w:t>
      </w:r>
    </w:p>
    <w:bookmarkEnd w:id="26"/>
    <w:p w14:paraId="1F086DD4">
      <w:pPr>
        <w:spacing w:line="360" w:lineRule="auto"/>
        <w:ind w:firstLine="420" w:firstLineChars="200"/>
        <w:rPr>
          <w:rFonts w:hint="eastAsia" w:ascii="宋体" w:hAnsi="宋体" w:eastAsia="宋体" w:cs="宋体"/>
          <w:color w:val="auto"/>
          <w:kern w:val="0"/>
          <w:sz w:val="21"/>
          <w:szCs w:val="21"/>
          <w:highlight w:val="none"/>
        </w:rPr>
      </w:pPr>
      <w:r>
        <w:rPr>
          <w:rFonts w:hint="eastAsia" w:ascii="宋体" w:hAnsi="宋体" w:eastAsia="宋体" w:cs="宋体"/>
          <w:color w:val="auto"/>
          <w:kern w:val="0"/>
          <w:sz w:val="21"/>
          <w:szCs w:val="21"/>
          <w:highlight w:val="none"/>
        </w:rPr>
        <w:t>（1）政府采购促进中小企业发展。</w:t>
      </w:r>
    </w:p>
    <w:p w14:paraId="5E1CA69C">
      <w:pPr>
        <w:spacing w:line="360" w:lineRule="auto"/>
        <w:ind w:firstLine="420" w:firstLineChars="200"/>
        <w:rPr>
          <w:rFonts w:hint="eastAsia" w:ascii="宋体" w:hAnsi="宋体" w:eastAsia="宋体" w:cs="宋体"/>
          <w:color w:val="auto"/>
          <w:kern w:val="0"/>
          <w:sz w:val="21"/>
          <w:szCs w:val="21"/>
          <w:highlight w:val="none"/>
        </w:rPr>
      </w:pPr>
      <w:r>
        <w:rPr>
          <w:rFonts w:hint="eastAsia" w:ascii="宋体" w:hAnsi="宋体" w:eastAsia="宋体" w:cs="宋体"/>
          <w:color w:val="auto"/>
          <w:kern w:val="0"/>
          <w:sz w:val="21"/>
          <w:szCs w:val="21"/>
          <w:highlight w:val="none"/>
        </w:rPr>
        <w:t>（2）政府采购支持采用本国产品的政策。</w:t>
      </w:r>
    </w:p>
    <w:p w14:paraId="332BB112">
      <w:pPr>
        <w:spacing w:line="360" w:lineRule="auto"/>
        <w:ind w:firstLine="420" w:firstLineChars="200"/>
        <w:rPr>
          <w:rFonts w:hint="eastAsia" w:ascii="宋体" w:hAnsi="宋体" w:eastAsia="宋体" w:cs="宋体"/>
          <w:color w:val="auto"/>
          <w:kern w:val="0"/>
          <w:sz w:val="21"/>
          <w:szCs w:val="21"/>
          <w:highlight w:val="none"/>
        </w:rPr>
      </w:pPr>
      <w:r>
        <w:rPr>
          <w:rFonts w:hint="eastAsia" w:ascii="宋体" w:hAnsi="宋体" w:eastAsia="宋体" w:cs="宋体"/>
          <w:color w:val="auto"/>
          <w:kern w:val="0"/>
          <w:sz w:val="21"/>
          <w:szCs w:val="21"/>
          <w:highlight w:val="none"/>
        </w:rPr>
        <w:t>（3）强制采购节能产品；优先采购节能产品、环境标志产品。</w:t>
      </w:r>
    </w:p>
    <w:p w14:paraId="311BAB81">
      <w:pPr>
        <w:spacing w:line="360" w:lineRule="auto"/>
        <w:ind w:firstLine="420" w:firstLineChars="200"/>
        <w:rPr>
          <w:rFonts w:hint="eastAsia" w:ascii="宋体" w:hAnsi="宋体" w:eastAsia="宋体" w:cs="宋体"/>
          <w:color w:val="auto"/>
          <w:kern w:val="0"/>
          <w:sz w:val="21"/>
          <w:szCs w:val="21"/>
          <w:highlight w:val="none"/>
        </w:rPr>
      </w:pPr>
      <w:r>
        <w:rPr>
          <w:rFonts w:hint="eastAsia" w:ascii="宋体" w:hAnsi="宋体" w:eastAsia="宋体" w:cs="宋体"/>
          <w:color w:val="auto"/>
          <w:kern w:val="0"/>
          <w:sz w:val="21"/>
          <w:szCs w:val="21"/>
          <w:highlight w:val="none"/>
        </w:rPr>
        <w:t>（4）政府采购促进残疾人就业政策。</w:t>
      </w:r>
    </w:p>
    <w:p w14:paraId="6CE4AA1B">
      <w:pPr>
        <w:spacing w:line="360" w:lineRule="auto"/>
        <w:ind w:firstLine="315" w:firstLineChars="150"/>
        <w:rPr>
          <w:rFonts w:hint="eastAsia" w:ascii="宋体" w:hAnsi="宋体" w:eastAsia="宋体" w:cs="宋体"/>
          <w:color w:val="auto"/>
          <w:kern w:val="0"/>
          <w:sz w:val="21"/>
          <w:szCs w:val="21"/>
          <w:highlight w:val="none"/>
        </w:rPr>
      </w:pPr>
      <w:r>
        <w:rPr>
          <w:rFonts w:hint="eastAsia" w:ascii="宋体" w:hAnsi="宋体" w:eastAsia="宋体" w:cs="宋体"/>
          <w:color w:val="auto"/>
          <w:kern w:val="0"/>
          <w:sz w:val="21"/>
          <w:szCs w:val="21"/>
          <w:highlight w:val="none"/>
        </w:rPr>
        <w:t>（5）政府采购支持监狱企业发展。</w:t>
      </w:r>
    </w:p>
    <w:p w14:paraId="5AC3B657">
      <w:pPr>
        <w:spacing w:line="360" w:lineRule="auto"/>
        <w:ind w:firstLine="315" w:firstLineChars="150"/>
        <w:rPr>
          <w:rFonts w:hint="eastAsia" w:ascii="宋体" w:hAnsi="宋体" w:eastAsia="宋体" w:cs="宋体"/>
          <w:color w:val="auto"/>
          <w:kern w:val="0"/>
          <w:sz w:val="21"/>
          <w:szCs w:val="21"/>
          <w:highlight w:val="none"/>
        </w:rPr>
      </w:pPr>
      <w:r>
        <w:rPr>
          <w:rFonts w:hint="eastAsia" w:ascii="宋体" w:hAnsi="宋体" w:eastAsia="宋体" w:cs="宋体"/>
          <w:color w:val="auto"/>
          <w:kern w:val="0"/>
          <w:sz w:val="21"/>
          <w:szCs w:val="21"/>
          <w:highlight w:val="none"/>
        </w:rPr>
        <w:t>5.</w:t>
      </w:r>
      <w:r>
        <w:rPr>
          <w:rFonts w:hint="eastAsia" w:ascii="宋体" w:hAnsi="宋体" w:cs="宋体"/>
          <w:color w:val="auto"/>
          <w:kern w:val="0"/>
          <w:sz w:val="21"/>
          <w:szCs w:val="21"/>
          <w:highlight w:val="none"/>
          <w:lang w:val="en-US" w:eastAsia="zh-CN"/>
        </w:rPr>
        <w:t>供应商</w:t>
      </w:r>
      <w:r>
        <w:rPr>
          <w:rFonts w:hint="eastAsia" w:ascii="宋体" w:hAnsi="宋体" w:eastAsia="宋体" w:cs="宋体"/>
          <w:color w:val="auto"/>
          <w:kern w:val="0"/>
          <w:sz w:val="21"/>
          <w:szCs w:val="21"/>
          <w:highlight w:val="none"/>
        </w:rPr>
        <w:t>认为采购文件使自己的权益受到损害的，可以在知道或者应知其权益受到损害之日起7个工作日内，以书面形式向采购人、采购代理机构提出质疑。质疑供应商对采购人、采购代理机构的答复不满意或者采购人、采购代理机构未在规定的时间内作出答复的，可以在答复期满后十五个工作日内向同级政府采购监督管理部门投诉。</w:t>
      </w:r>
    </w:p>
    <w:p w14:paraId="7AC617C4">
      <w:pPr>
        <w:spacing w:line="360" w:lineRule="auto"/>
        <w:ind w:firstLine="315" w:firstLineChars="150"/>
        <w:rPr>
          <w:rFonts w:hint="eastAsia" w:ascii="宋体" w:hAnsi="宋体" w:eastAsia="宋体" w:cs="宋体"/>
          <w:color w:val="auto"/>
          <w:kern w:val="0"/>
          <w:sz w:val="21"/>
          <w:szCs w:val="21"/>
          <w:highlight w:val="none"/>
        </w:rPr>
      </w:pPr>
      <w:r>
        <w:rPr>
          <w:rFonts w:hint="eastAsia" w:ascii="宋体" w:hAnsi="宋体" w:eastAsia="宋体" w:cs="宋体"/>
          <w:color w:val="auto"/>
          <w:kern w:val="0"/>
          <w:sz w:val="21"/>
          <w:szCs w:val="21"/>
          <w:highlight w:val="none"/>
        </w:rPr>
        <w:t>6. 若对项目采购电子交易系统操作有疑问，可登录广西政府采购云平台（https://www.gcy.zfcg.gxzf.gov.cn/），点击右侧咨询小采，获取采小蜜智能服务管家帮助，或拨打广西政府采购云服务热线95763或0771-3381253获取热线服务帮助。</w:t>
      </w:r>
    </w:p>
    <w:p w14:paraId="7E7DA773">
      <w:pPr>
        <w:spacing w:line="360" w:lineRule="auto"/>
        <w:rPr>
          <w:rFonts w:hint="eastAsia" w:ascii="宋体" w:hAnsi="宋体" w:eastAsia="宋体" w:cs="宋体"/>
          <w:b/>
          <w:bCs/>
          <w:color w:val="auto"/>
          <w:sz w:val="21"/>
          <w:szCs w:val="21"/>
          <w:highlight w:val="none"/>
        </w:rPr>
      </w:pPr>
      <w:bookmarkStart w:id="27" w:name="_Toc28359008"/>
      <w:bookmarkStart w:id="28" w:name="_Toc28359085"/>
      <w:bookmarkStart w:id="29" w:name="_Toc35393796"/>
      <w:bookmarkStart w:id="30" w:name="_Toc35393627"/>
      <w:r>
        <w:rPr>
          <w:rFonts w:hint="eastAsia" w:ascii="宋体" w:hAnsi="宋体" w:eastAsia="宋体" w:cs="宋体"/>
          <w:b/>
          <w:bCs/>
          <w:color w:val="auto"/>
          <w:sz w:val="21"/>
          <w:szCs w:val="21"/>
          <w:highlight w:val="none"/>
        </w:rPr>
        <w:t>七、对本次招标提出询问，请按以下方式联系。</w:t>
      </w:r>
      <w:bookmarkEnd w:id="27"/>
      <w:bookmarkEnd w:id="28"/>
      <w:bookmarkEnd w:id="29"/>
      <w:bookmarkEnd w:id="30"/>
    </w:p>
    <w:p w14:paraId="4B2B2F1D">
      <w:pPr>
        <w:spacing w:line="480" w:lineRule="exact"/>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　　　</w:t>
      </w:r>
      <w:bookmarkStart w:id="31" w:name="_Toc532545042"/>
      <w:bookmarkStart w:id="32" w:name="_Toc187761550"/>
      <w:r>
        <w:rPr>
          <w:rFonts w:hint="eastAsia" w:ascii="宋体" w:hAnsi="宋体" w:eastAsia="宋体" w:cs="宋体"/>
          <w:color w:val="auto"/>
          <w:sz w:val="21"/>
          <w:szCs w:val="21"/>
          <w:highlight w:val="none"/>
        </w:rPr>
        <w:t>1.采购人信息</w:t>
      </w:r>
    </w:p>
    <w:p w14:paraId="73FB9B6B">
      <w:pPr>
        <w:spacing w:line="480" w:lineRule="exact"/>
        <w:ind w:firstLine="420" w:firstLineChars="20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名称：南宁市卫生学校</w:t>
      </w:r>
    </w:p>
    <w:p w14:paraId="363183E6">
      <w:pPr>
        <w:spacing w:line="480" w:lineRule="exact"/>
        <w:ind w:firstLine="420" w:firstLineChars="20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地址：广西壮族自治区南宁市西乡塘区罗文大道16号</w:t>
      </w:r>
    </w:p>
    <w:p w14:paraId="39FAF5A8">
      <w:pPr>
        <w:spacing w:line="480" w:lineRule="exact"/>
        <w:ind w:firstLine="420" w:firstLineChars="20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项目联系人：</w:t>
      </w:r>
      <w:r>
        <w:rPr>
          <w:rFonts w:hint="eastAsia" w:ascii="宋体" w:hAnsi="宋体" w:eastAsia="宋体" w:cs="宋体"/>
          <w:color w:val="auto"/>
          <w:kern w:val="0"/>
          <w:sz w:val="21"/>
          <w:szCs w:val="21"/>
          <w:highlight w:val="none"/>
        </w:rPr>
        <w:t>黄老师</w:t>
      </w:r>
    </w:p>
    <w:p w14:paraId="404F8E17">
      <w:pPr>
        <w:spacing w:line="480" w:lineRule="exact"/>
        <w:ind w:firstLine="420" w:firstLineChars="20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联系电话：0771-3939372</w:t>
      </w:r>
    </w:p>
    <w:p w14:paraId="7FB2AF85">
      <w:pPr>
        <w:spacing w:line="480" w:lineRule="exact"/>
        <w:ind w:firstLine="420" w:firstLineChars="20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2.采购代理机构信息</w:t>
      </w:r>
    </w:p>
    <w:p w14:paraId="1DB97A53">
      <w:pPr>
        <w:spacing w:line="480" w:lineRule="exact"/>
        <w:ind w:firstLine="420" w:firstLineChars="20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名 称：云之龙咨询集团有限公司　　　　　　　　　　　　</w:t>
      </w:r>
    </w:p>
    <w:p w14:paraId="261F1097">
      <w:pPr>
        <w:spacing w:line="480" w:lineRule="exact"/>
        <w:ind w:firstLine="420" w:firstLineChars="20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地　址：南宁市良庆区云英路15号3号楼云之龙咨询集团大厦6楼　　　　　　　　　　　　</w:t>
      </w:r>
    </w:p>
    <w:p w14:paraId="7689A47C">
      <w:pPr>
        <w:spacing w:line="480" w:lineRule="exact"/>
        <w:ind w:firstLine="420" w:firstLineChars="20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联系电话：0771-2618199、2618118 、2611898　　　　　　　　　　　</w:t>
      </w:r>
    </w:p>
    <w:p w14:paraId="5EBC402B">
      <w:pPr>
        <w:spacing w:line="480" w:lineRule="exact"/>
        <w:ind w:firstLine="420" w:firstLineChars="20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3.项目联系方式</w:t>
      </w:r>
    </w:p>
    <w:p w14:paraId="0508C7C6">
      <w:pPr>
        <w:spacing w:line="480" w:lineRule="exact"/>
        <w:ind w:firstLine="420" w:firstLineChars="20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项目联系人：</w:t>
      </w:r>
      <w:r>
        <w:rPr>
          <w:rFonts w:hint="eastAsia" w:ascii="宋体" w:hAnsi="宋体" w:eastAsia="宋体" w:cs="宋体"/>
          <w:color w:val="auto"/>
          <w:sz w:val="21"/>
          <w:szCs w:val="21"/>
          <w:highlight w:val="none"/>
          <w:lang w:val="en-US" w:eastAsia="zh-CN"/>
        </w:rPr>
        <w:t>刘健</w:t>
      </w:r>
      <w:r>
        <w:rPr>
          <w:rFonts w:hint="eastAsia" w:ascii="宋体" w:hAnsi="宋体" w:eastAsia="宋体" w:cs="宋体"/>
          <w:color w:val="auto"/>
          <w:sz w:val="21"/>
          <w:szCs w:val="21"/>
          <w:highlight w:val="none"/>
        </w:rPr>
        <w:t>、</w:t>
      </w:r>
      <w:r>
        <w:rPr>
          <w:rFonts w:hint="eastAsia" w:ascii="宋体" w:hAnsi="宋体" w:eastAsia="宋体" w:cs="宋体"/>
          <w:color w:val="auto"/>
          <w:sz w:val="21"/>
          <w:szCs w:val="21"/>
          <w:highlight w:val="none"/>
          <w:lang w:val="en-US" w:eastAsia="zh-CN"/>
        </w:rPr>
        <w:t>刘登智、梁俏英</w:t>
      </w:r>
      <w:r>
        <w:rPr>
          <w:rFonts w:hint="eastAsia" w:ascii="宋体" w:hAnsi="宋体" w:eastAsia="宋体" w:cs="宋体"/>
          <w:color w:val="auto"/>
          <w:sz w:val="21"/>
          <w:szCs w:val="21"/>
          <w:highlight w:val="none"/>
        </w:rPr>
        <w:t xml:space="preserve">                        </w:t>
      </w:r>
    </w:p>
    <w:p w14:paraId="1A960829">
      <w:pPr>
        <w:spacing w:line="480" w:lineRule="exact"/>
        <w:ind w:firstLine="420" w:firstLineChars="20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电话：　0771-2618199、2618118 、2611898　</w:t>
      </w:r>
    </w:p>
    <w:p w14:paraId="7099CF7D">
      <w:pPr>
        <w:pStyle w:val="18"/>
        <w:spacing w:line="480" w:lineRule="exact"/>
        <w:ind w:firstLine="420" w:firstLineChars="200"/>
        <w:rPr>
          <w:rFonts w:hint="eastAsia" w:ascii="宋体" w:hAnsi="宋体" w:eastAsia="宋体" w:cs="宋体"/>
          <w:color w:val="auto"/>
          <w:sz w:val="21"/>
          <w:szCs w:val="21"/>
          <w:highlight w:val="none"/>
          <w:lang w:eastAsia="zh-CN"/>
        </w:rPr>
      </w:pPr>
      <w:r>
        <w:rPr>
          <w:rFonts w:hint="eastAsia" w:ascii="宋体" w:hAnsi="宋体" w:eastAsia="宋体" w:cs="宋体"/>
          <w:color w:val="auto"/>
          <w:sz w:val="21"/>
          <w:szCs w:val="21"/>
          <w:highlight w:val="none"/>
        </w:rPr>
        <w:t>附件： 1.CA证书申请方式及操作指南下载地址（登录http://nncz.nanning.gov.cn/（南宁市财政局官网）-业务专题-政府采购监督管理-资料下载-“广西政采云西部CA办理方式”或“南宁市政采云CA证书办理操作指南”）（政采云CA和广西政府采购云平台CA通用）</w:t>
      </w:r>
    </w:p>
    <w:p w14:paraId="1AA98BC2">
      <w:pPr>
        <w:pStyle w:val="18"/>
        <w:numPr>
          <w:ilvl w:val="0"/>
          <w:numId w:val="0"/>
        </w:numPr>
        <w:spacing w:line="480" w:lineRule="exact"/>
        <w:ind w:firstLine="420" w:firstLineChars="200"/>
        <w:rPr>
          <w:rFonts w:hint="eastAsia" w:ascii="宋体" w:hAnsi="宋体" w:eastAsia="宋体" w:cs="宋体"/>
          <w:color w:val="auto"/>
          <w:sz w:val="21"/>
          <w:szCs w:val="21"/>
          <w:highlight w:val="none"/>
          <w:lang w:eastAsia="zh-CN"/>
        </w:rPr>
      </w:pPr>
      <w:r>
        <w:rPr>
          <w:rFonts w:hint="eastAsia" w:ascii="宋体" w:hAnsi="宋体" w:eastAsia="宋体" w:cs="宋体"/>
          <w:color w:val="auto"/>
          <w:kern w:val="2"/>
          <w:sz w:val="21"/>
          <w:szCs w:val="21"/>
          <w:highlight w:val="none"/>
          <w:lang w:val="en-US" w:eastAsia="zh-CN" w:bidi="ar-SA"/>
        </w:rPr>
        <w:t>2.</w:t>
      </w:r>
      <w:r>
        <w:rPr>
          <w:rFonts w:hint="eastAsia" w:ascii="宋体" w:hAnsi="宋体" w:eastAsia="宋体" w:cs="宋体"/>
          <w:color w:val="auto"/>
          <w:sz w:val="21"/>
          <w:szCs w:val="21"/>
          <w:highlight w:val="none"/>
        </w:rPr>
        <w:t>电子投标文件制作与投送教程（在此网址下载：http://nncz.nanning.gov.cn/（南宁市财政局官网）-业务专题-政府采购监督管理-资料下载-南宁市政府采购项目全流程电子化交易操作指南）</w:t>
      </w:r>
    </w:p>
    <w:p w14:paraId="2E3F2A1D">
      <w:pPr>
        <w:pStyle w:val="18"/>
        <w:numPr>
          <w:ilvl w:val="0"/>
          <w:numId w:val="0"/>
        </w:numPr>
        <w:spacing w:line="480" w:lineRule="exact"/>
        <w:rPr>
          <w:rFonts w:hint="eastAsia" w:ascii="宋体" w:hAnsi="宋体" w:eastAsia="宋体" w:cs="宋体"/>
          <w:color w:val="auto"/>
          <w:sz w:val="21"/>
          <w:szCs w:val="21"/>
          <w:highlight w:val="none"/>
        </w:rPr>
      </w:pPr>
    </w:p>
    <w:p w14:paraId="6D25EA4D">
      <w:pPr>
        <w:spacing w:line="360" w:lineRule="auto"/>
        <w:ind w:firstLine="210" w:firstLineChars="100"/>
        <w:jc w:val="righ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云之龙咨询集团有限公司</w:t>
      </w:r>
    </w:p>
    <w:p w14:paraId="3959DA1B">
      <w:pPr>
        <w:spacing w:line="360" w:lineRule="auto"/>
        <w:ind w:firstLine="210" w:firstLineChars="100"/>
        <w:jc w:val="righ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2026年</w:t>
      </w:r>
      <w:r>
        <w:rPr>
          <w:rFonts w:hint="eastAsia" w:ascii="宋体" w:hAnsi="宋体" w:cs="宋体"/>
          <w:color w:val="auto"/>
          <w:sz w:val="21"/>
          <w:szCs w:val="21"/>
          <w:highlight w:val="none"/>
          <w:lang w:val="en-US" w:eastAsia="zh-CN"/>
        </w:rPr>
        <w:t>5</w:t>
      </w:r>
      <w:r>
        <w:rPr>
          <w:rFonts w:hint="eastAsia" w:ascii="宋体" w:hAnsi="宋体" w:eastAsia="宋体" w:cs="宋体"/>
          <w:color w:val="auto"/>
          <w:sz w:val="21"/>
          <w:szCs w:val="21"/>
          <w:highlight w:val="none"/>
        </w:rPr>
        <w:t>月</w:t>
      </w:r>
      <w:r>
        <w:rPr>
          <w:rFonts w:hint="eastAsia" w:ascii="宋体" w:hAnsi="宋体" w:cs="宋体"/>
          <w:color w:val="auto"/>
          <w:sz w:val="21"/>
          <w:szCs w:val="21"/>
          <w:highlight w:val="none"/>
          <w:lang w:val="en-US" w:eastAsia="zh-CN"/>
        </w:rPr>
        <w:t>18</w:t>
      </w:r>
      <w:r>
        <w:rPr>
          <w:rFonts w:hint="eastAsia" w:ascii="宋体" w:hAnsi="宋体" w:eastAsia="宋体" w:cs="宋体"/>
          <w:color w:val="auto"/>
          <w:sz w:val="21"/>
          <w:szCs w:val="21"/>
          <w:highlight w:val="none"/>
        </w:rPr>
        <w:t>日</w:t>
      </w:r>
    </w:p>
    <w:p w14:paraId="2804EB02">
      <w:pPr>
        <w:widowControl/>
        <w:spacing w:line="360" w:lineRule="auto"/>
        <w:ind w:firstLine="480"/>
        <w:jc w:val="left"/>
        <w:rPr>
          <w:rFonts w:ascii="宋体" w:hAnsi="宋体" w:cs="宋体"/>
          <w:color w:val="auto"/>
          <w:sz w:val="21"/>
          <w:szCs w:val="21"/>
          <w:highlight w:val="none"/>
          <w:lang w:val="zh-CN"/>
        </w:rPr>
        <w:sectPr>
          <w:footerReference r:id="rId6" w:type="default"/>
          <w:pgSz w:w="11906" w:h="16838"/>
          <w:pgMar w:top="1134" w:right="1134" w:bottom="1134" w:left="1134" w:header="720" w:footer="720" w:gutter="0"/>
          <w:pgNumType w:fmt="decimal" w:start="1"/>
          <w:cols w:space="720" w:num="1"/>
          <w:docGrid w:type="lines" w:linePitch="331" w:charSpace="0"/>
        </w:sectPr>
      </w:pPr>
    </w:p>
    <w:p w14:paraId="22BDB238">
      <w:pPr>
        <w:pStyle w:val="7"/>
        <w:jc w:val="center"/>
        <w:outlineLvl w:val="0"/>
        <w:rPr>
          <w:rFonts w:ascii="Times New Roman" w:hAnsi="Times New Roman"/>
          <w:b/>
          <w:color w:val="auto"/>
          <w:sz w:val="36"/>
          <w:highlight w:val="none"/>
        </w:rPr>
      </w:pPr>
      <w:r>
        <w:rPr>
          <w:rFonts w:hint="eastAsia" w:ascii="Times New Roman" w:hAnsi="Times New Roman"/>
          <w:b/>
          <w:color w:val="auto"/>
          <w:sz w:val="36"/>
          <w:highlight w:val="none"/>
        </w:rPr>
        <w:t>第二章</w:t>
      </w:r>
      <w:bookmarkEnd w:id="31"/>
      <w:r>
        <w:rPr>
          <w:rFonts w:hint="eastAsia" w:ascii="Times New Roman" w:hAnsi="Times New Roman"/>
          <w:b/>
          <w:color w:val="auto"/>
          <w:sz w:val="36"/>
          <w:highlight w:val="none"/>
        </w:rPr>
        <w:t>采购需求</w:t>
      </w:r>
      <w:bookmarkEnd w:id="32"/>
    </w:p>
    <w:p w14:paraId="4FCCCD08">
      <w:pPr>
        <w:adjustRightInd w:val="0"/>
        <w:spacing w:line="340" w:lineRule="exact"/>
        <w:rPr>
          <w:rFonts w:hAnsi="宋体"/>
          <w:b/>
          <w:color w:val="auto"/>
          <w:szCs w:val="21"/>
          <w:highlight w:val="none"/>
        </w:rPr>
      </w:pPr>
    </w:p>
    <w:p w14:paraId="178290D7">
      <w:pPr>
        <w:adjustRightInd w:val="0"/>
        <w:spacing w:line="340" w:lineRule="exact"/>
        <w:rPr>
          <w:rFonts w:hint="eastAsia" w:hAnsi="宋体"/>
          <w:b/>
          <w:color w:val="auto"/>
          <w:szCs w:val="21"/>
          <w:highlight w:val="none"/>
        </w:rPr>
      </w:pPr>
      <w:r>
        <w:rPr>
          <w:rFonts w:hint="eastAsia" w:hAnsi="宋体"/>
          <w:b/>
          <w:color w:val="auto"/>
          <w:szCs w:val="21"/>
          <w:highlight w:val="none"/>
        </w:rPr>
        <w:t>说明：</w:t>
      </w:r>
    </w:p>
    <w:p w14:paraId="524F56E6">
      <w:pPr>
        <w:spacing w:line="360" w:lineRule="auto"/>
        <w:ind w:firstLine="420" w:firstLineChars="200"/>
        <w:jc w:val="left"/>
        <w:rPr>
          <w:rFonts w:hint="eastAsia"/>
          <w:color w:val="auto"/>
          <w:highlight w:val="none"/>
        </w:rPr>
      </w:pPr>
      <w:r>
        <w:rPr>
          <w:rFonts w:hint="eastAsia"/>
          <w:color w:val="auto"/>
          <w:highlight w:val="none"/>
        </w:rPr>
        <w:t>1. 为落实政府采购政策需满足的要求</w:t>
      </w:r>
    </w:p>
    <w:p w14:paraId="6D166F6A">
      <w:pPr>
        <w:spacing w:line="360" w:lineRule="auto"/>
        <w:ind w:firstLine="420" w:firstLineChars="200"/>
        <w:jc w:val="left"/>
        <w:rPr>
          <w:rFonts w:ascii="宋体" w:hAnsi="宋体" w:cs="宋体"/>
          <w:color w:val="auto"/>
          <w:szCs w:val="21"/>
          <w:highlight w:val="none"/>
        </w:rPr>
      </w:pPr>
      <w:r>
        <w:rPr>
          <w:rFonts w:hint="eastAsia" w:ascii="宋体" w:hAnsi="宋体" w:cs="宋体"/>
          <w:color w:val="auto"/>
          <w:szCs w:val="21"/>
          <w:highlight w:val="none"/>
        </w:rPr>
        <w:t>（1）本招标文件所称中小企业必须符合《政府采购促进中小企业发展管理办法》（财库〔2020〕46号）的规定。</w:t>
      </w:r>
    </w:p>
    <w:p w14:paraId="4CC8E825">
      <w:pPr>
        <w:spacing w:line="360" w:lineRule="auto"/>
        <w:ind w:firstLine="420" w:firstLineChars="200"/>
        <w:jc w:val="left"/>
        <w:rPr>
          <w:rFonts w:hint="eastAsia" w:ascii="宋体" w:hAnsi="宋体" w:cs="宋体"/>
          <w:color w:val="auto"/>
          <w:szCs w:val="21"/>
          <w:highlight w:val="none"/>
        </w:rPr>
      </w:pPr>
      <w:r>
        <w:rPr>
          <w:rFonts w:hint="eastAsia" w:ascii="宋体" w:hAnsi="宋体" w:cs="宋体"/>
          <w:color w:val="auto"/>
          <w:szCs w:val="21"/>
          <w:highlight w:val="none"/>
        </w:rPr>
        <w:t>（2）本国产品标准的货物具体是指《政府采购品目分类目录》中的货物类产品，但不包括其中的房屋和构筑物，文物和陈列品，图书和档案，特种动植物，农林牧渔业产品，矿与矿物，电力、城市燃气、蒸汽和热水、水，食品、饮料和烟草原料，无形资产。</w:t>
      </w:r>
    </w:p>
    <w:p w14:paraId="17058E3C">
      <w:pPr>
        <w:spacing w:line="360" w:lineRule="auto"/>
        <w:ind w:firstLine="424" w:firstLineChars="202"/>
        <w:jc w:val="left"/>
        <w:rPr>
          <w:rFonts w:hint="eastAsia" w:ascii="宋体" w:hAnsi="宋体" w:cs="宋体"/>
          <w:color w:val="auto"/>
          <w:szCs w:val="21"/>
          <w:highlight w:val="none"/>
        </w:rPr>
      </w:pPr>
      <w:r>
        <w:rPr>
          <w:rFonts w:hint="eastAsia" w:ascii="宋体" w:hAnsi="宋体" w:cs="宋体"/>
          <w:color w:val="auto"/>
          <w:szCs w:val="21"/>
          <w:highlight w:val="none"/>
        </w:rPr>
        <w:t>2.“实质性要求”是指招标文件中已经指明不满足则投标无效的条款，或者不能负偏离的条款，或者采购需求中带“▲”的条款。</w:t>
      </w:r>
    </w:p>
    <w:p w14:paraId="33F9B9E0">
      <w:pPr>
        <w:spacing w:line="360" w:lineRule="auto"/>
        <w:ind w:firstLine="424" w:firstLineChars="202"/>
        <w:jc w:val="left"/>
        <w:rPr>
          <w:rFonts w:ascii="宋体" w:hAnsi="宋体" w:cs="宋体"/>
          <w:color w:val="auto"/>
          <w:szCs w:val="21"/>
          <w:highlight w:val="none"/>
        </w:rPr>
      </w:pPr>
      <w:r>
        <w:rPr>
          <w:rFonts w:hint="eastAsia" w:ascii="宋体" w:hAnsi="宋体" w:cs="宋体"/>
          <w:color w:val="auto"/>
          <w:szCs w:val="21"/>
          <w:highlight w:val="none"/>
        </w:rPr>
        <w:t>3.采购需求中出现的品牌、型号或者生产厂家仅起参考作用，不属于指定品牌、型号或者生产厂家的情形。投标人可参照或者选用其他相当的品牌、型号或者生产厂家替代。</w:t>
      </w:r>
    </w:p>
    <w:p w14:paraId="6F1EEF38">
      <w:pPr>
        <w:spacing w:line="360" w:lineRule="auto"/>
        <w:ind w:firstLine="424" w:firstLineChars="202"/>
        <w:jc w:val="left"/>
        <w:rPr>
          <w:rStyle w:val="45"/>
          <w:color w:val="auto"/>
          <w:highlight w:val="none"/>
        </w:rPr>
      </w:pPr>
      <w:r>
        <w:rPr>
          <w:rFonts w:hint="eastAsia" w:ascii="宋体" w:hAnsi="宋体" w:cs="宋体"/>
          <w:color w:val="auto"/>
          <w:szCs w:val="21"/>
          <w:highlight w:val="none"/>
        </w:rPr>
        <w:t>4. 投标人应根据自身实际情况如实响应招标文件</w:t>
      </w:r>
      <w:r>
        <w:rPr>
          <w:rFonts w:hint="eastAsia" w:ascii="宋体" w:hAnsi="宋体"/>
          <w:color w:val="auto"/>
          <w:szCs w:val="21"/>
          <w:highlight w:val="none"/>
        </w:rPr>
        <w:t>，</w:t>
      </w:r>
      <w:r>
        <w:rPr>
          <w:rFonts w:hint="eastAsia" w:ascii="宋体" w:hAnsi="宋体"/>
          <w:color w:val="auto"/>
          <w:sz w:val="22"/>
          <w:szCs w:val="22"/>
          <w:highlight w:val="none"/>
        </w:rPr>
        <w:t>对招标文件提出的要求和条件作出明确响应，</w:t>
      </w:r>
      <w:r>
        <w:rPr>
          <w:rFonts w:hint="eastAsia" w:ascii="宋体" w:hAnsi="宋体"/>
          <w:b/>
          <w:bCs/>
          <w:color w:val="auto"/>
          <w:szCs w:val="21"/>
          <w:highlight w:val="none"/>
        </w:rPr>
        <w:t>否则将作无效响应处理</w:t>
      </w:r>
      <w:r>
        <w:rPr>
          <w:rFonts w:hint="eastAsia" w:ascii="宋体" w:hAnsi="宋体"/>
          <w:color w:val="auto"/>
          <w:szCs w:val="21"/>
          <w:highlight w:val="none"/>
        </w:rPr>
        <w:t>。</w:t>
      </w:r>
      <w:r>
        <w:rPr>
          <w:rFonts w:hint="eastAsia"/>
          <w:color w:val="auto"/>
          <w:highlight w:val="none"/>
        </w:rPr>
        <w:t>对于重要技术条款或技术参数应当在投标文件中提供技术支持资料，技术支持资料以招标文件中规定的形式为准，</w:t>
      </w:r>
      <w:r>
        <w:rPr>
          <w:rFonts w:hint="eastAsia"/>
          <w:b/>
          <w:bCs/>
          <w:color w:val="auto"/>
          <w:highlight w:val="none"/>
        </w:rPr>
        <w:t>否则将视为无效技术支持资料</w:t>
      </w:r>
      <w:r>
        <w:rPr>
          <w:rFonts w:hint="eastAsia"/>
          <w:color w:val="auto"/>
          <w:highlight w:val="none"/>
        </w:rPr>
        <w:t>。</w:t>
      </w:r>
    </w:p>
    <w:p w14:paraId="2E677A5F">
      <w:pPr>
        <w:adjustRightInd w:val="0"/>
        <w:spacing w:line="340" w:lineRule="exact"/>
        <w:ind w:firstLine="420" w:firstLineChars="200"/>
        <w:rPr>
          <w:rFonts w:hint="eastAsia" w:hAnsi="宋体"/>
          <w:b/>
          <w:color w:val="auto"/>
          <w:szCs w:val="21"/>
          <w:highlight w:val="none"/>
        </w:rPr>
      </w:pPr>
      <w:r>
        <w:rPr>
          <w:rFonts w:hint="eastAsia" w:ascii="宋体" w:hAnsi="宋体" w:cs="宋体"/>
          <w:color w:val="auto"/>
          <w:szCs w:val="21"/>
          <w:highlight w:val="none"/>
        </w:rPr>
        <w:t>5</w:t>
      </w:r>
      <w:r>
        <w:rPr>
          <w:rFonts w:ascii="宋体" w:hAnsi="宋体" w:cs="宋体"/>
          <w:color w:val="auto"/>
          <w:szCs w:val="21"/>
          <w:highlight w:val="none"/>
        </w:rPr>
        <w:t>.</w:t>
      </w:r>
      <w:r>
        <w:rPr>
          <w:rFonts w:hint="eastAsia"/>
          <w:color w:val="auto"/>
          <w:highlight w:val="none"/>
        </w:rPr>
        <w:t>投标人</w:t>
      </w:r>
      <w:r>
        <w:rPr>
          <w:color w:val="auto"/>
          <w:highlight w:val="none"/>
        </w:rPr>
        <w:t>必须自行为其</w:t>
      </w:r>
      <w:r>
        <w:rPr>
          <w:rFonts w:hint="eastAsia"/>
          <w:color w:val="auto"/>
          <w:highlight w:val="none"/>
        </w:rPr>
        <w:t>投标</w:t>
      </w:r>
      <w:r>
        <w:rPr>
          <w:color w:val="auto"/>
          <w:highlight w:val="none"/>
        </w:rPr>
        <w:t>产品侵犯</w:t>
      </w:r>
      <w:r>
        <w:rPr>
          <w:rFonts w:hint="eastAsia"/>
          <w:color w:val="auto"/>
          <w:highlight w:val="none"/>
        </w:rPr>
        <w:t>他人的知识产权或者专利成果的行为</w:t>
      </w:r>
      <w:r>
        <w:rPr>
          <w:color w:val="auto"/>
          <w:highlight w:val="none"/>
        </w:rPr>
        <w:t>承担相应法律责任</w:t>
      </w:r>
      <w:r>
        <w:rPr>
          <w:rFonts w:hint="eastAsia"/>
          <w:color w:val="auto"/>
          <w:highlight w:val="none"/>
        </w:rPr>
        <w:t>。</w:t>
      </w:r>
    </w:p>
    <w:tbl>
      <w:tblPr>
        <w:tblStyle w:val="37"/>
        <w:tblW w:w="4982" w:type="pct"/>
        <w:jc w:val="center"/>
        <w:tblBorders>
          <w:top w:val="single" w:color="000000" w:sz="8" w:space="0"/>
          <w:left w:val="single" w:color="000000" w:sz="8" w:space="0"/>
          <w:bottom w:val="single" w:color="000000" w:sz="8" w:space="0"/>
          <w:right w:val="single" w:color="000000" w:sz="8" w:space="0"/>
          <w:insideH w:val="single" w:color="000000" w:sz="6" w:space="0"/>
          <w:insideV w:val="single" w:color="000000" w:sz="6" w:space="0"/>
        </w:tblBorders>
        <w:tblLayout w:type="fixed"/>
        <w:tblCellMar>
          <w:top w:w="0" w:type="dxa"/>
          <w:left w:w="108" w:type="dxa"/>
          <w:bottom w:w="0" w:type="dxa"/>
          <w:right w:w="108" w:type="dxa"/>
        </w:tblCellMar>
      </w:tblPr>
      <w:tblGrid>
        <w:gridCol w:w="408"/>
        <w:gridCol w:w="1293"/>
        <w:gridCol w:w="623"/>
        <w:gridCol w:w="792"/>
        <w:gridCol w:w="5222"/>
        <w:gridCol w:w="1245"/>
      </w:tblGrid>
      <w:tr w14:paraId="4FEF1760">
        <w:tblPrEx>
          <w:tblBorders>
            <w:top w:val="single" w:color="000000" w:sz="8" w:space="0"/>
            <w:left w:val="single" w:color="000000" w:sz="8" w:space="0"/>
            <w:bottom w:val="single" w:color="000000" w:sz="8" w:space="0"/>
            <w:right w:val="single" w:color="000000" w:sz="8" w:space="0"/>
            <w:insideH w:val="single" w:color="000000" w:sz="6" w:space="0"/>
            <w:insideV w:val="single" w:color="000000" w:sz="6" w:space="0"/>
          </w:tblBorders>
          <w:tblCellMar>
            <w:top w:w="0" w:type="dxa"/>
            <w:left w:w="108" w:type="dxa"/>
            <w:bottom w:w="0" w:type="dxa"/>
            <w:right w:w="108" w:type="dxa"/>
          </w:tblCellMar>
        </w:tblPrEx>
        <w:trPr>
          <w:trHeight w:val="608" w:hRule="atLeast"/>
          <w:jc w:val="center"/>
        </w:trPr>
        <w:tc>
          <w:tcPr>
            <w:tcW w:w="5000" w:type="pct"/>
            <w:gridSpan w:val="6"/>
            <w:tcBorders>
              <w:top w:val="single" w:color="000000" w:sz="8" w:space="0"/>
              <w:left w:val="single" w:color="000000" w:sz="8" w:space="0"/>
              <w:bottom w:val="single" w:color="000000" w:sz="6" w:space="0"/>
              <w:right w:val="single" w:color="000000" w:sz="8" w:space="0"/>
            </w:tcBorders>
            <w:vAlign w:val="center"/>
          </w:tcPr>
          <w:p w14:paraId="3C8DC45A">
            <w:pPr>
              <w:keepNext w:val="0"/>
              <w:keepLines w:val="0"/>
              <w:pageBreakBefore w:val="0"/>
              <w:suppressLineNumbers w:val="0"/>
              <w:overflowPunct/>
              <w:topLinePunct w:val="0"/>
              <w:bidi w:val="0"/>
              <w:spacing w:before="0" w:beforeAutospacing="0" w:after="0" w:afterAutospacing="0" w:line="400" w:lineRule="exact"/>
              <w:ind w:left="0" w:right="0" w:firstLine="643"/>
              <w:jc w:val="center"/>
              <w:rPr>
                <w:rFonts w:hint="eastAsia" w:ascii="宋体" w:hAnsi="宋体" w:eastAsia="宋体" w:cs="宋体"/>
                <w:b/>
                <w:color w:val="auto"/>
                <w:sz w:val="21"/>
                <w:szCs w:val="21"/>
                <w:highlight w:val="none"/>
              </w:rPr>
            </w:pPr>
            <w:r>
              <w:rPr>
                <w:rFonts w:hint="eastAsia" w:ascii="宋体" w:hAnsi="宋体" w:cs="宋体"/>
                <w:color w:val="auto"/>
                <w:szCs w:val="21"/>
                <w:highlight w:val="none"/>
              </w:rPr>
              <w:t>▲</w:t>
            </w:r>
            <w:r>
              <w:rPr>
                <w:rFonts w:hint="eastAsia" w:ascii="宋体" w:hAnsi="宋体" w:eastAsia="宋体" w:cs="宋体"/>
                <w:b/>
                <w:color w:val="auto"/>
                <w:sz w:val="21"/>
                <w:szCs w:val="21"/>
                <w:highlight w:val="none"/>
              </w:rPr>
              <w:t>服务需求一览表</w:t>
            </w:r>
          </w:p>
        </w:tc>
      </w:tr>
      <w:tr w14:paraId="2988DB2D">
        <w:tblPrEx>
          <w:tblBorders>
            <w:top w:val="single" w:color="000000" w:sz="8" w:space="0"/>
            <w:left w:val="single" w:color="000000" w:sz="8" w:space="0"/>
            <w:bottom w:val="single" w:color="000000" w:sz="8" w:space="0"/>
            <w:right w:val="single" w:color="000000" w:sz="8" w:space="0"/>
            <w:insideH w:val="single" w:color="000000" w:sz="6" w:space="0"/>
            <w:insideV w:val="single" w:color="000000" w:sz="6" w:space="0"/>
          </w:tblBorders>
          <w:tblCellMar>
            <w:top w:w="0" w:type="dxa"/>
            <w:left w:w="108" w:type="dxa"/>
            <w:bottom w:w="0" w:type="dxa"/>
            <w:right w:w="108" w:type="dxa"/>
          </w:tblCellMar>
        </w:tblPrEx>
        <w:trPr>
          <w:trHeight w:val="465" w:hRule="atLeast"/>
          <w:jc w:val="center"/>
        </w:trPr>
        <w:tc>
          <w:tcPr>
            <w:tcW w:w="887" w:type="pct"/>
            <w:gridSpan w:val="2"/>
            <w:tcBorders>
              <w:top w:val="single" w:color="000000" w:sz="8" w:space="0"/>
              <w:left w:val="single" w:color="000000" w:sz="8" w:space="0"/>
              <w:bottom w:val="single" w:color="000000" w:sz="6" w:space="0"/>
              <w:right w:val="single" w:color="000000" w:sz="6" w:space="0"/>
            </w:tcBorders>
            <w:tcMar>
              <w:top w:w="0" w:type="dxa"/>
              <w:left w:w="0" w:type="dxa"/>
              <w:bottom w:w="0" w:type="dxa"/>
              <w:right w:w="0" w:type="dxa"/>
            </w:tcMar>
            <w:vAlign w:val="center"/>
          </w:tcPr>
          <w:p w14:paraId="77066294">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宋体" w:hAnsi="宋体" w:eastAsia="宋体" w:cs="宋体"/>
                <w:b/>
                <w:color w:val="auto"/>
                <w:sz w:val="21"/>
                <w:szCs w:val="21"/>
                <w:highlight w:val="none"/>
                <w:lang w:val="en-US" w:eastAsia="zh-CN"/>
              </w:rPr>
            </w:pPr>
            <w:r>
              <w:rPr>
                <w:rFonts w:hint="eastAsia" w:ascii="宋体" w:hAnsi="宋体" w:eastAsia="宋体" w:cs="宋体"/>
                <w:b/>
                <w:color w:val="auto"/>
                <w:sz w:val="21"/>
                <w:szCs w:val="21"/>
                <w:highlight w:val="none"/>
                <w:lang w:val="en-US" w:eastAsia="zh-CN"/>
              </w:rPr>
              <w:t>标段</w:t>
            </w:r>
          </w:p>
        </w:tc>
        <w:tc>
          <w:tcPr>
            <w:tcW w:w="4112" w:type="pct"/>
            <w:gridSpan w:val="4"/>
            <w:tcBorders>
              <w:top w:val="single" w:color="000000" w:sz="8" w:space="0"/>
              <w:left w:val="single" w:color="000000" w:sz="6" w:space="0"/>
              <w:bottom w:val="single" w:color="000000" w:sz="6" w:space="0"/>
              <w:right w:val="single" w:color="000000" w:sz="8" w:space="0"/>
            </w:tcBorders>
            <w:vAlign w:val="center"/>
          </w:tcPr>
          <w:p w14:paraId="75EB94F4">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both"/>
              <w:textAlignment w:val="auto"/>
              <w:rPr>
                <w:rFonts w:hint="eastAsia" w:ascii="宋体" w:hAnsi="宋体" w:eastAsia="宋体" w:cs="宋体"/>
                <w:b/>
                <w:color w:val="auto"/>
                <w:sz w:val="21"/>
                <w:szCs w:val="21"/>
                <w:highlight w:val="none"/>
                <w:lang w:val="en-US" w:eastAsia="zh-CN"/>
              </w:rPr>
            </w:pPr>
            <w:r>
              <w:rPr>
                <w:rFonts w:hint="eastAsia" w:ascii="宋体" w:hAnsi="宋体" w:eastAsia="宋体" w:cs="宋体"/>
                <w:b/>
                <w:color w:val="auto"/>
                <w:sz w:val="21"/>
                <w:szCs w:val="21"/>
                <w:highlight w:val="none"/>
                <w:lang w:val="en-US" w:eastAsia="zh-CN"/>
              </w:rPr>
              <w:t>单分标</w:t>
            </w:r>
          </w:p>
        </w:tc>
      </w:tr>
      <w:tr w14:paraId="5318622A">
        <w:tblPrEx>
          <w:tblBorders>
            <w:top w:val="single" w:color="000000" w:sz="8" w:space="0"/>
            <w:left w:val="single" w:color="000000" w:sz="8" w:space="0"/>
            <w:bottom w:val="single" w:color="000000" w:sz="8" w:space="0"/>
            <w:right w:val="single" w:color="000000" w:sz="8" w:space="0"/>
            <w:insideH w:val="single" w:color="000000" w:sz="6" w:space="0"/>
            <w:insideV w:val="single" w:color="000000" w:sz="6" w:space="0"/>
          </w:tblBorders>
          <w:tblCellMar>
            <w:top w:w="0" w:type="dxa"/>
            <w:left w:w="108" w:type="dxa"/>
            <w:bottom w:w="0" w:type="dxa"/>
            <w:right w:w="108" w:type="dxa"/>
          </w:tblCellMar>
        </w:tblPrEx>
        <w:trPr>
          <w:jc w:val="center"/>
        </w:trPr>
        <w:tc>
          <w:tcPr>
            <w:tcW w:w="212" w:type="pct"/>
            <w:tcBorders>
              <w:top w:val="single" w:color="000000" w:sz="8" w:space="0"/>
              <w:left w:val="single" w:color="000000" w:sz="8" w:space="0"/>
              <w:bottom w:val="single" w:color="000000" w:sz="6" w:space="0"/>
              <w:right w:val="single" w:color="000000" w:sz="6" w:space="0"/>
            </w:tcBorders>
            <w:tcMar>
              <w:top w:w="0" w:type="dxa"/>
              <w:left w:w="0" w:type="dxa"/>
              <w:bottom w:w="0" w:type="dxa"/>
              <w:right w:w="0" w:type="dxa"/>
            </w:tcMar>
            <w:vAlign w:val="center"/>
          </w:tcPr>
          <w:p w14:paraId="049F0F9A">
            <w:pPr>
              <w:keepNext w:val="0"/>
              <w:keepLines w:val="0"/>
              <w:pageBreakBefore w:val="0"/>
              <w:widowControl w:val="0"/>
              <w:suppressLineNumbers w:val="0"/>
              <w:kinsoku/>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宋体" w:hAnsi="宋体" w:eastAsia="宋体" w:cs="宋体"/>
                <w:b/>
                <w:color w:val="auto"/>
                <w:sz w:val="21"/>
                <w:szCs w:val="21"/>
                <w:highlight w:val="none"/>
              </w:rPr>
            </w:pPr>
            <w:r>
              <w:rPr>
                <w:rFonts w:hint="eastAsia" w:ascii="宋体" w:hAnsi="宋体" w:eastAsia="宋体" w:cs="宋体"/>
                <w:b/>
                <w:color w:val="auto"/>
                <w:sz w:val="21"/>
                <w:szCs w:val="21"/>
                <w:highlight w:val="none"/>
              </w:rPr>
              <w:t>项号</w:t>
            </w:r>
          </w:p>
        </w:tc>
        <w:tc>
          <w:tcPr>
            <w:tcW w:w="674" w:type="pct"/>
            <w:tcBorders>
              <w:top w:val="single" w:color="000000" w:sz="8" w:space="0"/>
              <w:left w:val="single" w:color="000000" w:sz="6" w:space="0"/>
              <w:bottom w:val="single" w:color="000000" w:sz="6" w:space="0"/>
              <w:right w:val="single" w:color="000000" w:sz="6" w:space="0"/>
            </w:tcBorders>
            <w:vAlign w:val="center"/>
          </w:tcPr>
          <w:p w14:paraId="680F49EA">
            <w:pPr>
              <w:keepNext w:val="0"/>
              <w:keepLines w:val="0"/>
              <w:pageBreakBefore w:val="0"/>
              <w:widowControl w:val="0"/>
              <w:suppressLineNumbers w:val="0"/>
              <w:kinsoku/>
              <w:wordWrap w:val="0"/>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宋体" w:hAnsi="宋体" w:eastAsia="宋体" w:cs="宋体"/>
                <w:b/>
                <w:color w:val="auto"/>
                <w:sz w:val="21"/>
                <w:szCs w:val="21"/>
                <w:highlight w:val="none"/>
              </w:rPr>
            </w:pPr>
            <w:r>
              <w:rPr>
                <w:rFonts w:hint="eastAsia" w:ascii="宋体" w:hAnsi="宋体" w:eastAsia="宋体" w:cs="宋体"/>
                <w:b/>
                <w:color w:val="auto"/>
                <w:sz w:val="21"/>
                <w:szCs w:val="21"/>
                <w:highlight w:val="none"/>
              </w:rPr>
              <w:t>采购标的（服务名称）</w:t>
            </w:r>
          </w:p>
        </w:tc>
        <w:tc>
          <w:tcPr>
            <w:tcW w:w="324" w:type="pct"/>
            <w:tcBorders>
              <w:top w:val="single" w:color="000000" w:sz="8" w:space="0"/>
              <w:left w:val="single" w:color="000000" w:sz="6" w:space="0"/>
              <w:bottom w:val="single" w:color="000000" w:sz="6" w:space="0"/>
              <w:right w:val="single" w:color="000000" w:sz="6" w:space="0"/>
            </w:tcBorders>
            <w:vAlign w:val="center"/>
          </w:tcPr>
          <w:p w14:paraId="5524E684">
            <w:pPr>
              <w:keepNext w:val="0"/>
              <w:keepLines w:val="0"/>
              <w:pageBreakBefore w:val="0"/>
              <w:widowControl w:val="0"/>
              <w:suppressLineNumbers w:val="0"/>
              <w:kinsoku/>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宋体" w:hAnsi="宋体" w:eastAsia="宋体" w:cs="宋体"/>
                <w:b/>
                <w:color w:val="auto"/>
                <w:sz w:val="21"/>
                <w:szCs w:val="21"/>
                <w:highlight w:val="none"/>
              </w:rPr>
            </w:pPr>
            <w:r>
              <w:rPr>
                <w:rFonts w:hint="eastAsia" w:ascii="宋体" w:hAnsi="宋体" w:eastAsia="宋体" w:cs="宋体"/>
                <w:b/>
                <w:color w:val="auto"/>
                <w:sz w:val="21"/>
                <w:szCs w:val="21"/>
                <w:highlight w:val="none"/>
              </w:rPr>
              <w:t>数量单位</w:t>
            </w:r>
          </w:p>
        </w:tc>
        <w:tc>
          <w:tcPr>
            <w:tcW w:w="413" w:type="pct"/>
            <w:tcBorders>
              <w:top w:val="single" w:color="000000" w:sz="8" w:space="0"/>
              <w:left w:val="single" w:color="000000" w:sz="6" w:space="0"/>
              <w:bottom w:val="single" w:color="000000" w:sz="6" w:space="0"/>
              <w:right w:val="single" w:color="000000" w:sz="6" w:space="0"/>
            </w:tcBorders>
            <w:vAlign w:val="center"/>
          </w:tcPr>
          <w:p w14:paraId="4F2A4C49">
            <w:pPr>
              <w:keepNext w:val="0"/>
              <w:keepLines w:val="0"/>
              <w:pageBreakBefore w:val="0"/>
              <w:widowControl w:val="0"/>
              <w:suppressLineNumbers w:val="0"/>
              <w:kinsoku/>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宋体" w:hAnsi="宋体" w:eastAsia="宋体" w:cs="宋体"/>
                <w:b/>
                <w:color w:val="auto"/>
                <w:sz w:val="21"/>
                <w:szCs w:val="21"/>
                <w:highlight w:val="none"/>
              </w:rPr>
            </w:pPr>
            <w:r>
              <w:rPr>
                <w:rFonts w:hint="eastAsia" w:ascii="宋体" w:hAnsi="宋体" w:eastAsia="宋体" w:cs="宋体"/>
                <w:b/>
                <w:color w:val="auto"/>
                <w:sz w:val="21"/>
                <w:szCs w:val="21"/>
                <w:highlight w:val="none"/>
                <w:lang w:val="en-US" w:eastAsia="zh-CN"/>
              </w:rPr>
              <w:t>所属行业</w:t>
            </w:r>
          </w:p>
        </w:tc>
        <w:tc>
          <w:tcPr>
            <w:tcW w:w="2724" w:type="pct"/>
            <w:tcBorders>
              <w:top w:val="single" w:color="000000" w:sz="8" w:space="0"/>
              <w:left w:val="single" w:color="000000" w:sz="6" w:space="0"/>
              <w:bottom w:val="single" w:color="000000" w:sz="6" w:space="0"/>
              <w:right w:val="single" w:color="000000" w:sz="6" w:space="0"/>
            </w:tcBorders>
            <w:vAlign w:val="center"/>
          </w:tcPr>
          <w:p w14:paraId="250608F2">
            <w:pPr>
              <w:keepNext w:val="0"/>
              <w:keepLines w:val="0"/>
              <w:pageBreakBefore w:val="0"/>
              <w:widowControl w:val="0"/>
              <w:suppressLineNumbers w:val="0"/>
              <w:kinsoku/>
              <w:overflowPunct/>
              <w:topLinePunct w:val="0"/>
              <w:autoSpaceDE/>
              <w:autoSpaceDN/>
              <w:bidi w:val="0"/>
              <w:adjustRightInd/>
              <w:snapToGrid/>
              <w:spacing w:before="0" w:beforeAutospacing="0" w:after="0" w:afterAutospacing="0" w:line="400" w:lineRule="exact"/>
              <w:ind w:left="0" w:right="0" w:firstLine="422"/>
              <w:jc w:val="center"/>
              <w:textAlignment w:val="auto"/>
              <w:rPr>
                <w:rFonts w:hint="eastAsia" w:ascii="宋体" w:hAnsi="宋体" w:eastAsia="宋体" w:cs="宋体"/>
                <w:b/>
                <w:color w:val="auto"/>
                <w:sz w:val="21"/>
                <w:szCs w:val="21"/>
                <w:highlight w:val="none"/>
              </w:rPr>
            </w:pPr>
            <w:r>
              <w:rPr>
                <w:rFonts w:hint="eastAsia" w:ascii="宋体" w:hAnsi="宋体" w:eastAsia="宋体" w:cs="宋体"/>
                <w:b/>
                <w:color w:val="auto"/>
                <w:sz w:val="21"/>
                <w:szCs w:val="21"/>
                <w:highlight w:val="none"/>
              </w:rPr>
              <w:t>服务参数</w:t>
            </w:r>
          </w:p>
        </w:tc>
        <w:tc>
          <w:tcPr>
            <w:tcW w:w="649" w:type="pct"/>
            <w:tcBorders>
              <w:top w:val="single" w:color="000000" w:sz="8" w:space="0"/>
              <w:left w:val="single" w:color="000000" w:sz="6" w:space="0"/>
              <w:bottom w:val="single" w:color="000000" w:sz="6" w:space="0"/>
              <w:right w:val="single" w:color="000000" w:sz="8" w:space="0"/>
            </w:tcBorders>
            <w:vAlign w:val="center"/>
          </w:tcPr>
          <w:p w14:paraId="4DE957B8">
            <w:pPr>
              <w:keepNext w:val="0"/>
              <w:keepLines w:val="0"/>
              <w:pageBreakBefore w:val="0"/>
              <w:widowControl w:val="0"/>
              <w:suppressLineNumbers w:val="0"/>
              <w:kinsoku/>
              <w:overflowPunct/>
              <w:topLinePunct w:val="0"/>
              <w:autoSpaceDE/>
              <w:autoSpaceDN/>
              <w:bidi w:val="0"/>
              <w:adjustRightInd/>
              <w:snapToGrid/>
              <w:spacing w:before="0" w:beforeAutospacing="0" w:after="0" w:afterAutospacing="0" w:line="400" w:lineRule="exact"/>
              <w:ind w:left="0" w:right="0"/>
              <w:jc w:val="center"/>
              <w:textAlignment w:val="auto"/>
              <w:rPr>
                <w:rFonts w:hint="eastAsia" w:ascii="宋体" w:hAnsi="宋体" w:eastAsia="宋体" w:cs="宋体"/>
                <w:b/>
                <w:color w:val="auto"/>
                <w:sz w:val="21"/>
                <w:szCs w:val="21"/>
                <w:highlight w:val="none"/>
              </w:rPr>
            </w:pPr>
            <w:r>
              <w:rPr>
                <w:rFonts w:hint="eastAsia" w:ascii="宋体" w:hAnsi="宋体" w:eastAsia="宋体" w:cs="宋体"/>
                <w:b/>
                <w:color w:val="auto"/>
                <w:sz w:val="21"/>
                <w:szCs w:val="21"/>
                <w:highlight w:val="none"/>
              </w:rPr>
              <w:t>预算金额（元）</w:t>
            </w:r>
          </w:p>
        </w:tc>
      </w:tr>
      <w:tr w14:paraId="28525382">
        <w:tblPrEx>
          <w:tblBorders>
            <w:top w:val="single" w:color="000000" w:sz="8" w:space="0"/>
            <w:left w:val="single" w:color="000000" w:sz="8" w:space="0"/>
            <w:bottom w:val="single" w:color="000000" w:sz="8" w:space="0"/>
            <w:right w:val="single" w:color="000000" w:sz="8" w:space="0"/>
            <w:insideH w:val="single" w:color="000000" w:sz="6" w:space="0"/>
            <w:insideV w:val="single" w:color="000000" w:sz="6" w:space="0"/>
          </w:tblBorders>
          <w:tblCellMar>
            <w:top w:w="0" w:type="dxa"/>
            <w:left w:w="108" w:type="dxa"/>
            <w:bottom w:w="0" w:type="dxa"/>
            <w:right w:w="108" w:type="dxa"/>
          </w:tblCellMar>
        </w:tblPrEx>
        <w:trPr>
          <w:trHeight w:val="1065" w:hRule="atLeast"/>
          <w:jc w:val="center"/>
        </w:trPr>
        <w:tc>
          <w:tcPr>
            <w:tcW w:w="212" w:type="pct"/>
            <w:tcBorders>
              <w:top w:val="single" w:color="000000" w:sz="8" w:space="0"/>
              <w:left w:val="single" w:color="000000" w:sz="8" w:space="0"/>
              <w:bottom w:val="single" w:color="000000" w:sz="6" w:space="0"/>
              <w:right w:val="single" w:color="000000" w:sz="6" w:space="0"/>
            </w:tcBorders>
            <w:tcMar>
              <w:top w:w="0" w:type="dxa"/>
              <w:left w:w="0" w:type="dxa"/>
              <w:bottom w:w="0" w:type="dxa"/>
              <w:right w:w="0" w:type="dxa"/>
            </w:tcMar>
            <w:vAlign w:val="center"/>
          </w:tcPr>
          <w:p w14:paraId="13549B5A">
            <w:pPr>
              <w:keepNext w:val="0"/>
              <w:keepLines w:val="0"/>
              <w:pageBreakBefore w:val="0"/>
              <w:suppressLineNumbers w:val="0"/>
              <w:overflowPunct/>
              <w:topLinePunct w:val="0"/>
              <w:bidi w:val="0"/>
              <w:snapToGrid w:val="0"/>
              <w:spacing w:before="0" w:beforeAutospacing="0" w:after="0" w:afterAutospacing="0" w:line="400" w:lineRule="exact"/>
              <w:ind w:left="0" w:right="0"/>
              <w:jc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w:t>
            </w:r>
          </w:p>
        </w:tc>
        <w:tc>
          <w:tcPr>
            <w:tcW w:w="674" w:type="pct"/>
            <w:tcBorders>
              <w:top w:val="single" w:color="000000" w:sz="8" w:space="0"/>
              <w:left w:val="single" w:color="000000" w:sz="6" w:space="0"/>
              <w:bottom w:val="single" w:color="000000" w:sz="6" w:space="0"/>
              <w:right w:val="single" w:color="000000" w:sz="6" w:space="0"/>
            </w:tcBorders>
            <w:vAlign w:val="center"/>
          </w:tcPr>
          <w:p w14:paraId="600601B9">
            <w:pPr>
              <w:keepNext w:val="0"/>
              <w:keepLines w:val="0"/>
              <w:pageBreakBefore w:val="0"/>
              <w:suppressLineNumbers w:val="0"/>
              <w:overflowPunct/>
              <w:topLinePunct w:val="0"/>
              <w:bidi w:val="0"/>
              <w:spacing w:before="0" w:beforeAutospacing="0" w:after="0" w:afterAutospacing="0" w:line="400" w:lineRule="exact"/>
              <w:ind w:left="0" w:right="0"/>
              <w:jc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val="en-US" w:eastAsia="zh-CN"/>
              </w:rPr>
              <w:t>口腔修复工艺专业群——智慧课程建设</w:t>
            </w:r>
          </w:p>
        </w:tc>
        <w:tc>
          <w:tcPr>
            <w:tcW w:w="324" w:type="pct"/>
            <w:tcBorders>
              <w:top w:val="single" w:color="000000" w:sz="8" w:space="0"/>
              <w:left w:val="single" w:color="000000" w:sz="6" w:space="0"/>
              <w:bottom w:val="single" w:color="000000" w:sz="6" w:space="0"/>
              <w:right w:val="single" w:color="000000" w:sz="6" w:space="0"/>
            </w:tcBorders>
            <w:vAlign w:val="center"/>
          </w:tcPr>
          <w:p w14:paraId="33DD5D9F">
            <w:pPr>
              <w:keepNext w:val="0"/>
              <w:keepLines w:val="0"/>
              <w:pageBreakBefore w:val="0"/>
              <w:suppressLineNumbers w:val="0"/>
              <w:overflowPunct/>
              <w:topLinePunct w:val="0"/>
              <w:bidi w:val="0"/>
              <w:spacing w:before="0" w:beforeAutospacing="0" w:after="0" w:afterAutospacing="0" w:line="400" w:lineRule="exact"/>
              <w:ind w:left="0" w:right="0"/>
              <w:jc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1项</w:t>
            </w:r>
          </w:p>
        </w:tc>
        <w:tc>
          <w:tcPr>
            <w:tcW w:w="413" w:type="pct"/>
            <w:tcBorders>
              <w:top w:val="single" w:color="000000" w:sz="8" w:space="0"/>
              <w:left w:val="single" w:color="000000" w:sz="6" w:space="0"/>
              <w:bottom w:val="single" w:color="000000" w:sz="6" w:space="0"/>
              <w:right w:val="single" w:color="000000" w:sz="6" w:space="0"/>
            </w:tcBorders>
            <w:vAlign w:val="center"/>
          </w:tcPr>
          <w:p w14:paraId="6D5B951C">
            <w:pPr>
              <w:keepNext w:val="0"/>
              <w:keepLines w:val="0"/>
              <w:pageBreakBefore w:val="0"/>
              <w:suppressLineNumbers w:val="0"/>
              <w:overflowPunct/>
              <w:topLinePunct w:val="0"/>
              <w:bidi w:val="0"/>
              <w:snapToGrid w:val="0"/>
              <w:spacing w:before="0" w:beforeAutospacing="0" w:after="0" w:afterAutospacing="0" w:line="400" w:lineRule="exact"/>
              <w:ind w:left="0" w:right="0"/>
              <w:jc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软件和信息技术服务业</w:t>
            </w:r>
          </w:p>
        </w:tc>
        <w:tc>
          <w:tcPr>
            <w:tcW w:w="2724" w:type="pct"/>
            <w:tcBorders>
              <w:top w:val="single" w:color="000000" w:sz="8" w:space="0"/>
              <w:left w:val="single" w:color="000000" w:sz="6" w:space="0"/>
              <w:bottom w:val="single" w:color="000000" w:sz="6" w:space="0"/>
              <w:right w:val="single" w:color="000000" w:sz="6" w:space="0"/>
            </w:tcBorders>
          </w:tcPr>
          <w:p w14:paraId="37079EB1">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2" w:firstLineChars="200"/>
              <w:jc w:val="both"/>
              <w:textAlignment w:val="auto"/>
              <w:rPr>
                <w:rFonts w:hint="eastAsia" w:ascii="宋体" w:hAnsi="宋体" w:eastAsia="宋体" w:cs="宋体"/>
                <w:b/>
                <w:bCs/>
                <w:color w:val="auto"/>
                <w:sz w:val="21"/>
                <w:szCs w:val="21"/>
                <w:highlight w:val="none"/>
                <w:lang w:val="en-US" w:eastAsia="zh-CN"/>
              </w:rPr>
            </w:pPr>
            <w:r>
              <w:rPr>
                <w:rFonts w:hint="eastAsia" w:ascii="宋体" w:hAnsi="宋体" w:eastAsia="宋体" w:cs="宋体"/>
                <w:b/>
                <w:bCs/>
                <w:color w:val="auto"/>
                <w:sz w:val="21"/>
                <w:szCs w:val="21"/>
                <w:highlight w:val="none"/>
                <w:lang w:val="en-US" w:eastAsia="zh-CN"/>
              </w:rPr>
              <w:t>一、建设内容</w:t>
            </w:r>
          </w:p>
          <w:p w14:paraId="200228DA">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供应商</w:t>
            </w:r>
            <w:r>
              <w:rPr>
                <w:rFonts w:hint="eastAsia" w:ascii="宋体" w:hAnsi="宋体" w:eastAsia="宋体" w:cs="宋体"/>
                <w:color w:val="auto"/>
                <w:sz w:val="21"/>
                <w:szCs w:val="21"/>
                <w:highlight w:val="none"/>
                <w:lang w:eastAsia="zh-CN"/>
              </w:rPr>
              <w:t>需</w:t>
            </w:r>
            <w:r>
              <w:rPr>
                <w:rFonts w:hint="eastAsia" w:ascii="宋体" w:hAnsi="宋体" w:eastAsia="宋体" w:cs="宋体"/>
                <w:color w:val="auto"/>
                <w:sz w:val="21"/>
                <w:szCs w:val="21"/>
                <w:highlight w:val="none"/>
                <w:lang w:val="en-US" w:eastAsia="zh-CN"/>
              </w:rPr>
              <w:t>建设完成《可摘义齿修复工艺技术》、《口腔解剖与牙雕刻技术》、《固定义齿制作工艺》的知识图谱、目标图谱、能力图谱、知识地图、思政图谱、AI助教系统，《可摘义齿修复工艺技术》《口腔解剖与牙雕刻技术》《固定义齿制作工艺》智慧课程门户升级。并不仅仅是开通图谱自动生成功能，而是需要供应商完成建设几门课程的图谱。</w:t>
            </w:r>
          </w:p>
          <w:p w14:paraId="21993A9A">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2" w:firstLineChars="200"/>
              <w:jc w:val="both"/>
              <w:textAlignment w:val="auto"/>
              <w:rPr>
                <w:rFonts w:hint="eastAsia" w:ascii="宋体" w:hAnsi="宋体" w:eastAsia="宋体" w:cs="宋体"/>
                <w:b/>
                <w:bCs/>
                <w:color w:val="auto"/>
                <w:sz w:val="21"/>
                <w:szCs w:val="21"/>
                <w:highlight w:val="none"/>
                <w:lang w:val="en-US" w:eastAsia="zh-CN"/>
              </w:rPr>
            </w:pPr>
            <w:r>
              <w:rPr>
                <w:rFonts w:hint="eastAsia" w:ascii="宋体" w:hAnsi="宋体" w:eastAsia="宋体" w:cs="宋体"/>
                <w:b/>
                <w:bCs/>
                <w:color w:val="auto"/>
                <w:sz w:val="21"/>
                <w:szCs w:val="21"/>
                <w:highlight w:val="none"/>
                <w:lang w:val="en-US" w:eastAsia="zh-CN"/>
              </w:rPr>
              <w:t>二、可摘义齿修复工艺技术》《口腔解剖与牙雕刻技术》《固定义齿制作工艺》智慧课程具体的功能参数</w:t>
            </w:r>
          </w:p>
          <w:p w14:paraId="75DD9B78">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2" w:firstLineChars="200"/>
              <w:jc w:val="both"/>
              <w:textAlignment w:val="auto"/>
              <w:rPr>
                <w:rFonts w:hint="eastAsia" w:ascii="宋体" w:hAnsi="宋体" w:eastAsia="宋体" w:cs="宋体"/>
                <w:b/>
                <w:bCs/>
                <w:color w:val="auto"/>
                <w:sz w:val="21"/>
                <w:szCs w:val="21"/>
                <w:highlight w:val="none"/>
              </w:rPr>
            </w:pPr>
            <w:r>
              <w:rPr>
                <w:rFonts w:hint="eastAsia" w:ascii="宋体" w:hAnsi="宋体" w:eastAsia="宋体" w:cs="宋体"/>
                <w:b/>
                <w:bCs/>
                <w:color w:val="auto"/>
                <w:sz w:val="21"/>
                <w:szCs w:val="21"/>
                <w:highlight w:val="none"/>
                <w:lang w:eastAsia="zh-CN"/>
              </w:rPr>
              <w:t>（</w:t>
            </w:r>
            <w:r>
              <w:rPr>
                <w:rFonts w:hint="eastAsia" w:ascii="宋体" w:hAnsi="宋体" w:eastAsia="宋体" w:cs="宋体"/>
                <w:b/>
                <w:bCs/>
                <w:color w:val="auto"/>
                <w:sz w:val="21"/>
                <w:szCs w:val="21"/>
                <w:highlight w:val="none"/>
                <w:lang w:val="en-US" w:eastAsia="zh-CN"/>
              </w:rPr>
              <w:t>一</w:t>
            </w:r>
            <w:r>
              <w:rPr>
                <w:rFonts w:hint="eastAsia" w:ascii="宋体" w:hAnsi="宋体" w:eastAsia="宋体" w:cs="宋体"/>
                <w:b/>
                <w:bCs/>
                <w:color w:val="auto"/>
                <w:sz w:val="21"/>
                <w:szCs w:val="21"/>
                <w:highlight w:val="none"/>
                <w:lang w:eastAsia="zh-CN"/>
              </w:rPr>
              <w:t>）</w:t>
            </w:r>
            <w:r>
              <w:rPr>
                <w:rFonts w:hint="eastAsia" w:ascii="宋体" w:hAnsi="宋体" w:eastAsia="宋体" w:cs="宋体"/>
                <w:b/>
                <w:bCs/>
                <w:color w:val="auto"/>
                <w:sz w:val="21"/>
                <w:szCs w:val="21"/>
                <w:highlight w:val="none"/>
              </w:rPr>
              <w:t>知识图谱管理</w:t>
            </w:r>
          </w:p>
          <w:p w14:paraId="6A41FD7D">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1．支持建立以学校的教务课程-知识点为体系的知识点架构进行后台知识图谱框架管理。</w:t>
            </w:r>
          </w:p>
          <w:p w14:paraId="54CFF4FC">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2．支持对教务课程的课程类别、课程性质进行增删改查管理。</w:t>
            </w:r>
          </w:p>
          <w:p w14:paraId="62DB609C">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3．支持按照学校不同专业关联不同的课程，生成学科/专业知识图谱。</w:t>
            </w:r>
          </w:p>
          <w:p w14:paraId="672365C3">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4．支持为网络课程和教务课程建立独立的知识图谱，便于统一管理。</w:t>
            </w:r>
          </w:p>
          <w:p w14:paraId="055310DE">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5．支持知识点之间进行前置关系、后置关系、关联关系的设置。</w:t>
            </w:r>
          </w:p>
          <w:p w14:paraId="090F3AEA">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6．支持关联关系自定义，可进行添加描述并显示在图谱页面</w:t>
            </w:r>
          </w:p>
          <w:p w14:paraId="772E00FD">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7．支持给知识点打标签，自定义标签内容，支持同一个支持点标记多个标签。</w:t>
            </w:r>
          </w:p>
          <w:p w14:paraId="08791E8F">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8．支持引用后台教务课程的知识图谱先进行审核，审核通过才允许引用，并记录引用次数。</w:t>
            </w:r>
          </w:p>
          <w:p w14:paraId="2EAEE233">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9．支持进行跨课知识点关联，实现不同课程之间知识的聚合联动，关联后可以实现跨课学习并进行专业下多门课程的知识点关联展示应用。</w:t>
            </w:r>
          </w:p>
          <w:p w14:paraId="69740105">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10．支持教师调整知识点在课程空间菜单栏的显示顺序。</w:t>
            </w:r>
          </w:p>
          <w:p w14:paraId="0D6D44E6">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11．跨课知识点支持用户通过点击实现一键跳转。</w:t>
            </w:r>
          </w:p>
          <w:p w14:paraId="4B84B0B0">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12．支持点击知识点后，其父级知识点节点高亮显示。</w:t>
            </w:r>
          </w:p>
          <w:p w14:paraId="4FC51053">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13．支持对已删除知识点资源的实时更新。</w:t>
            </w:r>
          </w:p>
          <w:p w14:paraId="22485587">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14．具备附加标签功能，能够实现知识点的分类和标识，支持知识点设定重点、难点以及考点等标签，同时支持用户自定义标签名称。</w:t>
            </w:r>
          </w:p>
          <w:p w14:paraId="6B1059E9">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15．支持知识点被赋予多种分类属性，包括事实性、概念性、程序性、元认知等。</w:t>
            </w:r>
          </w:p>
          <w:p w14:paraId="6DBC48A3">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2" w:firstLineChars="200"/>
              <w:jc w:val="both"/>
              <w:textAlignment w:val="auto"/>
              <w:rPr>
                <w:rFonts w:hint="eastAsia" w:ascii="宋体" w:hAnsi="宋体" w:eastAsia="宋体" w:cs="宋体"/>
                <w:color w:val="auto"/>
                <w:sz w:val="21"/>
                <w:szCs w:val="21"/>
                <w:highlight w:val="none"/>
              </w:rPr>
            </w:pPr>
            <w:r>
              <w:rPr>
                <w:rFonts w:hint="eastAsia" w:ascii="宋体" w:hAnsi="宋体" w:eastAsia="宋体" w:cs="宋体"/>
                <w:b/>
                <w:bCs/>
                <w:color w:val="auto"/>
                <w:sz w:val="21"/>
                <w:szCs w:val="21"/>
                <w:highlight w:val="none"/>
                <w:lang w:eastAsia="zh-CN"/>
              </w:rPr>
              <w:t>（</w:t>
            </w:r>
            <w:r>
              <w:rPr>
                <w:rFonts w:hint="eastAsia" w:ascii="宋体" w:hAnsi="宋体" w:eastAsia="宋体" w:cs="宋体"/>
                <w:b/>
                <w:bCs/>
                <w:color w:val="auto"/>
                <w:sz w:val="21"/>
                <w:szCs w:val="21"/>
                <w:highlight w:val="none"/>
                <w:lang w:val="en-US" w:eastAsia="zh-CN"/>
              </w:rPr>
              <w:t>二</w:t>
            </w:r>
            <w:r>
              <w:rPr>
                <w:rFonts w:hint="eastAsia" w:ascii="宋体" w:hAnsi="宋体" w:eastAsia="宋体" w:cs="宋体"/>
                <w:b/>
                <w:bCs/>
                <w:color w:val="auto"/>
                <w:sz w:val="21"/>
                <w:szCs w:val="21"/>
                <w:highlight w:val="none"/>
                <w:lang w:eastAsia="zh-CN"/>
              </w:rPr>
              <w:t>）</w:t>
            </w:r>
            <w:r>
              <w:rPr>
                <w:rFonts w:hint="eastAsia" w:ascii="宋体" w:hAnsi="宋体" w:eastAsia="宋体" w:cs="宋体"/>
                <w:b/>
                <w:bCs/>
                <w:color w:val="auto"/>
                <w:sz w:val="21"/>
                <w:szCs w:val="21"/>
                <w:highlight w:val="none"/>
              </w:rPr>
              <w:t>知识图谱构建</w:t>
            </w:r>
            <w:r>
              <w:rPr>
                <w:rFonts w:hint="eastAsia" w:ascii="宋体" w:hAnsi="宋体" w:eastAsia="宋体" w:cs="宋体"/>
                <w:color w:val="auto"/>
                <w:sz w:val="21"/>
                <w:szCs w:val="21"/>
                <w:highlight w:val="none"/>
              </w:rPr>
              <w:tab/>
            </w:r>
          </w:p>
          <w:p w14:paraId="34350F6C">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1．支持知识点多层级架构建立，生成子父级知识点关系。</w:t>
            </w:r>
          </w:p>
          <w:p w14:paraId="165B0482">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2．支持手动添加、批量导入等方式构建知识图谱。批量导入需支持填写知识点名称、标签信息、认知维度、分类属性、教学目标、知识点说明等信息数据。手动编辑需支持单个或批量修改知识点属性编辑，可批量或单独对当前知识点进行移动。</w:t>
            </w:r>
          </w:p>
          <w:p w14:paraId="12344FF4">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3．支持智能导入，用户上传课程大纲、教材等，系统智能识别构建生成知识图谱。</w:t>
            </w:r>
          </w:p>
          <w:p w14:paraId="63969E88">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4．支持本地导入xmind格式的思维导图文件，自动读取文件数据，生成课程知识图谱，并能够导出xmind格式文件。</w:t>
            </w:r>
          </w:p>
          <w:p w14:paraId="3D3CC745">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5．支持教务课程和网络课程知识图谱互相同步调用。</w:t>
            </w:r>
          </w:p>
          <w:p w14:paraId="6F01177B">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6．支持课程章节一键转化生成知识图谱，并同时进行资源关联。</w:t>
            </w:r>
          </w:p>
          <w:p w14:paraId="1A66C9C8">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7．创建图谱支持同步其他课程图谱，支持全量同步或者部分选择同步。支持教学平台所教的课导入及从教务课程导入功能支持导入知识点之间的关系。</w:t>
            </w:r>
          </w:p>
          <w:p w14:paraId="5AB1B476">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lang w:eastAsia="zh-CN"/>
              </w:rPr>
            </w:pPr>
            <w:r>
              <w:rPr>
                <w:rFonts w:hint="eastAsia" w:ascii="宋体" w:hAnsi="宋体" w:eastAsia="宋体" w:cs="宋体"/>
                <w:color w:val="auto"/>
                <w:sz w:val="21"/>
                <w:szCs w:val="21"/>
                <w:highlight w:val="none"/>
              </w:rPr>
              <w:t>8．支持AI生成图谱功能，系统可以基于教师已经建设好的网络课程结合AI应用自动生成知识图谱，并支持直接使用生成的图谱，</w:t>
            </w:r>
            <w:r>
              <w:rPr>
                <w:rFonts w:hint="eastAsia" w:ascii="宋体" w:hAnsi="宋体" w:eastAsia="宋体" w:cs="宋体"/>
                <w:color w:val="auto"/>
                <w:sz w:val="21"/>
                <w:szCs w:val="21"/>
                <w:highlight w:val="none"/>
                <w:lang w:val="en-US" w:eastAsia="zh-CN"/>
              </w:rPr>
              <w:t>同时</w:t>
            </w:r>
            <w:r>
              <w:rPr>
                <w:rFonts w:hint="eastAsia" w:ascii="宋体" w:hAnsi="宋体" w:eastAsia="宋体" w:cs="宋体"/>
                <w:color w:val="auto"/>
                <w:sz w:val="21"/>
                <w:szCs w:val="21"/>
                <w:highlight w:val="none"/>
              </w:rPr>
              <w:t>支持在生成的图谱上进行自定义化修改</w:t>
            </w:r>
            <w:r>
              <w:rPr>
                <w:rFonts w:hint="eastAsia" w:ascii="宋体" w:hAnsi="宋体" w:cs="宋体"/>
                <w:color w:val="auto"/>
                <w:sz w:val="21"/>
                <w:szCs w:val="21"/>
                <w:highlight w:val="none"/>
                <w:lang w:eastAsia="zh-CN"/>
              </w:rPr>
              <w:t>。</w:t>
            </w:r>
          </w:p>
          <w:p w14:paraId="28DB29AE">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9．支持教师根据课程属性设定是否显示课程中心点。</w:t>
            </w:r>
          </w:p>
          <w:p w14:paraId="7764DFD1">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10．知识图谱知识点支持说明添加，可添加富文本编辑框、公式编辑等富媒体文本。</w:t>
            </w:r>
          </w:p>
          <w:p w14:paraId="355CA109">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11．支持与教学平台打通，可通过教学平台现有课程章节选择生成章节图谱。</w:t>
            </w:r>
          </w:p>
          <w:p w14:paraId="5468542F">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12．支持知识图谱自定义编辑功能，系统提供至少6种图谱形态，用户可根据课程性质选择合适的图谱形态进行编辑。</w:t>
            </w:r>
          </w:p>
          <w:p w14:paraId="7E90B37B">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13．支持知识图谱自定义颜色设定，可根据具体要求进行图谱知识点颜色的设定。同时支持图谱知识点自定义文字颜色及大小设置。</w:t>
            </w:r>
          </w:p>
          <w:p w14:paraId="18151266">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14．具备批量编辑图谱知识点功能，可实现批量对知识图谱知识点进行编辑修改。大纲模式下可实现对知识点进行批量全选设置。</w:t>
            </w:r>
          </w:p>
          <w:p w14:paraId="353CD532">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15．具备任意拖动功能，可实现对知识图谱知识点的单个节点进行拖动，也可实现对整个知识图谱集合进行拖动。</w:t>
            </w:r>
          </w:p>
          <w:p w14:paraId="537B0E0B">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16．支持对课程体系、知识图谱、知识关系等进行自定义显隐控制。</w:t>
            </w:r>
          </w:p>
          <w:p w14:paraId="090E1594">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17．知识图谱显示支持2D和3D展示效果，用户可自主的进行模式切换。</w:t>
            </w:r>
          </w:p>
          <w:p w14:paraId="1D517DDF">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18．具备知识图谱门户系统，能够提供对应的知识图谱门户模板，可展示课程介绍、知识图谱、知识关系、目标图谱、问题图谱。</w:t>
            </w:r>
          </w:p>
          <w:p w14:paraId="382BFF22">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19．图谱系统支持教师在图谱内自由上传图标，上传的图标会能够作为整体图谱的背景，便于知识图谱的构建与美化。</w:t>
            </w:r>
          </w:p>
          <w:p w14:paraId="3E2A7F82">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lang w:eastAsia="zh-CN"/>
              </w:rPr>
            </w:pPr>
            <w:r>
              <w:rPr>
                <w:rFonts w:hint="eastAsia" w:ascii="宋体" w:hAnsi="宋体" w:eastAsia="宋体" w:cs="宋体"/>
                <w:color w:val="auto"/>
                <w:sz w:val="21"/>
                <w:szCs w:val="21"/>
                <w:highlight w:val="none"/>
              </w:rPr>
              <w:t>20．知识图谱的知识点需支持显隐设置，可以对具体的知识点设置显示或者隐藏</w:t>
            </w:r>
            <w:r>
              <w:rPr>
                <w:rFonts w:hint="eastAsia" w:ascii="宋体" w:hAnsi="宋体" w:cs="宋体"/>
                <w:color w:val="auto"/>
                <w:sz w:val="21"/>
                <w:szCs w:val="21"/>
                <w:highlight w:val="none"/>
                <w:lang w:eastAsia="zh-CN"/>
              </w:rPr>
              <w:t>。</w:t>
            </w:r>
          </w:p>
          <w:p w14:paraId="24CBD26D">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2" w:firstLineChars="200"/>
              <w:jc w:val="both"/>
              <w:textAlignment w:val="auto"/>
              <w:rPr>
                <w:rFonts w:hint="eastAsia" w:ascii="宋体" w:hAnsi="宋体" w:eastAsia="宋体" w:cs="宋体"/>
                <w:color w:val="auto"/>
                <w:sz w:val="21"/>
                <w:szCs w:val="21"/>
                <w:highlight w:val="none"/>
              </w:rPr>
            </w:pPr>
            <w:r>
              <w:rPr>
                <w:rFonts w:hint="eastAsia" w:ascii="宋体" w:hAnsi="宋体" w:eastAsia="宋体" w:cs="宋体"/>
                <w:b/>
                <w:bCs/>
                <w:color w:val="auto"/>
                <w:sz w:val="21"/>
                <w:szCs w:val="21"/>
                <w:highlight w:val="none"/>
                <w:lang w:eastAsia="zh-CN"/>
              </w:rPr>
              <w:t>（</w:t>
            </w:r>
            <w:r>
              <w:rPr>
                <w:rFonts w:hint="eastAsia" w:ascii="宋体" w:hAnsi="宋体" w:eastAsia="宋体" w:cs="宋体"/>
                <w:b/>
                <w:bCs/>
                <w:color w:val="auto"/>
                <w:sz w:val="21"/>
                <w:szCs w:val="21"/>
                <w:highlight w:val="none"/>
                <w:lang w:val="en-US" w:eastAsia="zh-CN"/>
              </w:rPr>
              <w:t>三</w:t>
            </w:r>
            <w:r>
              <w:rPr>
                <w:rFonts w:hint="eastAsia" w:ascii="宋体" w:hAnsi="宋体" w:eastAsia="宋体" w:cs="宋体"/>
                <w:b/>
                <w:bCs/>
                <w:color w:val="auto"/>
                <w:sz w:val="21"/>
                <w:szCs w:val="21"/>
                <w:highlight w:val="none"/>
                <w:lang w:eastAsia="zh-CN"/>
              </w:rPr>
              <w:t>）</w:t>
            </w:r>
            <w:r>
              <w:rPr>
                <w:rFonts w:hint="eastAsia" w:ascii="宋体" w:hAnsi="宋体" w:eastAsia="宋体" w:cs="宋体"/>
                <w:b/>
                <w:bCs/>
                <w:color w:val="auto"/>
                <w:sz w:val="21"/>
                <w:szCs w:val="21"/>
                <w:highlight w:val="none"/>
              </w:rPr>
              <w:t>知识图谱</w:t>
            </w:r>
            <w:r>
              <w:rPr>
                <w:rFonts w:hint="eastAsia" w:ascii="宋体" w:hAnsi="宋体" w:eastAsia="宋体" w:cs="宋体"/>
                <w:color w:val="auto"/>
                <w:sz w:val="21"/>
                <w:szCs w:val="21"/>
                <w:highlight w:val="none"/>
              </w:rPr>
              <w:tab/>
            </w:r>
          </w:p>
          <w:p w14:paraId="347008CC">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1．支持教师对课程章节内容，包括——视频、音频、文档、图书、章节测验等进行知识点标记，作为知识点教学任务进行设置，方便学生按知识点进行任务学习。</w:t>
            </w:r>
          </w:p>
          <w:p w14:paraId="6DBDDCD6">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lang w:eastAsia="zh-CN"/>
              </w:rPr>
            </w:pPr>
            <w:r>
              <w:rPr>
                <w:rFonts w:hint="eastAsia" w:ascii="宋体" w:hAnsi="宋体" w:eastAsia="宋体" w:cs="宋体"/>
                <w:color w:val="auto"/>
                <w:sz w:val="21"/>
                <w:szCs w:val="21"/>
                <w:highlight w:val="none"/>
              </w:rPr>
              <w:t>2．知识图谱编辑支持微课设置，可面对老师和学生开放或者关闭学习内容、图书馆资源、作业、资料、讨论、考试、题库、统计内容</w:t>
            </w:r>
            <w:r>
              <w:rPr>
                <w:rFonts w:hint="eastAsia" w:ascii="宋体" w:hAnsi="宋体" w:cs="宋体"/>
                <w:color w:val="auto"/>
                <w:sz w:val="21"/>
                <w:szCs w:val="21"/>
                <w:highlight w:val="none"/>
                <w:lang w:eastAsia="zh-CN"/>
              </w:rPr>
              <w:t>。</w:t>
            </w:r>
          </w:p>
          <w:p w14:paraId="34B0A788">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3．支持按知识点上传资源，并查看知识点关联资源数量，方便教师按知识点管理资源。</w:t>
            </w:r>
          </w:p>
          <w:p w14:paraId="4AE3575D">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4．知识点卡片需具备资料添加功能，可通过添加资料关联建设知识点下相关课程资料及其他相关资源。</w:t>
            </w:r>
          </w:p>
          <w:p w14:paraId="7E86087D">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5．支持多种题型的创建管理，包括单选、多选、填空、判断、简答、名词解析、论述、计算、分录、连线、排序、完形填空、阅读理解、口语、听力等常见题型。</w:t>
            </w:r>
          </w:p>
          <w:p w14:paraId="427DA75C">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6．支持在创建或编辑题目时标记每道题对应的知识点标签，并支持按知识点筛选管理题目。</w:t>
            </w:r>
          </w:p>
          <w:p w14:paraId="712F399E">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7．支持按模板批量导入题目时导入题目知识点，支持批量编辑题目关联知识点。</w:t>
            </w:r>
          </w:p>
          <w:p w14:paraId="70E49A96">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lang w:eastAsia="zh-CN"/>
              </w:rPr>
            </w:pPr>
            <w:r>
              <w:rPr>
                <w:rFonts w:hint="eastAsia" w:ascii="宋体" w:hAnsi="宋体" w:eastAsia="宋体" w:cs="宋体"/>
                <w:color w:val="auto"/>
                <w:sz w:val="21"/>
                <w:szCs w:val="21"/>
                <w:highlight w:val="none"/>
              </w:rPr>
              <w:t>8．支持AI生成学习内容，系统结合AI可根据教师网络课程内容自动生成知识点学习内容，生成的内容可一键加入微课中</w:t>
            </w:r>
            <w:r>
              <w:rPr>
                <w:rFonts w:hint="eastAsia" w:ascii="宋体" w:hAnsi="宋体" w:cs="宋体"/>
                <w:color w:val="auto"/>
                <w:sz w:val="21"/>
                <w:szCs w:val="21"/>
                <w:highlight w:val="none"/>
                <w:lang w:eastAsia="zh-CN"/>
              </w:rPr>
              <w:t>。</w:t>
            </w:r>
          </w:p>
          <w:p w14:paraId="0A9262E4">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lang w:eastAsia="zh-CN"/>
              </w:rPr>
            </w:pPr>
            <w:r>
              <w:rPr>
                <w:rFonts w:hint="eastAsia" w:ascii="宋体" w:hAnsi="宋体" w:eastAsia="宋体" w:cs="宋体"/>
                <w:color w:val="auto"/>
                <w:sz w:val="21"/>
                <w:szCs w:val="21"/>
                <w:highlight w:val="none"/>
              </w:rPr>
              <w:t>9．支持智能标注视频资源中的知识点：支持智能标记章节视频知识点，系统自动解析视频中出现的知识点，并标记到视频进度上，也支持用户手动标注或修改教学视频片段位置信息</w:t>
            </w:r>
            <w:r>
              <w:rPr>
                <w:rFonts w:hint="eastAsia" w:ascii="宋体" w:hAnsi="宋体" w:cs="宋体"/>
                <w:color w:val="auto"/>
                <w:sz w:val="21"/>
                <w:szCs w:val="21"/>
                <w:highlight w:val="none"/>
                <w:lang w:eastAsia="zh-CN"/>
              </w:rPr>
              <w:t>。</w:t>
            </w:r>
          </w:p>
          <w:p w14:paraId="4E734B5E">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10．支持错题显示解析以及相关知识点并支持点击跳转知识点学习页面进行自适应学习。</w:t>
            </w:r>
          </w:p>
          <w:p w14:paraId="7F09BCFB">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lang w:eastAsia="zh-CN"/>
              </w:rPr>
            </w:pPr>
            <w:r>
              <w:rPr>
                <w:rFonts w:hint="eastAsia" w:ascii="宋体" w:hAnsi="宋体" w:eastAsia="宋体" w:cs="宋体"/>
                <w:color w:val="auto"/>
                <w:sz w:val="21"/>
                <w:szCs w:val="21"/>
                <w:highlight w:val="none"/>
              </w:rPr>
              <w:t>11．题目关联知识点操作时系统支持智能推荐知识点，便于教师快速进行关联操作</w:t>
            </w:r>
            <w:r>
              <w:rPr>
                <w:rFonts w:hint="eastAsia" w:ascii="宋体" w:hAnsi="宋体" w:cs="宋体"/>
                <w:color w:val="auto"/>
                <w:sz w:val="21"/>
                <w:szCs w:val="21"/>
                <w:highlight w:val="none"/>
                <w:lang w:eastAsia="zh-CN"/>
              </w:rPr>
              <w:t>。</w:t>
            </w:r>
          </w:p>
          <w:p w14:paraId="52EFF7C9">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12．支持通过知识卡片直接添加当前知识点相关题目。支持创建作业，添加题目打知识点标签，也支持从题库抽题按知识点抽题，组建带有知识点的作业发放给学生作答。</w:t>
            </w:r>
          </w:p>
          <w:p w14:paraId="1B7C1D0C">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13．需支持手动组建考试试卷和智能组卷可以按知识点抽题，组建带有知识点的试卷发放给学生考试。</w:t>
            </w:r>
          </w:p>
          <w:p w14:paraId="50E16693">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14．支持学生查看课程知识图谱，并查看每个知识点的学习进度情况。</w:t>
            </w:r>
          </w:p>
          <w:p w14:paraId="4888C4D2">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15．支持学生按知识点进行课程任务学习，观看课程视频，阅读课程资料等。</w:t>
            </w:r>
          </w:p>
          <w:p w14:paraId="05897C1D">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16．支持学生提交作业、考试，查看自己作答作业、考试题目的知识点掌握情况，并查看知识点推荐资源，巩固学习。</w:t>
            </w:r>
          </w:p>
          <w:p w14:paraId="4D75B6DB">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17．支持学生按知识点从题库或错题本抽题，逐题自测。</w:t>
            </w:r>
          </w:p>
          <w:p w14:paraId="1D45BE55">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18．支持学生自测时可以设置抽题范围，仅抽当前知识点以及前置知识点的题，避免抽到未开始学习的知识点试题。</w:t>
            </w:r>
          </w:p>
          <w:p w14:paraId="7049B741">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19．图谱页面支持多维度筛选以及配色方案的切换。便于更直观的查看各个知识点不同维度的学习情况。</w:t>
            </w:r>
          </w:p>
          <w:p w14:paraId="6FD5775C">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20．学生图谱界面具备标准模式和导航模式，学生可选择具体的模式开展图谱学习。</w:t>
            </w:r>
          </w:p>
          <w:p w14:paraId="647AC367">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21．学生图谱界面支持学生通过多维度检索知识点，包括标签、层级、认知维度、分类、及具体知识点的内容的检索。</w:t>
            </w:r>
          </w:p>
          <w:p w14:paraId="30503E50">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22．学生图谱界面知识点详情页面支持url、笔记、文档等类型资料预览。</w:t>
            </w:r>
          </w:p>
          <w:p w14:paraId="294C7EAF">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23．通过知识图谱的形式，用颜色区分来展示知识点的完成度和掌握度，让数据的呈现更加生动和直观。</w:t>
            </w:r>
          </w:p>
          <w:p w14:paraId="0F5B86B6">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lang w:eastAsia="zh-CN"/>
              </w:rPr>
            </w:pPr>
            <w:r>
              <w:rPr>
                <w:rFonts w:hint="eastAsia" w:ascii="宋体" w:hAnsi="宋体" w:eastAsia="宋体" w:cs="宋体"/>
                <w:color w:val="auto"/>
                <w:sz w:val="21"/>
                <w:szCs w:val="21"/>
                <w:highlight w:val="none"/>
              </w:rPr>
              <w:t>24．支持精准教学设计功能，可以自定义建设事件，可设置知识点的掌握率及完成率的设置，支持自定义学习路径或者微课资料，支持设置对应的动作</w:t>
            </w:r>
            <w:r>
              <w:rPr>
                <w:rFonts w:hint="eastAsia" w:ascii="宋体" w:hAnsi="宋体" w:cs="宋体"/>
                <w:color w:val="auto"/>
                <w:sz w:val="21"/>
                <w:szCs w:val="21"/>
                <w:highlight w:val="none"/>
                <w:lang w:eastAsia="zh-CN"/>
              </w:rPr>
              <w:t>。</w:t>
            </w:r>
          </w:p>
          <w:p w14:paraId="3C1A7FAB">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25．支持推荐课内资源，能够提供图书、期刊、报纸、视频资源，并支持一键添加关联。</w:t>
            </w:r>
          </w:p>
          <w:p w14:paraId="2DB308B5">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26．对课程建设系统中的视频进行智能分析，自动匹配课程中的知识点，并在视频对应的时间点进行自动打点，同时基于人工智能技术生成知识点词云分析并展示；视频播放时学生可以定位到时间点观看对应知识点的视频讲解。</w:t>
            </w:r>
          </w:p>
          <w:p w14:paraId="270B16E0">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2" w:firstLineChars="200"/>
              <w:jc w:val="both"/>
              <w:textAlignment w:val="auto"/>
              <w:rPr>
                <w:rFonts w:hint="eastAsia" w:ascii="宋体" w:hAnsi="宋体" w:eastAsia="宋体" w:cs="宋体"/>
                <w:color w:val="auto"/>
                <w:sz w:val="21"/>
                <w:szCs w:val="21"/>
                <w:highlight w:val="none"/>
              </w:rPr>
            </w:pPr>
            <w:r>
              <w:rPr>
                <w:rFonts w:hint="eastAsia" w:ascii="宋体" w:hAnsi="宋体" w:eastAsia="宋体" w:cs="宋体"/>
                <w:b/>
                <w:bCs/>
                <w:color w:val="auto"/>
                <w:sz w:val="21"/>
                <w:szCs w:val="21"/>
                <w:highlight w:val="none"/>
                <w:lang w:eastAsia="zh-CN"/>
              </w:rPr>
              <w:t>（</w:t>
            </w:r>
            <w:r>
              <w:rPr>
                <w:rFonts w:hint="eastAsia" w:ascii="宋体" w:hAnsi="宋体" w:eastAsia="宋体" w:cs="宋体"/>
                <w:b/>
                <w:bCs/>
                <w:color w:val="auto"/>
                <w:sz w:val="21"/>
                <w:szCs w:val="21"/>
                <w:highlight w:val="none"/>
                <w:lang w:val="en-US" w:eastAsia="zh-CN"/>
              </w:rPr>
              <w:t>四</w:t>
            </w:r>
            <w:r>
              <w:rPr>
                <w:rFonts w:hint="eastAsia" w:ascii="宋体" w:hAnsi="宋体" w:eastAsia="宋体" w:cs="宋体"/>
                <w:b/>
                <w:bCs/>
                <w:color w:val="auto"/>
                <w:sz w:val="21"/>
                <w:szCs w:val="21"/>
                <w:highlight w:val="none"/>
                <w:lang w:eastAsia="zh-CN"/>
              </w:rPr>
              <w:t>）</w:t>
            </w:r>
            <w:r>
              <w:rPr>
                <w:rFonts w:hint="eastAsia" w:ascii="宋体" w:hAnsi="宋体" w:eastAsia="宋体" w:cs="宋体"/>
                <w:b/>
                <w:bCs/>
                <w:color w:val="auto"/>
                <w:sz w:val="21"/>
                <w:szCs w:val="21"/>
                <w:highlight w:val="none"/>
              </w:rPr>
              <w:t>知识图谱展示</w:t>
            </w:r>
            <w:r>
              <w:rPr>
                <w:rFonts w:hint="eastAsia" w:ascii="宋体" w:hAnsi="宋体" w:eastAsia="宋体" w:cs="宋体"/>
                <w:color w:val="auto"/>
                <w:sz w:val="21"/>
                <w:szCs w:val="21"/>
                <w:highlight w:val="none"/>
              </w:rPr>
              <w:tab/>
            </w:r>
          </w:p>
          <w:p w14:paraId="49B131E7">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2" w:firstLineChars="200"/>
              <w:jc w:val="both"/>
              <w:textAlignment w:val="auto"/>
              <w:rPr>
                <w:rFonts w:hint="eastAsia" w:ascii="宋体" w:hAnsi="宋体" w:eastAsia="宋体" w:cs="宋体"/>
                <w:b/>
                <w:bCs/>
                <w:color w:val="auto"/>
                <w:sz w:val="21"/>
                <w:szCs w:val="21"/>
                <w:highlight w:val="none"/>
              </w:rPr>
            </w:pPr>
            <w:r>
              <w:rPr>
                <w:rFonts w:hint="eastAsia" w:ascii="宋体" w:hAnsi="宋体" w:eastAsia="宋体" w:cs="宋体"/>
                <w:b/>
                <w:bCs/>
                <w:color w:val="auto"/>
                <w:sz w:val="21"/>
                <w:szCs w:val="21"/>
                <w:highlight w:val="none"/>
              </w:rPr>
              <w:t>1．自定义图谱</w:t>
            </w:r>
          </w:p>
          <w:p w14:paraId="19B572A0">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具备自定义图谱功能，可根据个性化的图谱展示进行自定义图谱建设，包括图谱名称及图谱样式。</w:t>
            </w:r>
          </w:p>
          <w:p w14:paraId="1E79BACE">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2" w:firstLineChars="200"/>
              <w:jc w:val="both"/>
              <w:textAlignment w:val="auto"/>
              <w:rPr>
                <w:rFonts w:hint="eastAsia" w:ascii="宋体" w:hAnsi="宋体" w:eastAsia="宋体" w:cs="宋体"/>
                <w:b/>
                <w:bCs/>
                <w:color w:val="auto"/>
                <w:sz w:val="21"/>
                <w:szCs w:val="21"/>
                <w:highlight w:val="none"/>
              </w:rPr>
            </w:pPr>
            <w:r>
              <w:rPr>
                <w:rFonts w:hint="eastAsia" w:ascii="宋体" w:hAnsi="宋体" w:eastAsia="宋体" w:cs="宋体"/>
                <w:b/>
                <w:bCs/>
                <w:color w:val="auto"/>
                <w:sz w:val="21"/>
                <w:szCs w:val="21"/>
                <w:highlight w:val="none"/>
              </w:rPr>
              <w:t>2．知识森林</w:t>
            </w:r>
          </w:p>
          <w:p w14:paraId="743B7AF0">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具备知识森林图谱功能，可以将分散的知识资源聚合到一个动态、灵活的知识框架中，使知识资源的管理更加高效。</w:t>
            </w:r>
          </w:p>
          <w:p w14:paraId="286A4323">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2" w:firstLineChars="200"/>
              <w:jc w:val="both"/>
              <w:textAlignment w:val="auto"/>
              <w:rPr>
                <w:rFonts w:hint="eastAsia" w:ascii="宋体" w:hAnsi="宋体" w:eastAsia="宋体" w:cs="宋体"/>
                <w:b/>
                <w:bCs/>
                <w:color w:val="auto"/>
                <w:sz w:val="21"/>
                <w:szCs w:val="21"/>
                <w:highlight w:val="none"/>
              </w:rPr>
            </w:pPr>
            <w:r>
              <w:rPr>
                <w:rFonts w:hint="eastAsia" w:ascii="宋体" w:hAnsi="宋体" w:eastAsia="宋体" w:cs="宋体"/>
                <w:b/>
                <w:bCs/>
                <w:color w:val="auto"/>
                <w:sz w:val="21"/>
                <w:szCs w:val="21"/>
                <w:highlight w:val="none"/>
              </w:rPr>
              <w:t>3．课程思政图谱</w:t>
            </w:r>
          </w:p>
          <w:p w14:paraId="124A04F1">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(1)支持自动根据现有的图谱信息生成思政图谱的功能。</w:t>
            </w:r>
          </w:p>
          <w:p w14:paraId="78DB22AE">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(2)支持将标签为“课程思政”的知识点以花朵的形式呈现，以视觉突出其在课程中的核心地位，同时以花苞的形式展示其他的知识点。</w:t>
            </w:r>
          </w:p>
          <w:p w14:paraId="6AACF6CF">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(3)支持提供关键字精确搜索和模糊匹配两种模式，检索结果聚焦于与目标节点相关的逻辑联系，增强搜索的针对性。</w:t>
            </w:r>
          </w:p>
          <w:p w14:paraId="1F3927EA">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(4)支持搜索功能覆盖知识点、分类和标签，实现全面性，满足用户不同维度的搜索需求。</w:t>
            </w:r>
          </w:p>
          <w:p w14:paraId="5C2332ED">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(5)支持通过点击操作，可深入分类卡片获取详细信息，或直接跳转至微课进行学习，实现知识获取的快速通道。</w:t>
            </w:r>
          </w:p>
          <w:p w14:paraId="3F4602EF">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2" w:firstLineChars="200"/>
              <w:jc w:val="both"/>
              <w:textAlignment w:val="auto"/>
              <w:rPr>
                <w:rFonts w:hint="eastAsia" w:ascii="宋体" w:hAnsi="宋体" w:eastAsia="宋体" w:cs="宋体"/>
                <w:b/>
                <w:bCs/>
                <w:color w:val="auto"/>
                <w:sz w:val="21"/>
                <w:szCs w:val="21"/>
                <w:highlight w:val="none"/>
              </w:rPr>
            </w:pPr>
            <w:r>
              <w:rPr>
                <w:rFonts w:hint="eastAsia" w:ascii="宋体" w:hAnsi="宋体" w:eastAsia="宋体" w:cs="宋体"/>
                <w:b/>
                <w:bCs/>
                <w:color w:val="auto"/>
                <w:sz w:val="21"/>
                <w:szCs w:val="21"/>
                <w:highlight w:val="none"/>
              </w:rPr>
              <w:t>4．问题图谱</w:t>
            </w:r>
          </w:p>
          <w:p w14:paraId="1ACA6D66">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(1)系统提供对疑难、组合及基本问题的定义能力，允许用户添加问题详情及其与知识点的关联。</w:t>
            </w:r>
          </w:p>
          <w:p w14:paraId="0A9A6A97">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(2)用户可根据教学需求，自定义栏目标题和描述，以适应多样化的教学情境。</w:t>
            </w:r>
          </w:p>
          <w:p w14:paraId="575C4F48">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(3)支持通过图谱形式展现问题与知识点的关联，使用户能够直观理解知识间的联系。</w:t>
            </w:r>
          </w:p>
          <w:p w14:paraId="4ACA862A">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(4)支持用户对栏目中节点的名称、描述、标签和知识点进行修改，保持内容的时效性和准确性。</w:t>
            </w:r>
          </w:p>
          <w:p w14:paraId="1F96DF0C">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(5)提供两种子级问题关联方式，包括层级连线和板块关联功能，以展示问题间的层级结构。</w:t>
            </w:r>
          </w:p>
          <w:p w14:paraId="0024DCC1">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(6)支持对问题板块的删除和批量删除，提升问题管理的</w:t>
            </w:r>
            <w:r>
              <w:rPr>
                <w:rFonts w:hint="eastAsia" w:ascii="宋体" w:hAnsi="宋体" w:cs="宋体"/>
                <w:color w:val="auto"/>
                <w:sz w:val="21"/>
                <w:szCs w:val="21"/>
                <w:highlight w:val="none"/>
                <w:lang w:val="en-US" w:eastAsia="zh-CN"/>
              </w:rPr>
              <w:t>效率</w:t>
            </w:r>
            <w:r>
              <w:rPr>
                <w:rFonts w:hint="eastAsia" w:ascii="宋体" w:hAnsi="宋体" w:eastAsia="宋体" w:cs="宋体"/>
                <w:color w:val="auto"/>
                <w:sz w:val="21"/>
                <w:szCs w:val="21"/>
                <w:highlight w:val="none"/>
              </w:rPr>
              <w:t>。</w:t>
            </w:r>
          </w:p>
          <w:p w14:paraId="50717F1C">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(7)支持批量导入问题数据和一键导出问题图谱数据，简化教学资源的准备工作。</w:t>
            </w:r>
          </w:p>
          <w:p w14:paraId="7C689F82">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(8)提供一键展开或收起问题层级连线的功能，便于用户查看问题结构。</w:t>
            </w:r>
          </w:p>
          <w:p w14:paraId="18C72B54">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(9)支持开启探索模式，模拟学生学习路径，通过问题选择和知识点关联，促进学生的深入思考。</w:t>
            </w:r>
          </w:p>
          <w:p w14:paraId="146D0EAF">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(10)探索模式鼓励用户通过选择问题组来深入思考相关问题集合的知识点，促进用户对问题结构和知识联系的理解。</w:t>
            </w:r>
          </w:p>
          <w:p w14:paraId="7328516B">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(11)在探索模式中，用户被引导将核心问题与子问题连接，形成知识网络，并通过提交与标准答案对比，实现自我评估。</w:t>
            </w:r>
          </w:p>
          <w:p w14:paraId="427E1FA0">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(12)系统支持用户在问题图谱讨论区发起新话题，激发学生参与讨论，通过交流深化理解，促进知识共享。</w:t>
            </w:r>
          </w:p>
          <w:p w14:paraId="73E87282">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(13)支持自定义问题名称，按照不同类型的问题实施自己的教学内容。有效在教学过程中体现教育创新性和问题拓展性。</w:t>
            </w:r>
          </w:p>
          <w:p w14:paraId="7ABA975D">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(14)系统提供探索模式，使用户能够选择并深入分析多组问题，系统引导用户思考并整合相关联的知识点。</w:t>
            </w:r>
          </w:p>
          <w:p w14:paraId="18B2B40E">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(15)支持用户识别并连接主线问题与子级问题，构建问题之间的层级关系，加深对问题网络的理解。</w:t>
            </w:r>
          </w:p>
          <w:p w14:paraId="72FE45B2">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(16)用户完成问题解答后，可以提交答案获得反馈，系统提供与标准答案的对比，辅助学生发现差异，掌握正确解题方法。</w:t>
            </w:r>
          </w:p>
          <w:p w14:paraId="21113B41">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(17)用户可在讨论区发起新话题，分享个人见解和疑问，促进知识的交流与共享。</w:t>
            </w:r>
          </w:p>
          <w:p w14:paraId="0203B182">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(18)支持用户对讨论区中的话题进行点赞和回复，增强社区的参与感和互动性，建立积极的学习氛围。</w:t>
            </w:r>
          </w:p>
          <w:p w14:paraId="3F893F83">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(19)支持在探索过程中查看相关知识点并进行相关知识点的知识内容学习，有效提高在探索过程中思考解决问题的能力和获取信息的能力。</w:t>
            </w:r>
          </w:p>
          <w:p w14:paraId="421DC1C6">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2" w:firstLineChars="200"/>
              <w:jc w:val="both"/>
              <w:textAlignment w:val="auto"/>
              <w:rPr>
                <w:rFonts w:hint="eastAsia" w:ascii="宋体" w:hAnsi="宋体" w:eastAsia="宋体" w:cs="宋体"/>
                <w:b/>
                <w:bCs/>
                <w:color w:val="auto"/>
                <w:sz w:val="21"/>
                <w:szCs w:val="21"/>
                <w:highlight w:val="none"/>
              </w:rPr>
            </w:pPr>
            <w:r>
              <w:rPr>
                <w:rFonts w:hint="eastAsia" w:ascii="宋体" w:hAnsi="宋体" w:eastAsia="宋体" w:cs="宋体"/>
                <w:b/>
                <w:bCs/>
                <w:color w:val="auto"/>
                <w:sz w:val="21"/>
                <w:szCs w:val="21"/>
                <w:highlight w:val="none"/>
              </w:rPr>
              <w:t>5．目标图谱</w:t>
            </w:r>
          </w:p>
          <w:p w14:paraId="3A3F9D88">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(1)系统允许根据不同班级特点定制课程目标，以满足特定教学需求。</w:t>
            </w:r>
          </w:p>
          <w:p w14:paraId="2512469F">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(2)课程目标标签系统支持为课程目标添加标签，包括自定义选项，便于目标的分类和识别。</w:t>
            </w:r>
          </w:p>
          <w:p w14:paraId="7F9A6739">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(3)支持对课程目标进行详细说明，以确保目标清晰明确。</w:t>
            </w:r>
          </w:p>
          <w:p w14:paraId="6933FAAD">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(4)支持对课程目标名称、课程目标标签、描述进行修改，保持课程内容的准确性和时效性。</w:t>
            </w:r>
          </w:p>
          <w:p w14:paraId="28698EE0">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(5)支持检索课程目标标签以及课程目标名称，使用户能够快速找到特定目标。</w:t>
            </w:r>
          </w:p>
          <w:p w14:paraId="57B9E639">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(6)支持课程目标与知识点进行关联，以展示目标与教学内容的直接联系。</w:t>
            </w:r>
          </w:p>
          <w:p w14:paraId="4302D9BD">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(7)支持以柱状图展示课程目标关联知识点的个数，提供直观的统计信息。</w:t>
            </w:r>
          </w:p>
          <w:p w14:paraId="2B887ACA">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(8)支持以列表形式展示课程目标总数、课程目标名称、课程目标说明、课程目标标签以及所关联的知识点个数，方便用户快速浏览和了解。</w:t>
            </w:r>
          </w:p>
          <w:p w14:paraId="330DA8E7">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(9)支持以图谱形式展示每个课程目标所关联的知识点情况，增强信息的可视化效果。</w:t>
            </w:r>
          </w:p>
          <w:p w14:paraId="0EEF2D85">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(10)提供一键同步功能，允许快速复制特定班级的课程目标和知识点关联，提高教学管理的效率。</w:t>
            </w:r>
          </w:p>
          <w:p w14:paraId="66B2E2C9">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(11)支持课程目标模板导入/一键导出功能，便于教师对于课程目标可以直观浏览和整理，同时也能有效的和其他工具同时使用。</w:t>
            </w:r>
          </w:p>
          <w:p w14:paraId="594B7BF0">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(12)支持通过柱状图形式直观展示课程目标与知识点的关联数量，提供清晰的统计视角。</w:t>
            </w:r>
          </w:p>
          <w:p w14:paraId="5F554EB0">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(13)支持以列表形式综合呈现课程目标的关键信息，包括总数、名称、说明、标签及知识点关联数，便于用户快速把握课程结构。</w:t>
            </w:r>
          </w:p>
          <w:p w14:paraId="354DD8DD">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(14)支持利用图谱形式展现课程目标与知识点之间的关联，增强信息的视觉呈现和认知深度。</w:t>
            </w:r>
          </w:p>
          <w:p w14:paraId="2F7F2361">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2" w:firstLineChars="200"/>
              <w:jc w:val="both"/>
              <w:textAlignment w:val="auto"/>
              <w:rPr>
                <w:rFonts w:hint="eastAsia" w:ascii="宋体" w:hAnsi="宋体" w:eastAsia="宋体" w:cs="宋体"/>
                <w:color w:val="auto"/>
                <w:sz w:val="21"/>
                <w:szCs w:val="21"/>
                <w:highlight w:val="none"/>
              </w:rPr>
            </w:pPr>
            <w:r>
              <w:rPr>
                <w:rFonts w:hint="eastAsia" w:ascii="宋体" w:hAnsi="宋体" w:eastAsia="宋体" w:cs="宋体"/>
                <w:b/>
                <w:bCs/>
                <w:color w:val="auto"/>
                <w:sz w:val="21"/>
                <w:szCs w:val="21"/>
                <w:highlight w:val="none"/>
                <w:lang w:val="en-US" w:eastAsia="zh-CN"/>
              </w:rPr>
              <w:t>6.</w:t>
            </w:r>
            <w:r>
              <w:rPr>
                <w:rFonts w:hint="eastAsia" w:ascii="宋体" w:hAnsi="宋体" w:eastAsia="宋体" w:cs="宋体"/>
                <w:b/>
                <w:bCs/>
                <w:color w:val="auto"/>
                <w:sz w:val="21"/>
                <w:szCs w:val="21"/>
                <w:highlight w:val="none"/>
              </w:rPr>
              <w:t>课程群图谱系统</w:t>
            </w:r>
            <w:r>
              <w:rPr>
                <w:rFonts w:hint="eastAsia" w:ascii="宋体" w:hAnsi="宋体" w:eastAsia="宋体" w:cs="宋体"/>
                <w:color w:val="auto"/>
                <w:sz w:val="21"/>
                <w:szCs w:val="21"/>
                <w:highlight w:val="none"/>
              </w:rPr>
              <w:tab/>
            </w:r>
          </w:p>
          <w:p w14:paraId="6E8688FE">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eastAsia="zh-CN"/>
              </w:rPr>
              <w:t>（</w:t>
            </w:r>
            <w:r>
              <w:rPr>
                <w:rFonts w:hint="eastAsia" w:ascii="宋体" w:hAnsi="宋体" w:eastAsia="宋体" w:cs="宋体"/>
                <w:color w:val="auto"/>
                <w:sz w:val="21"/>
                <w:szCs w:val="21"/>
                <w:highlight w:val="none"/>
                <w:lang w:val="en-US" w:eastAsia="zh-CN"/>
              </w:rPr>
              <w:t>1</w:t>
            </w:r>
            <w:r>
              <w:rPr>
                <w:rFonts w:hint="eastAsia" w:ascii="宋体" w:hAnsi="宋体" w:eastAsia="宋体" w:cs="宋体"/>
                <w:color w:val="auto"/>
                <w:sz w:val="21"/>
                <w:szCs w:val="21"/>
                <w:highlight w:val="none"/>
                <w:lang w:eastAsia="zh-CN"/>
              </w:rPr>
              <w:t>）</w:t>
            </w:r>
            <w:r>
              <w:rPr>
                <w:rFonts w:hint="eastAsia" w:ascii="宋体" w:hAnsi="宋体" w:eastAsia="宋体" w:cs="宋体"/>
                <w:color w:val="auto"/>
                <w:sz w:val="21"/>
                <w:szCs w:val="21"/>
                <w:highlight w:val="none"/>
              </w:rPr>
              <w:t>支持创立课程群图谱展示门户，可自定义课程群门户信息包括课程群名称、课程群类型、课程群介绍、教师团队等信息。</w:t>
            </w:r>
          </w:p>
          <w:p w14:paraId="30B8C396">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eastAsia="zh-CN"/>
              </w:rPr>
              <w:t>（</w:t>
            </w:r>
            <w:r>
              <w:rPr>
                <w:rFonts w:hint="eastAsia" w:ascii="宋体" w:hAnsi="宋体" w:eastAsia="宋体" w:cs="宋体"/>
                <w:color w:val="auto"/>
                <w:sz w:val="21"/>
                <w:szCs w:val="21"/>
                <w:highlight w:val="none"/>
                <w:lang w:val="en-US" w:eastAsia="zh-CN"/>
              </w:rPr>
              <w:t>2</w:t>
            </w:r>
            <w:r>
              <w:rPr>
                <w:rFonts w:hint="eastAsia" w:ascii="宋体" w:hAnsi="宋体" w:eastAsia="宋体" w:cs="宋体"/>
                <w:color w:val="auto"/>
                <w:sz w:val="21"/>
                <w:szCs w:val="21"/>
                <w:highlight w:val="none"/>
                <w:lang w:eastAsia="zh-CN"/>
              </w:rPr>
              <w:t>）</w:t>
            </w:r>
            <w:r>
              <w:rPr>
                <w:rFonts w:hint="eastAsia" w:ascii="宋体" w:hAnsi="宋体" w:eastAsia="宋体" w:cs="宋体"/>
                <w:color w:val="auto"/>
                <w:sz w:val="21"/>
                <w:szCs w:val="21"/>
                <w:highlight w:val="none"/>
              </w:rPr>
              <w:t>支持三维模式展示课程、目标和知识点，并根据四个关键标签（重点、难点、考点、思政知识点）分类展示。</w:t>
            </w:r>
          </w:p>
          <w:p w14:paraId="5EC40A7A">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eastAsia="zh-CN"/>
              </w:rPr>
              <w:t>（</w:t>
            </w:r>
            <w:r>
              <w:rPr>
                <w:rFonts w:hint="eastAsia" w:ascii="宋体" w:hAnsi="宋体" w:eastAsia="宋体" w:cs="宋体"/>
                <w:color w:val="auto"/>
                <w:sz w:val="21"/>
                <w:szCs w:val="21"/>
                <w:highlight w:val="none"/>
                <w:lang w:val="en-US" w:eastAsia="zh-CN"/>
              </w:rPr>
              <w:t>3</w:t>
            </w:r>
            <w:r>
              <w:rPr>
                <w:rFonts w:hint="eastAsia" w:ascii="宋体" w:hAnsi="宋体" w:eastAsia="宋体" w:cs="宋体"/>
                <w:color w:val="auto"/>
                <w:sz w:val="21"/>
                <w:szCs w:val="21"/>
                <w:highlight w:val="none"/>
                <w:lang w:eastAsia="zh-CN"/>
              </w:rPr>
              <w:t>）</w:t>
            </w:r>
            <w:r>
              <w:rPr>
                <w:rFonts w:hint="eastAsia" w:ascii="宋体" w:hAnsi="宋体" w:eastAsia="宋体" w:cs="宋体"/>
                <w:color w:val="auto"/>
                <w:sz w:val="21"/>
                <w:szCs w:val="21"/>
                <w:highlight w:val="none"/>
              </w:rPr>
              <w:t>支持数据统计功能，可查看课程群门户中的课程数、课程图谱数、知识点总数、教学资源数。</w:t>
            </w:r>
          </w:p>
          <w:p w14:paraId="045E4B0E">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eastAsia="zh-CN"/>
              </w:rPr>
              <w:t>（</w:t>
            </w:r>
            <w:r>
              <w:rPr>
                <w:rFonts w:hint="eastAsia" w:ascii="宋体" w:hAnsi="宋体" w:eastAsia="宋体" w:cs="宋体"/>
                <w:color w:val="auto"/>
                <w:sz w:val="21"/>
                <w:szCs w:val="21"/>
                <w:highlight w:val="none"/>
                <w:lang w:val="en-US" w:eastAsia="zh-CN"/>
              </w:rPr>
              <w:t>4</w:t>
            </w:r>
            <w:r>
              <w:rPr>
                <w:rFonts w:hint="eastAsia" w:ascii="宋体" w:hAnsi="宋体" w:eastAsia="宋体" w:cs="宋体"/>
                <w:color w:val="auto"/>
                <w:sz w:val="21"/>
                <w:szCs w:val="21"/>
                <w:highlight w:val="none"/>
                <w:lang w:eastAsia="zh-CN"/>
              </w:rPr>
              <w:t>）</w:t>
            </w:r>
            <w:r>
              <w:rPr>
                <w:rFonts w:hint="eastAsia" w:ascii="宋体" w:hAnsi="宋体" w:eastAsia="宋体" w:cs="宋体"/>
                <w:color w:val="auto"/>
                <w:sz w:val="21"/>
                <w:szCs w:val="21"/>
                <w:highlight w:val="none"/>
              </w:rPr>
              <w:t>课程图谱展示，在课程群门户中显示包含的课程图谱名称，并可通过知识点分布页查看包含重点、难点、考点、思政知识点在内的4个知识点标签维度所对应的课程数。</w:t>
            </w:r>
          </w:p>
          <w:p w14:paraId="0F69D048">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eastAsia="zh-CN"/>
              </w:rPr>
              <w:t>（</w:t>
            </w:r>
            <w:r>
              <w:rPr>
                <w:rFonts w:hint="eastAsia" w:ascii="宋体" w:hAnsi="宋体" w:eastAsia="宋体" w:cs="宋体"/>
                <w:color w:val="auto"/>
                <w:sz w:val="21"/>
                <w:szCs w:val="21"/>
                <w:highlight w:val="none"/>
                <w:lang w:val="en-US" w:eastAsia="zh-CN"/>
              </w:rPr>
              <w:t>5</w:t>
            </w:r>
            <w:r>
              <w:rPr>
                <w:rFonts w:hint="eastAsia" w:ascii="宋体" w:hAnsi="宋体" w:eastAsia="宋体" w:cs="宋体"/>
                <w:color w:val="auto"/>
                <w:sz w:val="21"/>
                <w:szCs w:val="21"/>
                <w:highlight w:val="none"/>
                <w:lang w:eastAsia="zh-CN"/>
              </w:rPr>
              <w:t>）</w:t>
            </w:r>
            <w:r>
              <w:rPr>
                <w:rFonts w:hint="eastAsia" w:ascii="宋体" w:hAnsi="宋体" w:eastAsia="宋体" w:cs="宋体"/>
                <w:color w:val="auto"/>
                <w:sz w:val="21"/>
                <w:szCs w:val="21"/>
                <w:highlight w:val="none"/>
              </w:rPr>
              <w:t>具备资源分布统计功能，可以展示课程群所包含的每门课程的资源总数，包括任务点、作业、考试、课程资料等。</w:t>
            </w:r>
          </w:p>
          <w:p w14:paraId="3549E6AD">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eastAsia="zh-CN"/>
              </w:rPr>
              <w:t>（</w:t>
            </w:r>
            <w:r>
              <w:rPr>
                <w:rFonts w:hint="eastAsia" w:ascii="宋体" w:hAnsi="宋体" w:eastAsia="宋体" w:cs="宋体"/>
                <w:color w:val="auto"/>
                <w:sz w:val="21"/>
                <w:szCs w:val="21"/>
                <w:highlight w:val="none"/>
                <w:lang w:val="en-US" w:eastAsia="zh-CN"/>
              </w:rPr>
              <w:t>6</w:t>
            </w:r>
            <w:r>
              <w:rPr>
                <w:rFonts w:hint="eastAsia" w:ascii="宋体" w:hAnsi="宋体" w:eastAsia="宋体" w:cs="宋体"/>
                <w:color w:val="auto"/>
                <w:sz w:val="21"/>
                <w:szCs w:val="21"/>
                <w:highlight w:val="none"/>
                <w:lang w:eastAsia="zh-CN"/>
              </w:rPr>
              <w:t>）</w:t>
            </w:r>
            <w:r>
              <w:rPr>
                <w:rFonts w:hint="eastAsia" w:ascii="宋体" w:hAnsi="宋体" w:eastAsia="宋体" w:cs="宋体"/>
                <w:color w:val="auto"/>
                <w:sz w:val="21"/>
                <w:szCs w:val="21"/>
                <w:highlight w:val="none"/>
              </w:rPr>
              <w:t>具备资源分类展示功能，以饼状图及柱状图展示课程群下每门课程资源的分布情况。</w:t>
            </w:r>
          </w:p>
          <w:p w14:paraId="441553D4">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eastAsia="zh-CN"/>
              </w:rPr>
              <w:t>（</w:t>
            </w:r>
            <w:r>
              <w:rPr>
                <w:rFonts w:hint="eastAsia" w:ascii="宋体" w:hAnsi="宋体" w:eastAsia="宋体" w:cs="宋体"/>
                <w:color w:val="auto"/>
                <w:sz w:val="21"/>
                <w:szCs w:val="21"/>
                <w:highlight w:val="none"/>
                <w:lang w:val="en-US" w:eastAsia="zh-CN"/>
              </w:rPr>
              <w:t>7</w:t>
            </w:r>
            <w:r>
              <w:rPr>
                <w:rFonts w:hint="eastAsia" w:ascii="宋体" w:hAnsi="宋体" w:eastAsia="宋体" w:cs="宋体"/>
                <w:color w:val="auto"/>
                <w:sz w:val="21"/>
                <w:szCs w:val="21"/>
                <w:highlight w:val="none"/>
                <w:lang w:eastAsia="zh-CN"/>
              </w:rPr>
              <w:t>）</w:t>
            </w:r>
            <w:r>
              <w:rPr>
                <w:rFonts w:hint="eastAsia" w:ascii="宋体" w:hAnsi="宋体" w:eastAsia="宋体" w:cs="宋体"/>
                <w:color w:val="auto"/>
                <w:sz w:val="21"/>
                <w:szCs w:val="21"/>
                <w:highlight w:val="none"/>
              </w:rPr>
              <w:t>课程群图谱支持多门课程的课程图谱汇总展示，支持点击进入到相应课程的课程知识点进行学习。</w:t>
            </w:r>
          </w:p>
          <w:p w14:paraId="3F89DF95">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eastAsia="zh-CN"/>
              </w:rPr>
              <w:t>（</w:t>
            </w:r>
            <w:r>
              <w:rPr>
                <w:rFonts w:hint="eastAsia" w:ascii="宋体" w:hAnsi="宋体" w:eastAsia="宋体" w:cs="宋体"/>
                <w:color w:val="auto"/>
                <w:sz w:val="21"/>
                <w:szCs w:val="21"/>
                <w:highlight w:val="none"/>
                <w:lang w:val="en-US" w:eastAsia="zh-CN"/>
              </w:rPr>
              <w:t>8</w:t>
            </w:r>
            <w:r>
              <w:rPr>
                <w:rFonts w:hint="eastAsia" w:ascii="宋体" w:hAnsi="宋体" w:eastAsia="宋体" w:cs="宋体"/>
                <w:color w:val="auto"/>
                <w:sz w:val="21"/>
                <w:szCs w:val="21"/>
                <w:highlight w:val="none"/>
                <w:lang w:eastAsia="zh-CN"/>
              </w:rPr>
              <w:t>）</w:t>
            </w:r>
            <w:r>
              <w:rPr>
                <w:rFonts w:hint="eastAsia" w:ascii="宋体" w:hAnsi="宋体" w:eastAsia="宋体" w:cs="宋体"/>
                <w:color w:val="auto"/>
                <w:sz w:val="21"/>
                <w:szCs w:val="21"/>
                <w:highlight w:val="none"/>
              </w:rPr>
              <w:t>具备问题图谱展示，支持查看课程群所包含的课程问题图谱，支持多维度问题图展示，包括基础问题、组合问题、疑难负责问题等。</w:t>
            </w:r>
          </w:p>
          <w:p w14:paraId="3936D550">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eastAsia="zh-CN"/>
              </w:rPr>
              <w:t>（</w:t>
            </w:r>
            <w:r>
              <w:rPr>
                <w:rFonts w:hint="eastAsia" w:ascii="宋体" w:hAnsi="宋体" w:eastAsia="宋体" w:cs="宋体"/>
                <w:color w:val="auto"/>
                <w:sz w:val="21"/>
                <w:szCs w:val="21"/>
                <w:highlight w:val="none"/>
                <w:lang w:val="en-US" w:eastAsia="zh-CN"/>
              </w:rPr>
              <w:t>9</w:t>
            </w:r>
            <w:r>
              <w:rPr>
                <w:rFonts w:hint="eastAsia" w:ascii="宋体" w:hAnsi="宋体" w:eastAsia="宋体" w:cs="宋体"/>
                <w:color w:val="auto"/>
                <w:sz w:val="21"/>
                <w:szCs w:val="21"/>
                <w:highlight w:val="none"/>
                <w:lang w:eastAsia="zh-CN"/>
              </w:rPr>
              <w:t>）</w:t>
            </w:r>
            <w:r>
              <w:rPr>
                <w:rFonts w:hint="eastAsia" w:ascii="宋体" w:hAnsi="宋体" w:eastAsia="宋体" w:cs="宋体"/>
                <w:color w:val="auto"/>
                <w:sz w:val="21"/>
                <w:szCs w:val="21"/>
                <w:highlight w:val="none"/>
              </w:rPr>
              <w:t>可自定义构造课程体系，支持添加课程到课程体系中，支持关键字搜索课程。</w:t>
            </w:r>
          </w:p>
          <w:p w14:paraId="202EC877">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eastAsia="zh-CN"/>
              </w:rPr>
              <w:t>（</w:t>
            </w:r>
            <w:r>
              <w:rPr>
                <w:rFonts w:hint="eastAsia" w:ascii="宋体" w:hAnsi="宋体" w:eastAsia="宋体" w:cs="宋体"/>
                <w:color w:val="auto"/>
                <w:sz w:val="21"/>
                <w:szCs w:val="21"/>
                <w:highlight w:val="none"/>
                <w:lang w:val="en-US" w:eastAsia="zh-CN"/>
              </w:rPr>
              <w:t>10</w:t>
            </w:r>
            <w:r>
              <w:rPr>
                <w:rFonts w:hint="eastAsia" w:ascii="宋体" w:hAnsi="宋体" w:eastAsia="宋体" w:cs="宋体"/>
                <w:color w:val="auto"/>
                <w:sz w:val="21"/>
                <w:szCs w:val="21"/>
                <w:highlight w:val="none"/>
              </w:rPr>
              <w:t>在门户中展示课程图谱名称，并可通过知识点分布查看不同标签维度的课程数量。</w:t>
            </w:r>
          </w:p>
          <w:p w14:paraId="40B61AA8">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eastAsia="zh-CN"/>
              </w:rPr>
              <w:t>（</w:t>
            </w:r>
            <w:r>
              <w:rPr>
                <w:rFonts w:hint="eastAsia" w:ascii="宋体" w:hAnsi="宋体" w:eastAsia="宋体" w:cs="宋体"/>
                <w:color w:val="auto"/>
                <w:sz w:val="21"/>
                <w:szCs w:val="21"/>
                <w:highlight w:val="none"/>
                <w:lang w:val="en-US" w:eastAsia="zh-CN"/>
              </w:rPr>
              <w:t>11</w:t>
            </w:r>
            <w:r>
              <w:rPr>
                <w:rFonts w:hint="eastAsia" w:ascii="宋体" w:hAnsi="宋体" w:eastAsia="宋体" w:cs="宋体"/>
                <w:color w:val="auto"/>
                <w:sz w:val="21"/>
                <w:szCs w:val="21"/>
                <w:highlight w:val="none"/>
                <w:lang w:eastAsia="zh-CN"/>
              </w:rPr>
              <w:t>）</w:t>
            </w:r>
            <w:r>
              <w:rPr>
                <w:rFonts w:hint="eastAsia" w:ascii="宋体" w:hAnsi="宋体" w:eastAsia="宋体" w:cs="宋体"/>
                <w:color w:val="auto"/>
                <w:sz w:val="21"/>
                <w:szCs w:val="21"/>
                <w:highlight w:val="none"/>
              </w:rPr>
              <w:t>支持设置导航模块的展示/隐藏，同时支持拖拽的形式改变导航栏中模块的顺序。</w:t>
            </w:r>
          </w:p>
          <w:p w14:paraId="5CFC89C1">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eastAsia="zh-CN"/>
              </w:rPr>
              <w:t>（</w:t>
            </w:r>
            <w:r>
              <w:rPr>
                <w:rFonts w:hint="eastAsia" w:ascii="宋体" w:hAnsi="宋体" w:eastAsia="宋体" w:cs="宋体"/>
                <w:color w:val="auto"/>
                <w:sz w:val="21"/>
                <w:szCs w:val="21"/>
                <w:highlight w:val="none"/>
                <w:lang w:val="en-US" w:eastAsia="zh-CN"/>
              </w:rPr>
              <w:t>12</w:t>
            </w:r>
            <w:r>
              <w:rPr>
                <w:rFonts w:hint="eastAsia" w:ascii="宋体" w:hAnsi="宋体" w:eastAsia="宋体" w:cs="宋体"/>
                <w:color w:val="auto"/>
                <w:sz w:val="21"/>
                <w:szCs w:val="21"/>
                <w:highlight w:val="none"/>
                <w:lang w:eastAsia="zh-CN"/>
              </w:rPr>
              <w:t>）</w:t>
            </w:r>
            <w:r>
              <w:rPr>
                <w:rFonts w:hint="eastAsia" w:ascii="宋体" w:hAnsi="宋体" w:eastAsia="宋体" w:cs="宋体"/>
                <w:color w:val="auto"/>
                <w:sz w:val="21"/>
                <w:szCs w:val="21"/>
                <w:highlight w:val="none"/>
              </w:rPr>
              <w:t>支持管理员设置图谱查看权限，包括限制在本单位、特定单位或全网范围内的访问。</w:t>
            </w:r>
          </w:p>
          <w:p w14:paraId="03FE6E4E">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lang w:eastAsia="zh-CN"/>
              </w:rPr>
            </w:pPr>
            <w:r>
              <w:rPr>
                <w:rFonts w:hint="eastAsia" w:ascii="宋体" w:hAnsi="宋体" w:eastAsia="宋体" w:cs="宋体"/>
                <w:color w:val="auto"/>
                <w:sz w:val="21"/>
                <w:szCs w:val="21"/>
                <w:highlight w:val="none"/>
                <w:lang w:eastAsia="zh-CN"/>
              </w:rPr>
              <w:t>（</w:t>
            </w:r>
            <w:r>
              <w:rPr>
                <w:rFonts w:hint="eastAsia" w:ascii="宋体" w:hAnsi="宋体" w:eastAsia="宋体" w:cs="宋体"/>
                <w:color w:val="auto"/>
                <w:sz w:val="21"/>
                <w:szCs w:val="21"/>
                <w:highlight w:val="none"/>
                <w:lang w:val="en-US" w:eastAsia="zh-CN"/>
              </w:rPr>
              <w:t>13</w:t>
            </w:r>
            <w:r>
              <w:rPr>
                <w:rFonts w:hint="eastAsia" w:ascii="宋体" w:hAnsi="宋体" w:eastAsia="宋体" w:cs="宋体"/>
                <w:color w:val="auto"/>
                <w:sz w:val="21"/>
                <w:szCs w:val="21"/>
                <w:highlight w:val="none"/>
                <w:lang w:eastAsia="zh-CN"/>
              </w:rPr>
              <w:t>）</w:t>
            </w:r>
            <w:r>
              <w:rPr>
                <w:rFonts w:hint="eastAsia" w:ascii="宋体" w:hAnsi="宋体" w:eastAsia="宋体" w:cs="宋体"/>
                <w:color w:val="auto"/>
                <w:sz w:val="21"/>
                <w:szCs w:val="21"/>
                <w:highlight w:val="none"/>
              </w:rPr>
              <w:t>可自定义构造课程体系，支持添加课程到课程体系中，支持关键字搜索课程</w:t>
            </w:r>
            <w:r>
              <w:rPr>
                <w:rFonts w:hint="eastAsia" w:ascii="宋体" w:hAnsi="宋体" w:cs="宋体"/>
                <w:color w:val="auto"/>
                <w:sz w:val="21"/>
                <w:szCs w:val="21"/>
                <w:highlight w:val="none"/>
                <w:lang w:eastAsia="zh-CN"/>
              </w:rPr>
              <w:t>。</w:t>
            </w:r>
          </w:p>
          <w:p w14:paraId="6D0E135E">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eastAsia="zh-CN"/>
              </w:rPr>
              <w:t>（</w:t>
            </w:r>
            <w:r>
              <w:rPr>
                <w:rFonts w:hint="eastAsia" w:ascii="宋体" w:hAnsi="宋体" w:eastAsia="宋体" w:cs="宋体"/>
                <w:color w:val="auto"/>
                <w:sz w:val="21"/>
                <w:szCs w:val="21"/>
                <w:highlight w:val="none"/>
                <w:lang w:val="en-US" w:eastAsia="zh-CN"/>
              </w:rPr>
              <w:t>14</w:t>
            </w:r>
            <w:r>
              <w:rPr>
                <w:rFonts w:hint="eastAsia" w:ascii="宋体" w:hAnsi="宋体" w:eastAsia="宋体" w:cs="宋体"/>
                <w:color w:val="auto"/>
                <w:sz w:val="21"/>
                <w:szCs w:val="21"/>
                <w:highlight w:val="none"/>
                <w:lang w:eastAsia="zh-CN"/>
              </w:rPr>
              <w:t>）</w:t>
            </w:r>
            <w:r>
              <w:rPr>
                <w:rFonts w:hint="eastAsia" w:ascii="宋体" w:hAnsi="宋体" w:eastAsia="宋体" w:cs="宋体"/>
                <w:color w:val="auto"/>
                <w:sz w:val="21"/>
                <w:szCs w:val="21"/>
                <w:highlight w:val="none"/>
              </w:rPr>
              <w:t>在门户中展示课程图谱名称，并可通过知识点分布查看不同标签维度的课程数量。</w:t>
            </w:r>
          </w:p>
          <w:p w14:paraId="2A6B6905">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eastAsia="zh-CN"/>
              </w:rPr>
              <w:t>（</w:t>
            </w:r>
            <w:r>
              <w:rPr>
                <w:rFonts w:hint="eastAsia" w:ascii="宋体" w:hAnsi="宋体" w:eastAsia="宋体" w:cs="宋体"/>
                <w:color w:val="auto"/>
                <w:sz w:val="21"/>
                <w:szCs w:val="21"/>
                <w:highlight w:val="none"/>
                <w:lang w:val="en-US" w:eastAsia="zh-CN"/>
              </w:rPr>
              <w:t>15</w:t>
            </w:r>
            <w:r>
              <w:rPr>
                <w:rFonts w:hint="eastAsia" w:ascii="宋体" w:hAnsi="宋体" w:eastAsia="宋体" w:cs="宋体"/>
                <w:color w:val="auto"/>
                <w:sz w:val="21"/>
                <w:szCs w:val="21"/>
                <w:highlight w:val="none"/>
                <w:lang w:eastAsia="zh-CN"/>
              </w:rPr>
              <w:t>）</w:t>
            </w:r>
            <w:r>
              <w:rPr>
                <w:rFonts w:hint="eastAsia" w:ascii="宋体" w:hAnsi="宋体" w:eastAsia="宋体" w:cs="宋体"/>
                <w:color w:val="auto"/>
                <w:sz w:val="21"/>
                <w:szCs w:val="21"/>
                <w:highlight w:val="none"/>
              </w:rPr>
              <w:t>支持设置导航模块的展示/隐藏，同时支持拖拽的形式改变导航栏中模块的顺序。</w:t>
            </w:r>
          </w:p>
          <w:p w14:paraId="4DC977B4">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eastAsia="zh-CN"/>
              </w:rPr>
              <w:t>（</w:t>
            </w:r>
            <w:r>
              <w:rPr>
                <w:rFonts w:hint="eastAsia" w:ascii="宋体" w:hAnsi="宋体" w:eastAsia="宋体" w:cs="宋体"/>
                <w:color w:val="auto"/>
                <w:sz w:val="21"/>
                <w:szCs w:val="21"/>
                <w:highlight w:val="none"/>
                <w:lang w:val="en-US" w:eastAsia="zh-CN"/>
              </w:rPr>
              <w:t>16</w:t>
            </w:r>
            <w:r>
              <w:rPr>
                <w:rFonts w:hint="eastAsia" w:ascii="宋体" w:hAnsi="宋体" w:eastAsia="宋体" w:cs="宋体"/>
                <w:color w:val="auto"/>
                <w:sz w:val="21"/>
                <w:szCs w:val="21"/>
                <w:highlight w:val="none"/>
                <w:lang w:eastAsia="zh-CN"/>
              </w:rPr>
              <w:t>）</w:t>
            </w:r>
            <w:r>
              <w:rPr>
                <w:rFonts w:hint="eastAsia" w:ascii="宋体" w:hAnsi="宋体" w:eastAsia="宋体" w:cs="宋体"/>
                <w:color w:val="auto"/>
                <w:sz w:val="21"/>
                <w:szCs w:val="21"/>
                <w:highlight w:val="none"/>
              </w:rPr>
              <w:t>支持管理员设置图谱查看权限，包括限制在本单位、特定单位或全网范围内的访问。</w:t>
            </w:r>
            <w:r>
              <w:rPr>
                <w:rFonts w:hint="eastAsia" w:ascii="宋体" w:hAnsi="宋体" w:eastAsia="宋体" w:cs="宋体"/>
                <w:color w:val="auto"/>
                <w:sz w:val="21"/>
                <w:szCs w:val="21"/>
                <w:highlight w:val="none"/>
              </w:rPr>
              <w:tab/>
            </w:r>
          </w:p>
          <w:p w14:paraId="6023AAB1">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2" w:firstLineChars="200"/>
              <w:jc w:val="both"/>
              <w:textAlignment w:val="auto"/>
              <w:rPr>
                <w:rFonts w:hint="eastAsia" w:ascii="宋体" w:hAnsi="宋体" w:eastAsia="宋体" w:cs="宋体"/>
                <w:color w:val="auto"/>
                <w:sz w:val="21"/>
                <w:szCs w:val="21"/>
                <w:highlight w:val="none"/>
              </w:rPr>
            </w:pPr>
            <w:r>
              <w:rPr>
                <w:rFonts w:hint="eastAsia" w:ascii="宋体" w:hAnsi="宋体" w:eastAsia="宋体" w:cs="宋体"/>
                <w:b/>
                <w:bCs/>
                <w:color w:val="auto"/>
                <w:sz w:val="21"/>
                <w:szCs w:val="21"/>
                <w:highlight w:val="none"/>
                <w:lang w:val="en-US" w:eastAsia="zh-CN"/>
              </w:rPr>
              <w:t>7.</w:t>
            </w:r>
            <w:r>
              <w:rPr>
                <w:rFonts w:hint="eastAsia" w:ascii="宋体" w:hAnsi="宋体" w:eastAsia="宋体" w:cs="宋体"/>
                <w:b/>
                <w:bCs/>
                <w:color w:val="auto"/>
                <w:sz w:val="21"/>
                <w:szCs w:val="21"/>
                <w:highlight w:val="none"/>
              </w:rPr>
              <w:t>知识图谱统计与分析系统</w:t>
            </w:r>
            <w:r>
              <w:rPr>
                <w:rFonts w:hint="eastAsia" w:ascii="宋体" w:hAnsi="宋体" w:eastAsia="宋体" w:cs="宋体"/>
                <w:color w:val="auto"/>
                <w:sz w:val="21"/>
                <w:szCs w:val="21"/>
                <w:highlight w:val="none"/>
              </w:rPr>
              <w:tab/>
            </w:r>
          </w:p>
          <w:p w14:paraId="6577BA58">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eastAsia="zh-CN"/>
              </w:rPr>
              <w:t>（</w:t>
            </w:r>
            <w:r>
              <w:rPr>
                <w:rFonts w:hint="eastAsia" w:ascii="宋体" w:hAnsi="宋体" w:eastAsia="宋体" w:cs="宋体"/>
                <w:color w:val="auto"/>
                <w:sz w:val="21"/>
                <w:szCs w:val="21"/>
                <w:highlight w:val="none"/>
                <w:lang w:val="en-US" w:eastAsia="zh-CN"/>
              </w:rPr>
              <w:t>1</w:t>
            </w:r>
            <w:r>
              <w:rPr>
                <w:rFonts w:hint="eastAsia" w:ascii="宋体" w:hAnsi="宋体" w:eastAsia="宋体" w:cs="宋体"/>
                <w:color w:val="auto"/>
                <w:sz w:val="21"/>
                <w:szCs w:val="21"/>
                <w:highlight w:val="none"/>
                <w:lang w:eastAsia="zh-CN"/>
              </w:rPr>
              <w:t>）</w:t>
            </w:r>
            <w:r>
              <w:rPr>
                <w:rFonts w:hint="eastAsia" w:ascii="宋体" w:hAnsi="宋体" w:eastAsia="宋体" w:cs="宋体"/>
                <w:color w:val="auto"/>
                <w:sz w:val="21"/>
                <w:szCs w:val="21"/>
                <w:highlight w:val="none"/>
              </w:rPr>
              <w:t>支持教师查看知识图谱的知识点建设情况，包括知识点建设率、图谱知识点总数、图谱关联资源知识点数、已设置标签的知识点数、图谱未关联资源知识点数等；支持查看不同知识点属性概况数据；支持查看图谱资源总数，关联视频、音频、文档、题目及其他类型资源数等；支持查看知识点关联资源数量排行榜。</w:t>
            </w:r>
          </w:p>
          <w:p w14:paraId="3A31735B">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eastAsia="zh-CN"/>
              </w:rPr>
              <w:t>（</w:t>
            </w:r>
            <w:r>
              <w:rPr>
                <w:rFonts w:hint="eastAsia" w:ascii="宋体" w:hAnsi="宋体" w:eastAsia="宋体" w:cs="宋体"/>
                <w:color w:val="auto"/>
                <w:sz w:val="21"/>
                <w:szCs w:val="21"/>
                <w:highlight w:val="none"/>
                <w:lang w:val="en-US" w:eastAsia="zh-CN"/>
              </w:rPr>
              <w:t>2</w:t>
            </w:r>
            <w:r>
              <w:rPr>
                <w:rFonts w:hint="eastAsia" w:ascii="宋体" w:hAnsi="宋体" w:eastAsia="宋体" w:cs="宋体"/>
                <w:color w:val="auto"/>
                <w:sz w:val="21"/>
                <w:szCs w:val="21"/>
                <w:highlight w:val="none"/>
                <w:lang w:eastAsia="zh-CN"/>
              </w:rPr>
              <w:t>）</w:t>
            </w:r>
            <w:r>
              <w:rPr>
                <w:rFonts w:hint="eastAsia" w:ascii="宋体" w:hAnsi="宋体" w:eastAsia="宋体" w:cs="宋体"/>
                <w:color w:val="auto"/>
                <w:sz w:val="21"/>
                <w:szCs w:val="21"/>
                <w:highlight w:val="none"/>
              </w:rPr>
              <w:t>支持教师查看不同班级的学情数据，包括每个知识点的完成率与掌握率、知识点热度、完成率与掌握率的学情分段人数、学生完成率与掌握率排行情况等数据。</w:t>
            </w:r>
          </w:p>
          <w:p w14:paraId="19DD0F3F">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eastAsia="zh-CN"/>
              </w:rPr>
              <w:t>（</w:t>
            </w:r>
            <w:r>
              <w:rPr>
                <w:rFonts w:hint="eastAsia" w:ascii="宋体" w:hAnsi="宋体" w:eastAsia="宋体" w:cs="宋体"/>
                <w:color w:val="auto"/>
                <w:sz w:val="21"/>
                <w:szCs w:val="21"/>
                <w:highlight w:val="none"/>
                <w:lang w:val="en-US" w:eastAsia="zh-CN"/>
              </w:rPr>
              <w:t>3</w:t>
            </w:r>
            <w:r>
              <w:rPr>
                <w:rFonts w:hint="eastAsia" w:ascii="宋体" w:hAnsi="宋体" w:eastAsia="宋体" w:cs="宋体"/>
                <w:color w:val="auto"/>
                <w:sz w:val="21"/>
                <w:szCs w:val="21"/>
                <w:highlight w:val="none"/>
                <w:lang w:eastAsia="zh-CN"/>
              </w:rPr>
              <w:t>）</w:t>
            </w:r>
            <w:r>
              <w:rPr>
                <w:rFonts w:hint="eastAsia" w:ascii="宋体" w:hAnsi="宋体" w:eastAsia="宋体" w:cs="宋体"/>
                <w:color w:val="auto"/>
                <w:sz w:val="21"/>
                <w:szCs w:val="21"/>
                <w:highlight w:val="none"/>
              </w:rPr>
              <w:t>支持教师选择多个不同班级进行学情数据对比，对比内容包括班级掌握率、班级完成率、完成率区间对比与掌握率区间对比等数据。通过班级对比分析，便于教师更好的了解不同班级间的学习差异。</w:t>
            </w:r>
          </w:p>
          <w:p w14:paraId="0E51A952">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eastAsia="zh-CN"/>
              </w:rPr>
              <w:t>（</w:t>
            </w:r>
            <w:r>
              <w:rPr>
                <w:rFonts w:hint="eastAsia" w:ascii="宋体" w:hAnsi="宋体" w:eastAsia="宋体" w:cs="宋体"/>
                <w:color w:val="auto"/>
                <w:sz w:val="21"/>
                <w:szCs w:val="21"/>
                <w:highlight w:val="none"/>
                <w:lang w:val="en-US" w:eastAsia="zh-CN"/>
              </w:rPr>
              <w:t>4</w:t>
            </w:r>
            <w:r>
              <w:rPr>
                <w:rFonts w:hint="eastAsia" w:ascii="宋体" w:hAnsi="宋体" w:eastAsia="宋体" w:cs="宋体"/>
                <w:color w:val="auto"/>
                <w:sz w:val="21"/>
                <w:szCs w:val="21"/>
                <w:highlight w:val="none"/>
                <w:lang w:eastAsia="zh-CN"/>
              </w:rPr>
              <w:t>）</w:t>
            </w:r>
            <w:r>
              <w:rPr>
                <w:rFonts w:hint="eastAsia" w:ascii="宋体" w:hAnsi="宋体" w:eastAsia="宋体" w:cs="宋体"/>
                <w:color w:val="auto"/>
                <w:sz w:val="21"/>
                <w:szCs w:val="21"/>
                <w:highlight w:val="none"/>
              </w:rPr>
              <w:t>支持教师依据知识点的属性或分类层级，灵活选取多样的评价维度，进而生成学生或班级画像。通过统计各维度知识点的完成率与掌握率，精准了解和分析班级或学生的学习状况。</w:t>
            </w:r>
          </w:p>
          <w:p w14:paraId="05380FE7">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eastAsia="zh-CN"/>
              </w:rPr>
              <w:t>（</w:t>
            </w:r>
            <w:r>
              <w:rPr>
                <w:rFonts w:hint="eastAsia" w:ascii="宋体" w:hAnsi="宋体" w:eastAsia="宋体" w:cs="宋体"/>
                <w:color w:val="auto"/>
                <w:sz w:val="21"/>
                <w:szCs w:val="21"/>
                <w:highlight w:val="none"/>
                <w:lang w:val="en-US" w:eastAsia="zh-CN"/>
              </w:rPr>
              <w:t>5</w:t>
            </w:r>
            <w:r>
              <w:rPr>
                <w:rFonts w:hint="eastAsia" w:ascii="宋体" w:hAnsi="宋体" w:eastAsia="宋体" w:cs="宋体"/>
                <w:color w:val="auto"/>
                <w:sz w:val="21"/>
                <w:szCs w:val="21"/>
                <w:highlight w:val="none"/>
                <w:lang w:eastAsia="zh-CN"/>
              </w:rPr>
              <w:t>）</w:t>
            </w:r>
            <w:r>
              <w:rPr>
                <w:rFonts w:hint="eastAsia" w:ascii="宋体" w:hAnsi="宋体" w:eastAsia="宋体" w:cs="宋体"/>
                <w:color w:val="auto"/>
                <w:sz w:val="21"/>
                <w:szCs w:val="21"/>
                <w:highlight w:val="none"/>
              </w:rPr>
              <w:t>支持教师查看知识点名称、关联学习资源数、任务点数量、考试、作业、章节测验、平均完成率、平均掌握率等数据，并可以通过详情查看学生对知识点的完成与掌握情况。</w:t>
            </w:r>
          </w:p>
          <w:p w14:paraId="0CB5C38A">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eastAsia="zh-CN"/>
              </w:rPr>
              <w:t>（</w:t>
            </w:r>
            <w:r>
              <w:rPr>
                <w:rFonts w:hint="eastAsia" w:ascii="宋体" w:hAnsi="宋体" w:eastAsia="宋体" w:cs="宋体"/>
                <w:color w:val="auto"/>
                <w:sz w:val="21"/>
                <w:szCs w:val="21"/>
                <w:highlight w:val="none"/>
                <w:lang w:val="en-US" w:eastAsia="zh-CN"/>
              </w:rPr>
              <w:t>6</w:t>
            </w:r>
            <w:r>
              <w:rPr>
                <w:rFonts w:hint="eastAsia" w:ascii="宋体" w:hAnsi="宋体" w:eastAsia="宋体" w:cs="宋体"/>
                <w:color w:val="auto"/>
                <w:sz w:val="21"/>
                <w:szCs w:val="21"/>
                <w:highlight w:val="none"/>
                <w:lang w:eastAsia="zh-CN"/>
              </w:rPr>
              <w:t>）</w:t>
            </w:r>
            <w:r>
              <w:rPr>
                <w:rFonts w:hint="eastAsia" w:ascii="宋体" w:hAnsi="宋体" w:eastAsia="宋体" w:cs="宋体"/>
                <w:color w:val="auto"/>
                <w:sz w:val="21"/>
                <w:szCs w:val="21"/>
                <w:highlight w:val="none"/>
              </w:rPr>
              <w:t>支持教师查看学生平均完成率、平均掌握率，并通过详情查看每个学生对知识点的完成与掌握情况。包括学生知识点的完成情况、掌握情况、知识点关联的学习任务完成详情等以及查看此知识点的课程资源和系统推荐的图书、期刊、报纸、课程等拓展资源。</w:t>
            </w:r>
          </w:p>
          <w:p w14:paraId="6D89711A">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eastAsia="zh-CN"/>
              </w:rPr>
              <w:t>（</w:t>
            </w:r>
            <w:r>
              <w:rPr>
                <w:rFonts w:hint="eastAsia" w:ascii="宋体" w:hAnsi="宋体" w:eastAsia="宋体" w:cs="宋体"/>
                <w:color w:val="auto"/>
                <w:sz w:val="21"/>
                <w:szCs w:val="21"/>
                <w:highlight w:val="none"/>
                <w:lang w:val="en-US" w:eastAsia="zh-CN"/>
              </w:rPr>
              <w:t>7</w:t>
            </w:r>
            <w:r>
              <w:rPr>
                <w:rFonts w:hint="eastAsia" w:ascii="宋体" w:hAnsi="宋体" w:eastAsia="宋体" w:cs="宋体"/>
                <w:color w:val="auto"/>
                <w:sz w:val="21"/>
                <w:szCs w:val="21"/>
                <w:highlight w:val="none"/>
                <w:lang w:eastAsia="zh-CN"/>
              </w:rPr>
              <w:t>）</w:t>
            </w:r>
            <w:r>
              <w:rPr>
                <w:rFonts w:hint="eastAsia" w:ascii="宋体" w:hAnsi="宋体" w:eastAsia="宋体" w:cs="宋体"/>
                <w:color w:val="auto"/>
                <w:sz w:val="21"/>
                <w:szCs w:val="21"/>
                <w:highlight w:val="none"/>
              </w:rPr>
              <w:t>支持学生查看本人的知识点统计分析，包括每个分类、知识点的完成情况、掌握情况、课程资料阅读情况等。</w:t>
            </w:r>
          </w:p>
          <w:p w14:paraId="751DE18A">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eastAsia="zh-CN"/>
              </w:rPr>
              <w:t>（</w:t>
            </w:r>
            <w:r>
              <w:rPr>
                <w:rFonts w:hint="eastAsia" w:ascii="宋体" w:hAnsi="宋体" w:eastAsia="宋体" w:cs="宋体"/>
                <w:color w:val="auto"/>
                <w:sz w:val="21"/>
                <w:szCs w:val="21"/>
                <w:highlight w:val="none"/>
                <w:lang w:val="en-US" w:eastAsia="zh-CN"/>
              </w:rPr>
              <w:t>8</w:t>
            </w:r>
            <w:r>
              <w:rPr>
                <w:rFonts w:hint="eastAsia" w:ascii="宋体" w:hAnsi="宋体" w:eastAsia="宋体" w:cs="宋体"/>
                <w:color w:val="auto"/>
                <w:sz w:val="21"/>
                <w:szCs w:val="21"/>
                <w:highlight w:val="none"/>
                <w:lang w:eastAsia="zh-CN"/>
              </w:rPr>
              <w:t>）</w:t>
            </w:r>
            <w:r>
              <w:rPr>
                <w:rFonts w:hint="eastAsia" w:ascii="宋体" w:hAnsi="宋体" w:eastAsia="宋体" w:cs="宋体"/>
                <w:color w:val="auto"/>
                <w:sz w:val="21"/>
                <w:szCs w:val="21"/>
                <w:highlight w:val="none"/>
              </w:rPr>
              <w:t>支持学生查看自己单个分类、知识点的统计分析详情，包括完成情况、掌握情况、知识点关联的学习任务完成详情等。</w:t>
            </w:r>
          </w:p>
          <w:p w14:paraId="79307FBD">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lang w:eastAsia="zh-CN"/>
              </w:rPr>
            </w:pPr>
            <w:r>
              <w:rPr>
                <w:rFonts w:hint="eastAsia" w:ascii="宋体" w:hAnsi="宋体" w:eastAsia="宋体" w:cs="宋体"/>
                <w:color w:val="auto"/>
                <w:sz w:val="21"/>
                <w:szCs w:val="21"/>
                <w:highlight w:val="none"/>
                <w:lang w:eastAsia="zh-CN"/>
              </w:rPr>
              <w:t>（</w:t>
            </w:r>
            <w:r>
              <w:rPr>
                <w:rFonts w:hint="eastAsia" w:ascii="宋体" w:hAnsi="宋体" w:eastAsia="宋体" w:cs="宋体"/>
                <w:color w:val="auto"/>
                <w:sz w:val="21"/>
                <w:szCs w:val="21"/>
                <w:highlight w:val="none"/>
                <w:lang w:val="en-US" w:eastAsia="zh-CN"/>
              </w:rPr>
              <w:t>9</w:t>
            </w:r>
            <w:r>
              <w:rPr>
                <w:rFonts w:hint="eastAsia" w:ascii="宋体" w:hAnsi="宋体" w:eastAsia="宋体" w:cs="宋体"/>
                <w:color w:val="auto"/>
                <w:sz w:val="21"/>
                <w:szCs w:val="21"/>
                <w:highlight w:val="none"/>
                <w:lang w:eastAsia="zh-CN"/>
              </w:rPr>
              <w:t>）</w:t>
            </w:r>
            <w:r>
              <w:rPr>
                <w:rFonts w:hint="eastAsia" w:ascii="宋体" w:hAnsi="宋体" w:eastAsia="宋体" w:cs="宋体"/>
                <w:color w:val="auto"/>
                <w:sz w:val="21"/>
                <w:szCs w:val="21"/>
                <w:highlight w:val="none"/>
              </w:rPr>
              <w:t>系统支持学生通过知识点统计知识点个数关联的资源个数完成率情况及掌握率情况</w:t>
            </w:r>
            <w:r>
              <w:rPr>
                <w:rFonts w:hint="eastAsia" w:ascii="宋体" w:hAnsi="宋体" w:cs="宋体"/>
                <w:color w:val="auto"/>
                <w:sz w:val="21"/>
                <w:szCs w:val="21"/>
                <w:highlight w:val="none"/>
                <w:lang w:eastAsia="zh-CN"/>
              </w:rPr>
              <w:t>。</w:t>
            </w:r>
          </w:p>
          <w:p w14:paraId="5CD3B3AB">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2" w:firstLineChars="200"/>
              <w:jc w:val="both"/>
              <w:textAlignment w:val="auto"/>
              <w:rPr>
                <w:rFonts w:hint="eastAsia" w:ascii="宋体" w:hAnsi="宋体" w:eastAsia="宋体" w:cs="宋体"/>
                <w:color w:val="auto"/>
                <w:sz w:val="21"/>
                <w:szCs w:val="21"/>
                <w:highlight w:val="none"/>
              </w:rPr>
            </w:pPr>
            <w:r>
              <w:rPr>
                <w:rFonts w:hint="eastAsia" w:ascii="宋体" w:hAnsi="宋体" w:eastAsia="宋体" w:cs="宋体"/>
                <w:b/>
                <w:bCs/>
                <w:color w:val="auto"/>
                <w:sz w:val="21"/>
                <w:szCs w:val="21"/>
                <w:highlight w:val="none"/>
                <w:lang w:val="en-US" w:eastAsia="zh-CN"/>
              </w:rPr>
              <w:t>8.</w:t>
            </w:r>
            <w:r>
              <w:rPr>
                <w:rFonts w:hint="eastAsia" w:ascii="宋体" w:hAnsi="宋体" w:eastAsia="宋体" w:cs="宋体"/>
                <w:b/>
                <w:bCs/>
                <w:color w:val="auto"/>
                <w:sz w:val="21"/>
                <w:szCs w:val="21"/>
                <w:highlight w:val="none"/>
              </w:rPr>
              <w:t>能力图谱</w:t>
            </w:r>
            <w:r>
              <w:rPr>
                <w:rFonts w:hint="eastAsia" w:ascii="宋体" w:hAnsi="宋体" w:eastAsia="宋体" w:cs="宋体"/>
                <w:color w:val="auto"/>
                <w:sz w:val="21"/>
                <w:szCs w:val="21"/>
                <w:highlight w:val="none"/>
              </w:rPr>
              <w:tab/>
            </w:r>
          </w:p>
          <w:p w14:paraId="76380571">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w:t>
            </w:r>
            <w:r>
              <w:rPr>
                <w:rFonts w:hint="eastAsia" w:ascii="宋体" w:hAnsi="宋体" w:eastAsia="宋体" w:cs="宋体"/>
                <w:color w:val="auto"/>
                <w:sz w:val="21"/>
                <w:szCs w:val="21"/>
                <w:highlight w:val="none"/>
                <w:lang w:val="en-US" w:eastAsia="zh-CN"/>
              </w:rPr>
              <w:t>1</w:t>
            </w:r>
            <w:r>
              <w:rPr>
                <w:rFonts w:hint="eastAsia" w:ascii="宋体" w:hAnsi="宋体" w:eastAsia="宋体" w:cs="宋体"/>
                <w:color w:val="auto"/>
                <w:sz w:val="21"/>
                <w:szCs w:val="21"/>
                <w:highlight w:val="none"/>
              </w:rPr>
              <w:t>)支持对课程目标进行详细说明，以确保目标清晰明确。</w:t>
            </w:r>
          </w:p>
          <w:p w14:paraId="61E3B2DB">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w:t>
            </w:r>
            <w:r>
              <w:rPr>
                <w:rFonts w:hint="eastAsia" w:ascii="宋体" w:hAnsi="宋体" w:eastAsia="宋体" w:cs="宋体"/>
                <w:color w:val="auto"/>
                <w:sz w:val="21"/>
                <w:szCs w:val="21"/>
                <w:highlight w:val="none"/>
                <w:lang w:val="en-US" w:eastAsia="zh-CN"/>
              </w:rPr>
              <w:t>2</w:t>
            </w:r>
            <w:r>
              <w:rPr>
                <w:rFonts w:hint="eastAsia" w:ascii="宋体" w:hAnsi="宋体" w:eastAsia="宋体" w:cs="宋体"/>
                <w:color w:val="auto"/>
                <w:sz w:val="21"/>
                <w:szCs w:val="21"/>
                <w:highlight w:val="none"/>
              </w:rPr>
              <w:t>)支持对课程目标名称、课程目标标签、描述进行修改，保持课程内容的准确性和时效性。</w:t>
            </w:r>
          </w:p>
          <w:p w14:paraId="253CA83D">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w:t>
            </w:r>
            <w:r>
              <w:rPr>
                <w:rFonts w:hint="eastAsia" w:ascii="宋体" w:hAnsi="宋体" w:eastAsia="宋体" w:cs="宋体"/>
                <w:color w:val="auto"/>
                <w:sz w:val="21"/>
                <w:szCs w:val="21"/>
                <w:highlight w:val="none"/>
                <w:lang w:val="en-US" w:eastAsia="zh-CN"/>
              </w:rPr>
              <w:t>3</w:t>
            </w:r>
            <w:r>
              <w:rPr>
                <w:rFonts w:hint="eastAsia" w:ascii="宋体" w:hAnsi="宋体" w:eastAsia="宋体" w:cs="宋体"/>
                <w:color w:val="auto"/>
                <w:sz w:val="21"/>
                <w:szCs w:val="21"/>
                <w:highlight w:val="none"/>
              </w:rPr>
              <w:t>)支持检索课程目标标签以及课程目标名称，使用户能够快速找到特定目标。</w:t>
            </w:r>
          </w:p>
          <w:p w14:paraId="7883F3FD">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w:t>
            </w:r>
            <w:r>
              <w:rPr>
                <w:rFonts w:hint="eastAsia" w:ascii="宋体" w:hAnsi="宋体" w:eastAsia="宋体" w:cs="宋体"/>
                <w:color w:val="auto"/>
                <w:sz w:val="21"/>
                <w:szCs w:val="21"/>
                <w:highlight w:val="none"/>
                <w:lang w:val="en-US" w:eastAsia="zh-CN"/>
              </w:rPr>
              <w:t>4</w:t>
            </w:r>
            <w:r>
              <w:rPr>
                <w:rFonts w:hint="eastAsia" w:ascii="宋体" w:hAnsi="宋体" w:eastAsia="宋体" w:cs="宋体"/>
                <w:color w:val="auto"/>
                <w:sz w:val="21"/>
                <w:szCs w:val="21"/>
                <w:highlight w:val="none"/>
              </w:rPr>
              <w:t>)支持课程目标与知识点进行关联，以展示目标与教学内容的直接联系。</w:t>
            </w:r>
          </w:p>
          <w:p w14:paraId="39A4BA20">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w:t>
            </w:r>
            <w:r>
              <w:rPr>
                <w:rFonts w:hint="eastAsia" w:ascii="宋体" w:hAnsi="宋体" w:eastAsia="宋体" w:cs="宋体"/>
                <w:color w:val="auto"/>
                <w:sz w:val="21"/>
                <w:szCs w:val="21"/>
                <w:highlight w:val="none"/>
                <w:lang w:val="en-US" w:eastAsia="zh-CN"/>
              </w:rPr>
              <w:t>5</w:t>
            </w:r>
            <w:r>
              <w:rPr>
                <w:rFonts w:hint="eastAsia" w:ascii="宋体" w:hAnsi="宋体" w:eastAsia="宋体" w:cs="宋体"/>
                <w:color w:val="auto"/>
                <w:sz w:val="21"/>
                <w:szCs w:val="21"/>
                <w:highlight w:val="none"/>
              </w:rPr>
              <w:t>)支持以柱状图展示课程目标关联知识点的个数，提供直观的统计信息。</w:t>
            </w:r>
          </w:p>
          <w:p w14:paraId="635F047D">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w:t>
            </w:r>
            <w:r>
              <w:rPr>
                <w:rFonts w:hint="eastAsia" w:ascii="宋体" w:hAnsi="宋体" w:eastAsia="宋体" w:cs="宋体"/>
                <w:color w:val="auto"/>
                <w:sz w:val="21"/>
                <w:szCs w:val="21"/>
                <w:highlight w:val="none"/>
                <w:lang w:val="en-US" w:eastAsia="zh-CN"/>
              </w:rPr>
              <w:t>6</w:t>
            </w:r>
            <w:r>
              <w:rPr>
                <w:rFonts w:hint="eastAsia" w:ascii="宋体" w:hAnsi="宋体" w:eastAsia="宋体" w:cs="宋体"/>
                <w:color w:val="auto"/>
                <w:sz w:val="21"/>
                <w:szCs w:val="21"/>
                <w:highlight w:val="none"/>
              </w:rPr>
              <w:t>)支持以列表形式展示课程目标总数、课程目标名称、课程目标说明、课程目标标签以及所关联的知识点个数，方便用户快速浏览和了解。</w:t>
            </w:r>
          </w:p>
          <w:p w14:paraId="6F507F4F">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2" w:firstLineChars="200"/>
              <w:jc w:val="both"/>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b/>
                <w:bCs/>
                <w:color w:val="auto"/>
                <w:sz w:val="21"/>
                <w:szCs w:val="21"/>
                <w:highlight w:val="none"/>
                <w:lang w:val="en-US" w:eastAsia="zh-CN"/>
              </w:rPr>
              <w:t>（五）AI助教系统</w:t>
            </w:r>
          </w:p>
          <w:p w14:paraId="78A0985C">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2" w:firstLineChars="200"/>
              <w:jc w:val="both"/>
              <w:textAlignment w:val="auto"/>
              <w:rPr>
                <w:rFonts w:hint="eastAsia" w:ascii="宋体" w:hAnsi="宋体" w:eastAsia="宋体" w:cs="宋体"/>
                <w:b/>
                <w:bCs/>
                <w:color w:val="auto"/>
                <w:sz w:val="21"/>
                <w:szCs w:val="21"/>
                <w:highlight w:val="none"/>
                <w:lang w:val="en-US" w:eastAsia="zh-CN"/>
              </w:rPr>
            </w:pPr>
            <w:r>
              <w:rPr>
                <w:rFonts w:hint="eastAsia" w:ascii="宋体" w:hAnsi="宋体" w:eastAsia="宋体" w:cs="宋体"/>
                <w:b/>
                <w:bCs/>
                <w:color w:val="auto"/>
                <w:sz w:val="21"/>
                <w:szCs w:val="21"/>
                <w:highlight w:val="none"/>
                <w:lang w:val="en-US" w:eastAsia="zh-CN"/>
              </w:rPr>
              <w:t>1.AI教案</w:t>
            </w:r>
          </w:p>
          <w:p w14:paraId="1BFEA586">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1.1教师输入教学材料或关键词，AI自动生成教案，并支持教师借助写作助手进行再次编辑。</w:t>
            </w:r>
          </w:p>
          <w:p w14:paraId="5D24A949">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1.2支持教师补充所教层次、适合的教学风格，形成更加具有个性化的教案。</w:t>
            </w:r>
          </w:p>
          <w:p w14:paraId="7054A981">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1.3支持一键导出教案，并且支持按学校教案模板导出。</w:t>
            </w:r>
          </w:p>
          <w:p w14:paraId="30302FE4">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2" w:firstLineChars="200"/>
              <w:jc w:val="both"/>
              <w:textAlignment w:val="auto"/>
              <w:rPr>
                <w:rFonts w:hint="eastAsia" w:ascii="宋体" w:hAnsi="宋体" w:eastAsia="宋体" w:cs="宋体"/>
                <w:b/>
                <w:bCs/>
                <w:color w:val="auto"/>
                <w:sz w:val="21"/>
                <w:szCs w:val="21"/>
                <w:highlight w:val="none"/>
                <w:lang w:val="en-US" w:eastAsia="zh-CN"/>
              </w:rPr>
            </w:pPr>
            <w:r>
              <w:rPr>
                <w:rFonts w:hint="eastAsia" w:ascii="宋体" w:hAnsi="宋体" w:eastAsia="宋体" w:cs="宋体"/>
                <w:b/>
                <w:bCs/>
                <w:color w:val="auto"/>
                <w:sz w:val="21"/>
                <w:szCs w:val="21"/>
                <w:highlight w:val="none"/>
                <w:lang w:val="en-US" w:eastAsia="zh-CN"/>
              </w:rPr>
              <w:t>2.AI课件</w:t>
            </w:r>
          </w:p>
          <w:p w14:paraId="2174DEA6">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2.1通过输入PPT内容要求，AI智能生成PPT大纲</w:t>
            </w:r>
          </w:p>
          <w:p w14:paraId="1294E17E">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2.2支持教师在线直接编辑生成的大纲内容</w:t>
            </w:r>
          </w:p>
          <w:p w14:paraId="0E66D1DA">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2.3支持AI自动根据大纲生成PPT，教师可以进行在线编辑或下载</w:t>
            </w:r>
          </w:p>
          <w:p w14:paraId="4E70B765">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2.4支持选择PPT模板场景、设计风格、主题颜色，生成个性化PPT</w:t>
            </w:r>
          </w:p>
          <w:p w14:paraId="298E5B1A">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2" w:firstLineChars="200"/>
              <w:jc w:val="both"/>
              <w:textAlignment w:val="auto"/>
              <w:rPr>
                <w:rFonts w:hint="eastAsia" w:ascii="宋体" w:hAnsi="宋体" w:eastAsia="宋体" w:cs="宋体"/>
                <w:b/>
                <w:bCs/>
                <w:color w:val="auto"/>
                <w:sz w:val="21"/>
                <w:szCs w:val="21"/>
                <w:highlight w:val="none"/>
                <w:lang w:val="en-US" w:eastAsia="zh-CN"/>
              </w:rPr>
            </w:pPr>
            <w:r>
              <w:rPr>
                <w:rFonts w:hint="eastAsia" w:ascii="宋体" w:hAnsi="宋体" w:eastAsia="宋体" w:cs="宋体"/>
                <w:b/>
                <w:bCs/>
                <w:color w:val="auto"/>
                <w:sz w:val="21"/>
                <w:szCs w:val="21"/>
                <w:highlight w:val="none"/>
                <w:lang w:val="en-US" w:eastAsia="zh-CN"/>
              </w:rPr>
              <w:t>3.AI写作</w:t>
            </w:r>
          </w:p>
          <w:p w14:paraId="5CF84356">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3.1老师可以向AI写作助手提出需求，点击“生成”，写作助手会根据要求智能生成相应的内容，老师点击保存可以将内容输出到章节编辑页面上</w:t>
            </w:r>
          </w:p>
          <w:p w14:paraId="0CEDC508">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3.2老师可进行文本修改、删减或排版</w:t>
            </w:r>
          </w:p>
          <w:p w14:paraId="401FC611">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3.3在章节编辑页面，选中内容可进行AI改写、扩写、续写、简写、翻译等操作</w:t>
            </w:r>
          </w:p>
          <w:p w14:paraId="43C1A172">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2" w:firstLineChars="200"/>
              <w:jc w:val="both"/>
              <w:textAlignment w:val="auto"/>
              <w:rPr>
                <w:rFonts w:hint="eastAsia" w:ascii="宋体" w:hAnsi="宋体" w:eastAsia="宋体" w:cs="宋体"/>
                <w:b/>
                <w:bCs/>
                <w:color w:val="auto"/>
                <w:sz w:val="21"/>
                <w:szCs w:val="21"/>
                <w:highlight w:val="none"/>
                <w:lang w:val="en-US" w:eastAsia="zh-CN"/>
              </w:rPr>
            </w:pPr>
            <w:r>
              <w:rPr>
                <w:rFonts w:hint="eastAsia" w:ascii="宋体" w:hAnsi="宋体" w:eastAsia="宋体" w:cs="宋体"/>
                <w:b/>
                <w:bCs/>
                <w:color w:val="auto"/>
                <w:sz w:val="21"/>
                <w:szCs w:val="21"/>
                <w:highlight w:val="none"/>
                <w:lang w:val="en-US" w:eastAsia="zh-CN"/>
              </w:rPr>
              <w:t>4.AI出题</w:t>
            </w:r>
          </w:p>
          <w:p w14:paraId="79B61B67">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4.1支持教师通过知识点、输入文本、上传附件文档和视频、选定章节等多种方式，搭配补充出题要求说明，由AI自动生成相应试题。AI系统可以自动生成对应的题目并且不限制教师使用次数。</w:t>
            </w:r>
          </w:p>
          <w:p w14:paraId="06E5F9A2">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4.2支持多种题型，题型包括选择题、填空题、简答题等，以便满足不同类型考题的需求</w:t>
            </w:r>
          </w:p>
          <w:p w14:paraId="595AB1A1">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4.3教师可以根据课程内容和学生水平，将生成的题目添加到题库。并随时使用这些题目进行测验、考试或者课堂练习。</w:t>
            </w:r>
          </w:p>
          <w:p w14:paraId="37C6E1E2">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4.4支持设置出题要求，比如：适用年级、难易度、题目偏向等。</w:t>
            </w:r>
          </w:p>
          <w:p w14:paraId="44EB94A6">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4.5支持教师在线编辑调整AI生成的试题，也可以一键加入题库，组成作业考试发布给学生，并且支持跨课程使用生成的题目。</w:t>
            </w:r>
          </w:p>
          <w:p w14:paraId="123F66AB">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4.6支持AI口语测评题出题、听力题AI语音生成。教师可以输入需要学生跟读的文本，学生通过系统录制跟读的音频，系统将对录音进行语音分析评估其完整度、准确度和流利度，并给出针对性的评分和反馈意见。</w:t>
            </w:r>
          </w:p>
          <w:p w14:paraId="77AD5132">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4.7AI程序题出题，支持AI自动对学生提交的代码进行评分和反馈。AI会根据预先设定的评分标准和规则，对学生提交的代码进行自动评分，包括代码质量、逻辑正确性、语法规范等方面，AI可以分析代码的复杂度，指出可能存在的改进空间，帮助学生提高代码的效率和可读性，程序题提供可支持代码运行环境支持学生提交代码在线运行。</w:t>
            </w:r>
          </w:p>
          <w:p w14:paraId="40028946">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2" w:firstLineChars="200"/>
              <w:jc w:val="both"/>
              <w:textAlignment w:val="auto"/>
              <w:rPr>
                <w:rFonts w:hint="eastAsia" w:ascii="宋体" w:hAnsi="宋体" w:eastAsia="宋体" w:cs="宋体"/>
                <w:b/>
                <w:bCs/>
                <w:color w:val="auto"/>
                <w:sz w:val="21"/>
                <w:szCs w:val="21"/>
                <w:highlight w:val="none"/>
                <w:lang w:val="en-US" w:eastAsia="zh-CN"/>
              </w:rPr>
            </w:pPr>
            <w:r>
              <w:rPr>
                <w:rFonts w:hint="eastAsia" w:ascii="宋体" w:hAnsi="宋体" w:eastAsia="宋体" w:cs="宋体"/>
                <w:b/>
                <w:bCs/>
                <w:color w:val="auto"/>
                <w:sz w:val="21"/>
                <w:szCs w:val="21"/>
                <w:highlight w:val="none"/>
                <w:lang w:val="en-US" w:eastAsia="zh-CN"/>
              </w:rPr>
              <w:t>5.AI批阅</w:t>
            </w:r>
          </w:p>
          <w:p w14:paraId="18879983">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5.1使用AI技术，能够批阅学生的主观题、论述题、小论文等。</w:t>
            </w:r>
          </w:p>
          <w:p w14:paraId="18339388">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5.2对参考答案和学生答案进行分词处理和语法分析，以便计算词语和语句的相似度，从而量化学生答案与标准答案的匹配程度</w:t>
            </w:r>
            <w:r>
              <w:rPr>
                <w:rFonts w:hint="eastAsia" w:ascii="宋体" w:hAnsi="宋体" w:cs="宋体"/>
                <w:color w:val="auto"/>
                <w:sz w:val="21"/>
                <w:szCs w:val="21"/>
                <w:highlight w:val="none"/>
                <w:lang w:val="en-US" w:eastAsia="zh-CN"/>
              </w:rPr>
              <w:t>。</w:t>
            </w:r>
          </w:p>
          <w:p w14:paraId="619DC1FD">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5.3支持利用语义相似度计算结果给出学生相应的得分，通过深度学习等技术来模拟人类对语义相似度的判断，从而更准确地评估学生的答案质量。</w:t>
            </w:r>
          </w:p>
          <w:p w14:paraId="31E810F5">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5.4系统可以根据教师设置的得分点来匹配得分，确保评分符合标准化要求，同时满足教学目标和评价体系。</w:t>
            </w:r>
          </w:p>
          <w:p w14:paraId="05922DE0">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5.5支持智能批阅程序题。</w:t>
            </w:r>
          </w:p>
          <w:p w14:paraId="1978EC95">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5.6支持智能批阅口语题。</w:t>
            </w:r>
          </w:p>
          <w:p w14:paraId="27C4E01A">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5.7支持从结构、内容、语言等6个大维度，12～16个细分维度进行打分，并给出推荐总分。</w:t>
            </w:r>
          </w:p>
          <w:p w14:paraId="27658C74">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5.8AI批阅系统不仅提供整体评价，还支持对精彩句子进行点评，并给出提升建议。</w:t>
            </w:r>
          </w:p>
          <w:p w14:paraId="63EAC605">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5.9支持揪出学生作文中的错别字，提供修改建议，帮助学生提高写作水平。</w:t>
            </w:r>
          </w:p>
          <w:p w14:paraId="5351D1E3">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2" w:firstLineChars="200"/>
              <w:jc w:val="both"/>
              <w:textAlignment w:val="auto"/>
              <w:rPr>
                <w:rFonts w:hint="eastAsia" w:ascii="宋体" w:hAnsi="宋体" w:eastAsia="宋体" w:cs="宋体"/>
                <w:b/>
                <w:bCs/>
                <w:color w:val="auto"/>
                <w:sz w:val="21"/>
                <w:szCs w:val="21"/>
                <w:highlight w:val="none"/>
                <w:lang w:val="en-US" w:eastAsia="zh-CN"/>
              </w:rPr>
            </w:pPr>
            <w:r>
              <w:rPr>
                <w:rFonts w:hint="eastAsia" w:ascii="宋体" w:hAnsi="宋体" w:eastAsia="宋体" w:cs="宋体"/>
                <w:b/>
                <w:bCs/>
                <w:color w:val="auto"/>
                <w:sz w:val="21"/>
                <w:szCs w:val="21"/>
                <w:highlight w:val="none"/>
                <w:lang w:val="en-US" w:eastAsia="zh-CN"/>
              </w:rPr>
              <w:t>6.AI学情分析</w:t>
            </w:r>
          </w:p>
          <w:p w14:paraId="63D1FA74">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6.1支持智能呈现班级整体知识点分析数据，提供个性化学习路径。</w:t>
            </w:r>
          </w:p>
          <w:p w14:paraId="5215BB83">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6.2可查看知识点平均完成率、平均掌握率、完成率分布和掌握率分布等。支持按知识点查看每个知识点的关联学习资源数、平均完成率、平均掌握率、课程资料数、课程资料人均阅读情况等。</w:t>
            </w:r>
          </w:p>
          <w:p w14:paraId="4FD1DB47">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6.3基于AI学情分析，可由AI生成学情分析画像，减轻教师学情分析压力，提升效率。</w:t>
            </w:r>
          </w:p>
          <w:p w14:paraId="186BE222">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6.4针对班级学情数据进行分析，将班级学生分布自动划分为发展层、期望层、跃进层、提高层，并给出具体的教学建议，帮助教师开展精准教学。</w:t>
            </w:r>
          </w:p>
          <w:p w14:paraId="3AC864DF">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6.5支持根据平台学生整体学习数据及专项数据，或者上传excel文档，教师可自定义分析维度，AI自动进行学生学情分析并提供建议提醒。</w:t>
            </w:r>
          </w:p>
          <w:p w14:paraId="369E9444">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6.6支持多班对比分析：对多个班级的数据进行深度分析，洞察每个班级的独特学情，为教育决策提供科学依据。</w:t>
            </w:r>
          </w:p>
          <w:p w14:paraId="25F5C23D">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6.7支持内置常见问题：智能解答，即刻响应。精准识别并预测用户常见问题，提供即时、精准的智能回复。</w:t>
            </w:r>
          </w:p>
          <w:p w14:paraId="2E313079">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val="en-US" w:eastAsia="zh-CN"/>
              </w:rPr>
              <w:t>6.8支持图表产出：引入多种统计图表，包括饼图、散点图、面积图、箱线图等，提供丰富的数据可视化选项，帮助教师把握数据背后的趋势与洞见。</w:t>
            </w:r>
          </w:p>
        </w:tc>
        <w:tc>
          <w:tcPr>
            <w:tcW w:w="1276" w:type="dxa"/>
            <w:tcBorders>
              <w:top w:val="single" w:color="000000" w:sz="8" w:space="0"/>
              <w:left w:val="single" w:color="000000" w:sz="6" w:space="0"/>
              <w:right w:val="single" w:color="000000" w:sz="8" w:space="0"/>
            </w:tcBorders>
            <w:vAlign w:val="center"/>
          </w:tcPr>
          <w:p w14:paraId="16F8E876">
            <w:pPr>
              <w:keepNext w:val="0"/>
              <w:keepLines w:val="0"/>
              <w:pageBreakBefore w:val="0"/>
              <w:suppressLineNumbers w:val="0"/>
              <w:overflowPunct/>
              <w:topLinePunct w:val="0"/>
              <w:bidi w:val="0"/>
              <w:spacing w:before="0" w:beforeAutospacing="0" w:after="0" w:afterAutospacing="0" w:line="400" w:lineRule="exact"/>
              <w:ind w:left="0" w:right="0"/>
              <w:jc w:val="center"/>
              <w:rPr>
                <w:rFonts w:hint="eastAsia" w:ascii="宋体" w:hAnsi="宋体" w:eastAsia="宋体" w:cs="宋体"/>
                <w:bCs/>
                <w:color w:val="auto"/>
                <w:sz w:val="21"/>
                <w:szCs w:val="21"/>
                <w:highlight w:val="none"/>
              </w:rPr>
            </w:pPr>
            <w:r>
              <w:rPr>
                <w:rFonts w:hint="eastAsia" w:ascii="宋体" w:hAnsi="宋体" w:eastAsia="宋体" w:cs="宋体"/>
                <w:color w:val="auto"/>
                <w:sz w:val="21"/>
                <w:szCs w:val="21"/>
                <w:highlight w:val="none"/>
                <w:lang w:val="en-US" w:eastAsia="zh-CN"/>
              </w:rPr>
              <w:t>180000</w:t>
            </w:r>
            <w:r>
              <w:rPr>
                <w:rFonts w:hint="eastAsia" w:ascii="宋体" w:hAnsi="宋体" w:eastAsia="宋体" w:cs="宋体"/>
                <w:color w:val="auto"/>
                <w:sz w:val="21"/>
                <w:szCs w:val="21"/>
                <w:highlight w:val="none"/>
              </w:rPr>
              <w:t>.00</w:t>
            </w:r>
          </w:p>
        </w:tc>
      </w:tr>
      <w:tr w14:paraId="0E9EDEDF">
        <w:tblPrEx>
          <w:tblBorders>
            <w:top w:val="single" w:color="000000" w:sz="8" w:space="0"/>
            <w:left w:val="single" w:color="000000" w:sz="8" w:space="0"/>
            <w:bottom w:val="single" w:color="000000" w:sz="8" w:space="0"/>
            <w:right w:val="single" w:color="000000" w:sz="8" w:space="0"/>
            <w:insideH w:val="single" w:color="000000" w:sz="6" w:space="0"/>
            <w:insideV w:val="single" w:color="000000" w:sz="6" w:space="0"/>
          </w:tblBorders>
          <w:tblCellMar>
            <w:top w:w="0" w:type="dxa"/>
            <w:left w:w="108" w:type="dxa"/>
            <w:bottom w:w="0" w:type="dxa"/>
            <w:right w:w="108" w:type="dxa"/>
          </w:tblCellMar>
        </w:tblPrEx>
        <w:trPr>
          <w:trHeight w:val="1065" w:hRule="atLeast"/>
          <w:jc w:val="center"/>
        </w:trPr>
        <w:tc>
          <w:tcPr>
            <w:tcW w:w="212" w:type="pct"/>
            <w:tcBorders>
              <w:top w:val="single" w:color="000000" w:sz="8" w:space="0"/>
              <w:left w:val="single" w:color="000000" w:sz="8" w:space="0"/>
              <w:bottom w:val="single" w:color="000000" w:sz="6" w:space="0"/>
              <w:right w:val="single" w:color="000000" w:sz="6" w:space="0"/>
            </w:tcBorders>
            <w:tcMar>
              <w:top w:w="0" w:type="dxa"/>
              <w:left w:w="0" w:type="dxa"/>
              <w:bottom w:w="0" w:type="dxa"/>
              <w:right w:w="0" w:type="dxa"/>
            </w:tcMar>
            <w:vAlign w:val="center"/>
          </w:tcPr>
          <w:p w14:paraId="5165572F">
            <w:pPr>
              <w:keepNext w:val="0"/>
              <w:keepLines w:val="0"/>
              <w:pageBreakBefore w:val="0"/>
              <w:suppressLineNumbers w:val="0"/>
              <w:overflowPunct/>
              <w:topLinePunct w:val="0"/>
              <w:bidi w:val="0"/>
              <w:snapToGrid w:val="0"/>
              <w:spacing w:before="0" w:beforeAutospacing="0" w:after="0" w:afterAutospacing="0" w:line="400" w:lineRule="exact"/>
              <w:ind w:left="0" w:right="0"/>
              <w:jc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val="en-US" w:eastAsia="zh-CN"/>
              </w:rPr>
              <w:t>2</w:t>
            </w:r>
          </w:p>
        </w:tc>
        <w:tc>
          <w:tcPr>
            <w:tcW w:w="674" w:type="pct"/>
            <w:tcBorders>
              <w:top w:val="single" w:color="000000" w:sz="8" w:space="0"/>
              <w:left w:val="single" w:color="000000" w:sz="6" w:space="0"/>
              <w:bottom w:val="single" w:color="000000" w:sz="6" w:space="0"/>
              <w:right w:val="single" w:color="000000" w:sz="6" w:space="0"/>
            </w:tcBorders>
            <w:vAlign w:val="center"/>
          </w:tcPr>
          <w:p w14:paraId="3340D056">
            <w:pPr>
              <w:keepNext w:val="0"/>
              <w:keepLines w:val="0"/>
              <w:pageBreakBefore w:val="0"/>
              <w:suppressLineNumbers w:val="0"/>
              <w:overflowPunct/>
              <w:topLinePunct w:val="0"/>
              <w:bidi w:val="0"/>
              <w:spacing w:before="0" w:beforeAutospacing="0" w:after="0" w:afterAutospacing="0" w:line="400" w:lineRule="exact"/>
              <w:ind w:left="0" w:right="0"/>
              <w:jc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val="en-US" w:eastAsia="zh-CN"/>
              </w:rPr>
              <w:t>精品课程建设</w:t>
            </w:r>
          </w:p>
        </w:tc>
        <w:tc>
          <w:tcPr>
            <w:tcW w:w="324" w:type="pct"/>
            <w:tcBorders>
              <w:top w:val="single" w:color="000000" w:sz="8" w:space="0"/>
              <w:left w:val="single" w:color="000000" w:sz="6" w:space="0"/>
              <w:bottom w:val="single" w:color="000000" w:sz="6" w:space="0"/>
              <w:right w:val="single" w:color="000000" w:sz="6" w:space="0"/>
            </w:tcBorders>
            <w:vAlign w:val="center"/>
          </w:tcPr>
          <w:p w14:paraId="4D039A60">
            <w:pPr>
              <w:keepNext w:val="0"/>
              <w:keepLines w:val="0"/>
              <w:pageBreakBefore w:val="0"/>
              <w:suppressLineNumbers w:val="0"/>
              <w:overflowPunct/>
              <w:topLinePunct w:val="0"/>
              <w:bidi w:val="0"/>
              <w:spacing w:before="0" w:beforeAutospacing="0" w:after="0" w:afterAutospacing="0" w:line="400" w:lineRule="exact"/>
              <w:ind w:left="0" w:right="0"/>
              <w:jc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1项</w:t>
            </w:r>
          </w:p>
        </w:tc>
        <w:tc>
          <w:tcPr>
            <w:tcW w:w="413" w:type="pct"/>
            <w:tcBorders>
              <w:top w:val="single" w:color="000000" w:sz="8" w:space="0"/>
              <w:left w:val="single" w:color="000000" w:sz="6" w:space="0"/>
              <w:bottom w:val="single" w:color="000000" w:sz="6" w:space="0"/>
              <w:right w:val="single" w:color="000000" w:sz="6" w:space="0"/>
            </w:tcBorders>
            <w:vAlign w:val="center"/>
          </w:tcPr>
          <w:p w14:paraId="7EC14A4C">
            <w:pPr>
              <w:keepNext w:val="0"/>
              <w:keepLines w:val="0"/>
              <w:pageBreakBefore w:val="0"/>
              <w:suppressLineNumbers w:val="0"/>
              <w:overflowPunct/>
              <w:topLinePunct w:val="0"/>
              <w:bidi w:val="0"/>
              <w:snapToGrid w:val="0"/>
              <w:spacing w:before="0" w:beforeAutospacing="0" w:after="0" w:afterAutospacing="0" w:line="400" w:lineRule="exact"/>
              <w:ind w:left="0" w:right="0"/>
              <w:jc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软件和信息技术服务业</w:t>
            </w:r>
          </w:p>
        </w:tc>
        <w:tc>
          <w:tcPr>
            <w:tcW w:w="2724" w:type="pct"/>
            <w:tcBorders>
              <w:top w:val="single" w:color="000000" w:sz="8" w:space="0"/>
              <w:left w:val="single" w:color="000000" w:sz="6" w:space="0"/>
              <w:bottom w:val="single" w:color="000000" w:sz="6" w:space="0"/>
              <w:right w:val="single" w:color="000000" w:sz="6" w:space="0"/>
            </w:tcBorders>
          </w:tcPr>
          <w:p w14:paraId="2657518E">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2" w:firstLineChars="200"/>
              <w:jc w:val="both"/>
              <w:textAlignment w:val="auto"/>
              <w:rPr>
                <w:rFonts w:hint="eastAsia" w:ascii="宋体" w:hAnsi="宋体" w:eastAsia="宋体" w:cs="宋体"/>
                <w:b/>
                <w:bCs/>
                <w:color w:val="auto"/>
                <w:sz w:val="21"/>
                <w:szCs w:val="21"/>
                <w:highlight w:val="none"/>
                <w:lang w:val="en-US" w:eastAsia="zh-CN"/>
              </w:rPr>
            </w:pPr>
            <w:r>
              <w:rPr>
                <w:rFonts w:hint="eastAsia" w:ascii="宋体" w:hAnsi="宋体" w:eastAsia="宋体" w:cs="宋体"/>
                <w:b/>
                <w:bCs/>
                <w:color w:val="auto"/>
                <w:sz w:val="21"/>
                <w:szCs w:val="21"/>
                <w:highlight w:val="none"/>
                <w:lang w:val="en-US" w:eastAsia="zh-CN"/>
              </w:rPr>
              <w:t>一、建设内容</w:t>
            </w:r>
          </w:p>
          <w:p w14:paraId="025821D7">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1、拍摄并制作《口腔医学美学基础》《口腔正畸技术》两门课程视频时长共不少于</w:t>
            </w:r>
            <w:r>
              <w:rPr>
                <w:rFonts w:hint="eastAsia" w:ascii="宋体" w:hAnsi="宋体" w:cs="宋体"/>
                <w:color w:val="auto"/>
                <w:sz w:val="21"/>
                <w:szCs w:val="21"/>
                <w:highlight w:val="none"/>
                <w:lang w:val="en-US" w:eastAsia="zh-CN"/>
              </w:rPr>
              <w:t>240</w:t>
            </w:r>
            <w:r>
              <w:rPr>
                <w:rFonts w:hint="eastAsia" w:ascii="宋体" w:hAnsi="宋体" w:eastAsia="宋体" w:cs="宋体"/>
                <w:color w:val="auto"/>
                <w:sz w:val="21"/>
                <w:szCs w:val="21"/>
                <w:highlight w:val="none"/>
                <w:lang w:val="en-US" w:eastAsia="zh-CN"/>
              </w:rPr>
              <w:t>分钟，不少于40个平均每个视频时长要求6-10分钟左右，并要求提供无学校标识的微课版本。</w:t>
            </w:r>
          </w:p>
          <w:p w14:paraId="365ACD06">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2、根据课程知识点开发试题库格式，配套题库各1套，题库题量不少于400题。</w:t>
            </w:r>
          </w:p>
          <w:p w14:paraId="5F13BBD3">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3、《3D义齿修复技术》时长不少于150分钟，中文微课和英文微课（含中文字幕）各</w:t>
            </w:r>
            <w:r>
              <w:rPr>
                <w:rFonts w:hint="eastAsia" w:ascii="宋体" w:hAnsi="宋体" w:cs="宋体"/>
                <w:color w:val="auto"/>
                <w:sz w:val="21"/>
                <w:szCs w:val="21"/>
                <w:highlight w:val="none"/>
                <w:lang w:val="en-US" w:eastAsia="zh-CN"/>
              </w:rPr>
              <w:t>不少于75分钟</w:t>
            </w:r>
            <w:r>
              <w:rPr>
                <w:rFonts w:hint="eastAsia" w:ascii="宋体" w:hAnsi="宋体" w:eastAsia="宋体" w:cs="宋体"/>
                <w:color w:val="auto"/>
                <w:sz w:val="21"/>
                <w:szCs w:val="21"/>
                <w:highlight w:val="none"/>
                <w:lang w:val="en-US" w:eastAsia="zh-CN"/>
              </w:rPr>
              <w:t>。</w:t>
            </w:r>
          </w:p>
          <w:p w14:paraId="471BBB91">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4、3门课程根据教师制作的素材进行PPT美化。</w:t>
            </w:r>
          </w:p>
          <w:p w14:paraId="7D58C9F0">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2" w:firstLineChars="200"/>
              <w:jc w:val="left"/>
              <w:textAlignment w:val="auto"/>
              <w:rPr>
                <w:rFonts w:hint="eastAsia" w:ascii="宋体" w:hAnsi="宋体" w:eastAsia="宋体" w:cs="宋体"/>
                <w:b/>
                <w:bCs/>
                <w:color w:val="auto"/>
                <w:sz w:val="21"/>
                <w:szCs w:val="21"/>
                <w:highlight w:val="none"/>
                <w:lang w:val="en-US" w:eastAsia="zh-CN"/>
              </w:rPr>
            </w:pPr>
            <w:r>
              <w:rPr>
                <w:rFonts w:hint="eastAsia" w:ascii="宋体" w:hAnsi="宋体" w:eastAsia="宋体" w:cs="宋体"/>
                <w:b/>
                <w:bCs/>
                <w:color w:val="auto"/>
                <w:sz w:val="21"/>
                <w:szCs w:val="21"/>
                <w:highlight w:val="none"/>
                <w:lang w:val="en-US" w:eastAsia="zh-CN"/>
              </w:rPr>
              <w:t>二、建设内容的具体参数需求</w:t>
            </w:r>
          </w:p>
          <w:p w14:paraId="5255666B">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2" w:firstLineChars="200"/>
              <w:textAlignment w:val="auto"/>
              <w:rPr>
                <w:rFonts w:hint="eastAsia" w:ascii="宋体" w:hAnsi="宋体" w:eastAsia="宋体" w:cs="宋体"/>
                <w:b/>
                <w:bCs/>
                <w:color w:val="auto"/>
                <w:sz w:val="21"/>
                <w:szCs w:val="21"/>
                <w:highlight w:val="none"/>
                <w:lang w:val="en-US" w:eastAsia="zh-CN"/>
              </w:rPr>
            </w:pPr>
            <w:r>
              <w:rPr>
                <w:rFonts w:hint="eastAsia" w:ascii="宋体" w:hAnsi="宋体" w:eastAsia="宋体" w:cs="宋体"/>
                <w:b/>
                <w:bCs/>
                <w:color w:val="auto"/>
                <w:sz w:val="21"/>
                <w:szCs w:val="21"/>
                <w:highlight w:val="none"/>
                <w:lang w:val="en-US" w:eastAsia="zh-CN"/>
              </w:rPr>
              <w:t>（一）视频制作参数需求</w:t>
            </w:r>
          </w:p>
          <w:p w14:paraId="54C9FE13">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rPr>
            </w:pPr>
            <w:r>
              <w:rPr>
                <w:rFonts w:hint="eastAsia" w:ascii="宋体" w:hAnsi="宋体" w:eastAsia="宋体" w:cs="宋体"/>
                <w:b w:val="0"/>
                <w:bCs w:val="0"/>
                <w:color w:val="auto"/>
                <w:sz w:val="21"/>
                <w:szCs w:val="21"/>
                <w:highlight w:val="none"/>
                <w:lang w:val="en-US" w:eastAsia="zh-CN"/>
              </w:rPr>
              <w:t>1、</w:t>
            </w:r>
            <w:r>
              <w:rPr>
                <w:rFonts w:hint="eastAsia" w:ascii="宋体" w:hAnsi="宋体" w:eastAsia="宋体" w:cs="宋体"/>
                <w:color w:val="auto"/>
                <w:sz w:val="21"/>
                <w:szCs w:val="21"/>
                <w:highlight w:val="none"/>
              </w:rPr>
              <w:t>按知识点要求拍摄并制作视频资源；</w:t>
            </w:r>
          </w:p>
          <w:p w14:paraId="5CE6EFBE">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val="en-US" w:eastAsia="zh-CN"/>
              </w:rPr>
              <w:t>2</w:t>
            </w:r>
            <w:r>
              <w:rPr>
                <w:rFonts w:hint="eastAsia" w:ascii="宋体" w:hAnsi="宋体" w:eastAsia="宋体" w:cs="宋体"/>
                <w:color w:val="auto"/>
                <w:sz w:val="21"/>
                <w:szCs w:val="21"/>
                <w:highlight w:val="none"/>
              </w:rPr>
              <w:t>、针对课程知识点重构大纲交流培训；</w:t>
            </w:r>
          </w:p>
          <w:p w14:paraId="5DE572CC">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val="en-US" w:eastAsia="zh-CN"/>
              </w:rPr>
              <w:t>3</w:t>
            </w:r>
            <w:r>
              <w:rPr>
                <w:rFonts w:hint="eastAsia" w:ascii="宋体" w:hAnsi="宋体" w:eastAsia="宋体" w:cs="宋体"/>
                <w:color w:val="auto"/>
                <w:sz w:val="21"/>
                <w:szCs w:val="21"/>
                <w:highlight w:val="none"/>
              </w:rPr>
              <w:t>、提供对课程整体设计交流服务；</w:t>
            </w:r>
          </w:p>
          <w:p w14:paraId="32F42780">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val="en-US" w:eastAsia="zh-CN"/>
              </w:rPr>
              <w:t>4、PPT美化要求：</w:t>
            </w:r>
          </w:p>
          <w:p w14:paraId="07533E38">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lang w:eastAsia="zh-CN"/>
              </w:rPr>
            </w:pPr>
            <w:r>
              <w:rPr>
                <w:rFonts w:hint="eastAsia" w:ascii="宋体" w:hAnsi="宋体" w:eastAsia="宋体" w:cs="宋体"/>
                <w:color w:val="auto"/>
                <w:sz w:val="21"/>
                <w:szCs w:val="21"/>
                <w:highlight w:val="none"/>
              </w:rPr>
              <w:t>风格定位：商务简约、专业大气、逻辑清晰、视觉统一</w:t>
            </w:r>
            <w:r>
              <w:rPr>
                <w:rFonts w:hint="eastAsia" w:ascii="宋体" w:hAnsi="宋体" w:cs="宋体"/>
                <w:color w:val="auto"/>
                <w:sz w:val="21"/>
                <w:szCs w:val="21"/>
                <w:highlight w:val="none"/>
                <w:lang w:eastAsia="zh-CN"/>
              </w:rPr>
              <w:t>；</w:t>
            </w:r>
          </w:p>
          <w:p w14:paraId="20D2F9AF">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lang w:eastAsia="zh-CN"/>
              </w:rPr>
            </w:pPr>
            <w:r>
              <w:rPr>
                <w:rFonts w:hint="eastAsia" w:ascii="宋体" w:hAnsi="宋体" w:eastAsia="宋体" w:cs="宋体"/>
                <w:color w:val="auto"/>
                <w:sz w:val="21"/>
                <w:szCs w:val="21"/>
                <w:highlight w:val="none"/>
              </w:rPr>
              <w:t>视觉调性：简洁不花哨、重点突出、层次分明、信息高效</w:t>
            </w:r>
            <w:r>
              <w:rPr>
                <w:rFonts w:hint="eastAsia" w:ascii="宋体" w:hAnsi="宋体" w:cs="宋体"/>
                <w:color w:val="auto"/>
                <w:sz w:val="21"/>
                <w:szCs w:val="21"/>
                <w:highlight w:val="none"/>
                <w:lang w:eastAsia="zh-CN"/>
              </w:rPr>
              <w:t>；</w:t>
            </w:r>
          </w:p>
          <w:p w14:paraId="641CC051">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5、供应商制作好的视频需要上传至学校使用平台</w:t>
            </w:r>
            <w:r>
              <w:rPr>
                <w:rFonts w:hint="eastAsia" w:ascii="宋体" w:hAnsi="宋体" w:cs="宋体"/>
                <w:color w:val="auto"/>
                <w:sz w:val="21"/>
                <w:szCs w:val="21"/>
                <w:highlight w:val="none"/>
                <w:lang w:val="en-US" w:eastAsia="zh-CN"/>
              </w:rPr>
              <w:t>。</w:t>
            </w:r>
          </w:p>
          <w:p w14:paraId="3BF958E0">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2" w:firstLineChars="200"/>
              <w:jc w:val="both"/>
              <w:textAlignment w:val="auto"/>
              <w:rPr>
                <w:rFonts w:hint="eastAsia" w:ascii="宋体" w:hAnsi="宋体" w:eastAsia="宋体" w:cs="宋体"/>
                <w:b/>
                <w:bCs/>
                <w:color w:val="auto"/>
                <w:sz w:val="21"/>
                <w:szCs w:val="21"/>
                <w:highlight w:val="none"/>
              </w:rPr>
            </w:pPr>
            <w:r>
              <w:rPr>
                <w:rFonts w:hint="eastAsia" w:ascii="宋体" w:hAnsi="宋体" w:eastAsia="宋体" w:cs="宋体"/>
                <w:b/>
                <w:bCs/>
                <w:color w:val="auto"/>
                <w:sz w:val="21"/>
                <w:szCs w:val="21"/>
                <w:highlight w:val="none"/>
                <w:lang w:eastAsia="zh-CN"/>
              </w:rPr>
              <w:t>（</w:t>
            </w:r>
            <w:r>
              <w:rPr>
                <w:rFonts w:hint="eastAsia" w:ascii="宋体" w:hAnsi="宋体" w:eastAsia="宋体" w:cs="宋体"/>
                <w:b/>
                <w:bCs/>
                <w:color w:val="auto"/>
                <w:sz w:val="21"/>
                <w:szCs w:val="21"/>
                <w:highlight w:val="none"/>
                <w:lang w:val="en-US" w:eastAsia="zh-CN"/>
              </w:rPr>
              <w:t>二</w:t>
            </w:r>
            <w:r>
              <w:rPr>
                <w:rFonts w:hint="eastAsia" w:ascii="宋体" w:hAnsi="宋体" w:eastAsia="宋体" w:cs="宋体"/>
                <w:b/>
                <w:bCs/>
                <w:color w:val="auto"/>
                <w:sz w:val="21"/>
                <w:szCs w:val="21"/>
                <w:highlight w:val="none"/>
                <w:lang w:eastAsia="zh-CN"/>
              </w:rPr>
              <w:t>）</w:t>
            </w:r>
            <w:r>
              <w:rPr>
                <w:rFonts w:hint="eastAsia" w:ascii="宋体" w:hAnsi="宋体" w:eastAsia="宋体" w:cs="宋体"/>
                <w:b/>
                <w:bCs/>
                <w:color w:val="auto"/>
                <w:sz w:val="21"/>
                <w:szCs w:val="21"/>
                <w:highlight w:val="none"/>
              </w:rPr>
              <w:t>专业人员、设备技术条件</w:t>
            </w:r>
          </w:p>
          <w:p w14:paraId="5FC0A8AF">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（1）课程制作团队至少包含课程经理、课程顾问（编导）、视频工程师、课程专员各一名，配备人员必须具有同类课程的制作经验。</w:t>
            </w:r>
          </w:p>
          <w:p w14:paraId="64298A54">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（2）课程顾问须为教师提供混合式教学方法的在线视频学习指导。课程制作团队应与每个课程的教学团队进行深度沟通，为每门课程的建设提供个性化的设计和咨询服务。</w:t>
            </w:r>
          </w:p>
          <w:p w14:paraId="071F4D08">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3）课程结构的设计：课程制作团队“多对一”与老师进行课程结构的设计研讨，为老师提供课程碎片化、层次化、主题化的设计指导，商定课程学时安排、章节结构、教学大纲、知识点、教学重点、教学课件、具体的拍摄单元等内容，形成各种工作表单和课程资源体系。</w:t>
            </w:r>
          </w:p>
          <w:p w14:paraId="71EF69EB">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（4）教学方法的设计：帮助老师进行适合在线课程的教学方法设计，包括课堂面授、直观教学、角色模拟、操作演示、讨论互动等教学方法设计。</w:t>
            </w:r>
          </w:p>
          <w:p w14:paraId="324FE8B9">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（5）教学风格的塑造：指导老师塑造理性严谨、情绪感染、自然朴素、风趣幽默等类型的教学风格。</w:t>
            </w:r>
          </w:p>
          <w:p w14:paraId="4BF6220A">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（6）教学仪态的设计：为教师提供教师形象、教学动作、教学语言等咨询与建议，辅导老师适应镜头，辅导老师进行着装选择。</w:t>
            </w:r>
          </w:p>
          <w:p w14:paraId="555B0C54">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安排专人协助教师搜集各类课程资料和辅助资源，包括图片、视频、文档等。</w:t>
            </w:r>
          </w:p>
          <w:p w14:paraId="0F533636">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（8）根据课程需要，拍摄基地须提供多种拍摄场地，进行教学场景的设计及布景。</w:t>
            </w:r>
          </w:p>
          <w:p w14:paraId="08FDD79B">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（9）根据课程性质，课程制作团队与教师一起确定课程最合理的拍摄方式，提供不少于以下几种的拍摄模式供老师选择，特殊课程可根据老师课程框架设计更多拍摄模式，一门课程可以采用多种拍摄模式：</w:t>
            </w:r>
          </w:p>
          <w:p w14:paraId="7A473AAC">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①PPT模式：在摄影棚内拍摄，全程PPT演示。</w:t>
            </w:r>
          </w:p>
          <w:p w14:paraId="5BBAB7F7">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②访谈模式：在摄影棚内拍摄，根据访谈人数，设定机位数，一般2-3机位，教学过程由多位老师交流讨论完成。适合启发性的、思维拓展和发散的学科课程。</w:t>
            </w:r>
          </w:p>
          <w:p w14:paraId="1AE09BF6">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③演示模式：在摄影棚内多机位拍摄，通过实际操作演示、讲解，完成教学过程。</w:t>
            </w:r>
          </w:p>
          <w:p w14:paraId="474FCC70">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④场景实操模式：根据老师课程需求，选择在特定拍摄场地，多机位拍摄。</w:t>
            </w:r>
          </w:p>
          <w:p w14:paraId="195F7598">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⑤随堂拍摄模式：随堂拍摄，多机位拍摄，记录老师讲课现场风采。</w:t>
            </w:r>
          </w:p>
          <w:p w14:paraId="396509EE">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（10）视频工程师与教师充分沟通并制定完善的课程拍摄计划。</w:t>
            </w:r>
          </w:p>
          <w:p w14:paraId="17B783A3">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w:t>
            </w:r>
            <w:r>
              <w:rPr>
                <w:rFonts w:hint="eastAsia" w:ascii="宋体" w:hAnsi="宋体" w:eastAsia="宋体" w:cs="宋体"/>
                <w:color w:val="auto"/>
                <w:sz w:val="21"/>
                <w:szCs w:val="21"/>
                <w:highlight w:val="none"/>
                <w:lang w:val="en-US" w:eastAsia="zh-CN"/>
              </w:rPr>
              <w:t>1</w:t>
            </w:r>
            <w:r>
              <w:rPr>
                <w:rFonts w:hint="eastAsia" w:ascii="宋体" w:hAnsi="宋体" w:eastAsia="宋体" w:cs="宋体"/>
                <w:color w:val="auto"/>
                <w:sz w:val="21"/>
                <w:szCs w:val="21"/>
                <w:highlight w:val="none"/>
              </w:rPr>
              <w:t>）根据拍摄计划，按照不同的场景、要求，进行前期准备，配合老师进行特殊拍摄需求的准备，和老师确定准备材料。与老师沟通说明拍摄要求，并协助提供着装意见。</w:t>
            </w:r>
          </w:p>
          <w:p w14:paraId="56191725">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w:t>
            </w:r>
            <w:r>
              <w:rPr>
                <w:rFonts w:hint="eastAsia" w:ascii="宋体" w:hAnsi="宋体" w:eastAsia="宋体" w:cs="宋体"/>
                <w:color w:val="auto"/>
                <w:sz w:val="21"/>
                <w:szCs w:val="21"/>
                <w:highlight w:val="none"/>
                <w:lang w:val="en-US" w:eastAsia="zh-CN"/>
              </w:rPr>
              <w:t>2</w:t>
            </w:r>
            <w:r>
              <w:rPr>
                <w:rFonts w:hint="eastAsia" w:ascii="宋体" w:hAnsi="宋体" w:eastAsia="宋体" w:cs="宋体"/>
                <w:color w:val="auto"/>
                <w:sz w:val="21"/>
                <w:szCs w:val="21"/>
                <w:highlight w:val="none"/>
              </w:rPr>
              <w:t>）按照拍摄方案要求，设计拍摄场景并安排布景和调试灯光。</w:t>
            </w:r>
          </w:p>
          <w:p w14:paraId="48ACEB5A">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2" w:firstLineChars="200"/>
              <w:jc w:val="both"/>
              <w:textAlignment w:val="auto"/>
              <w:rPr>
                <w:rFonts w:hint="eastAsia" w:ascii="宋体" w:hAnsi="宋体" w:eastAsia="宋体" w:cs="宋体"/>
                <w:b/>
                <w:bCs/>
                <w:color w:val="auto"/>
                <w:sz w:val="21"/>
                <w:szCs w:val="21"/>
                <w:highlight w:val="none"/>
              </w:rPr>
            </w:pPr>
            <w:r>
              <w:rPr>
                <w:rFonts w:hint="eastAsia" w:ascii="宋体" w:hAnsi="宋体" w:eastAsia="宋体" w:cs="宋体"/>
                <w:b/>
                <w:bCs/>
                <w:color w:val="auto"/>
                <w:sz w:val="21"/>
                <w:szCs w:val="21"/>
                <w:highlight w:val="none"/>
                <w:lang w:eastAsia="zh-CN"/>
              </w:rPr>
              <w:t>（</w:t>
            </w:r>
            <w:r>
              <w:rPr>
                <w:rFonts w:hint="eastAsia" w:ascii="宋体" w:hAnsi="宋体" w:eastAsia="宋体" w:cs="宋体"/>
                <w:b/>
                <w:bCs/>
                <w:color w:val="auto"/>
                <w:sz w:val="21"/>
                <w:szCs w:val="21"/>
                <w:highlight w:val="none"/>
                <w:lang w:val="en-US" w:eastAsia="zh-CN"/>
              </w:rPr>
              <w:t>三</w:t>
            </w:r>
            <w:r>
              <w:rPr>
                <w:rFonts w:hint="eastAsia" w:ascii="宋体" w:hAnsi="宋体" w:eastAsia="宋体" w:cs="宋体"/>
                <w:b/>
                <w:bCs/>
                <w:color w:val="auto"/>
                <w:sz w:val="21"/>
                <w:szCs w:val="21"/>
                <w:highlight w:val="none"/>
                <w:lang w:eastAsia="zh-CN"/>
              </w:rPr>
              <w:t>）</w:t>
            </w:r>
            <w:r>
              <w:rPr>
                <w:rFonts w:hint="eastAsia" w:ascii="宋体" w:hAnsi="宋体" w:eastAsia="宋体" w:cs="宋体"/>
                <w:b/>
                <w:bCs/>
                <w:color w:val="auto"/>
                <w:sz w:val="21"/>
                <w:szCs w:val="21"/>
                <w:highlight w:val="none"/>
              </w:rPr>
              <w:t>后期制作技术要求</w:t>
            </w:r>
          </w:p>
          <w:p w14:paraId="00CA872D">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（1）使用专业的非线性编辑系统对源视频进行最基本的处理（如抠像、颜色校正、双声道处理）。使用专业的视频编辑系统进行视频降噪、音频降噪。</w:t>
            </w:r>
          </w:p>
          <w:p w14:paraId="013AD308">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（2）按照拍摄方案，不同的拍摄模式采用不同的制作方式，例如，PPT模式需分章节剪辑，基地访谈模式按照老师讲解的内容变换机位等。</w:t>
            </w:r>
          </w:p>
          <w:p w14:paraId="4EE2B607">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3）片头：使用专业的后期合成软件进行片头设计：用平面设计+后期合成+3D渲染，根据每个课题的内容设计出相关联的内容元素，片头不超过10秒，包括:学校LOGO、课程名称、讲次、主讲教师姓名、专业技术职务、单位等信息。</w:t>
            </w:r>
          </w:p>
          <w:p w14:paraId="19EA189E">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（4）课程内容剪辑：技术工程师通篇观看视频，按照章节框架以及现场场记情况，分章节剪辑老师状态不佳、口误、出境、停顿等片段。实操部分添加必要的背景音乐。</w:t>
            </w:r>
          </w:p>
          <w:p w14:paraId="0C851BF8">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w:t>
            </w:r>
            <w:r>
              <w:rPr>
                <w:rFonts w:hint="eastAsia" w:ascii="宋体" w:hAnsi="宋体" w:eastAsia="宋体" w:cs="宋体"/>
                <w:color w:val="auto"/>
                <w:sz w:val="21"/>
                <w:szCs w:val="21"/>
                <w:highlight w:val="none"/>
                <w:lang w:val="en-US" w:eastAsia="zh-CN"/>
              </w:rPr>
              <w:t>5</w:t>
            </w:r>
            <w:r>
              <w:rPr>
                <w:rFonts w:hint="eastAsia" w:ascii="宋体" w:hAnsi="宋体" w:eastAsia="宋体" w:cs="宋体"/>
                <w:color w:val="auto"/>
                <w:sz w:val="21"/>
                <w:szCs w:val="21"/>
                <w:highlight w:val="none"/>
              </w:rPr>
              <w:t>）使用专业的后期合成软件制作片尾：根据课程的版权信息，制定片尾，包括版权单位、制作单位、录制时间等信息。</w:t>
            </w:r>
          </w:p>
          <w:p w14:paraId="7B00F1ED">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w:t>
            </w:r>
            <w:r>
              <w:rPr>
                <w:rFonts w:hint="eastAsia" w:ascii="宋体" w:hAnsi="宋体" w:eastAsia="宋体" w:cs="宋体"/>
                <w:color w:val="auto"/>
                <w:sz w:val="21"/>
                <w:szCs w:val="21"/>
                <w:highlight w:val="none"/>
                <w:lang w:val="en-US" w:eastAsia="zh-CN"/>
              </w:rPr>
              <w:t>6</w:t>
            </w:r>
            <w:r>
              <w:rPr>
                <w:rFonts w:hint="eastAsia" w:ascii="宋体" w:hAnsi="宋体" w:eastAsia="宋体" w:cs="宋体"/>
                <w:color w:val="auto"/>
                <w:sz w:val="21"/>
                <w:szCs w:val="21"/>
                <w:highlight w:val="none"/>
              </w:rPr>
              <w:t>）使用专业非线性编辑系统渲染成片：所有内容编辑结束之后，生成成片，成品为高清制式。</w:t>
            </w:r>
          </w:p>
          <w:p w14:paraId="0B29402F">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2" w:firstLineChars="200"/>
              <w:jc w:val="both"/>
              <w:textAlignment w:val="auto"/>
              <w:rPr>
                <w:rFonts w:hint="eastAsia" w:ascii="宋体" w:hAnsi="宋体" w:eastAsia="宋体" w:cs="宋体"/>
                <w:b/>
                <w:bCs/>
                <w:color w:val="auto"/>
                <w:sz w:val="21"/>
                <w:szCs w:val="21"/>
                <w:highlight w:val="none"/>
              </w:rPr>
            </w:pPr>
            <w:r>
              <w:rPr>
                <w:rFonts w:hint="eastAsia" w:ascii="宋体" w:hAnsi="宋体" w:eastAsia="宋体" w:cs="宋体"/>
                <w:b/>
                <w:bCs/>
                <w:color w:val="auto"/>
                <w:sz w:val="21"/>
                <w:szCs w:val="21"/>
                <w:highlight w:val="none"/>
                <w:lang w:eastAsia="zh-CN"/>
              </w:rPr>
              <w:t>（</w:t>
            </w:r>
            <w:r>
              <w:rPr>
                <w:rFonts w:hint="eastAsia" w:ascii="宋体" w:hAnsi="宋体" w:eastAsia="宋体" w:cs="宋体"/>
                <w:b/>
                <w:bCs/>
                <w:color w:val="auto"/>
                <w:sz w:val="21"/>
                <w:szCs w:val="21"/>
                <w:highlight w:val="none"/>
                <w:lang w:val="en-US" w:eastAsia="zh-CN"/>
              </w:rPr>
              <w:t>四</w:t>
            </w:r>
            <w:r>
              <w:rPr>
                <w:rFonts w:hint="eastAsia" w:ascii="宋体" w:hAnsi="宋体" w:eastAsia="宋体" w:cs="宋体"/>
                <w:b/>
                <w:bCs/>
                <w:color w:val="auto"/>
                <w:sz w:val="21"/>
                <w:szCs w:val="21"/>
                <w:highlight w:val="none"/>
                <w:lang w:eastAsia="zh-CN"/>
              </w:rPr>
              <w:t>）</w:t>
            </w:r>
            <w:r>
              <w:rPr>
                <w:rFonts w:hint="eastAsia" w:ascii="宋体" w:hAnsi="宋体" w:eastAsia="宋体" w:cs="宋体"/>
                <w:b/>
                <w:bCs/>
                <w:color w:val="auto"/>
                <w:sz w:val="21"/>
                <w:szCs w:val="21"/>
                <w:highlight w:val="none"/>
              </w:rPr>
              <w:t>技术指标</w:t>
            </w:r>
          </w:p>
          <w:p w14:paraId="45F5AC7C">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（1）视频信号源</w:t>
            </w:r>
          </w:p>
          <w:p w14:paraId="046BDE5F">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稳定性：全片图像同步性能稳定，无失步现象，CTL同步控制信号必须连续；图像无抖动跳跃，色彩无突变，编辑点处图像稳定。</w:t>
            </w:r>
          </w:p>
          <w:p w14:paraId="565B0811">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信噪比：图像信噪比不低于55dB，无明显杂波。</w:t>
            </w:r>
          </w:p>
          <w:p w14:paraId="501C8E70">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色调：白平衡正确，无明显偏色，多机拍摄的镜头衔接处无明显色差。</w:t>
            </w:r>
          </w:p>
          <w:p w14:paraId="67208B08">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视频电平：视频全讯号幅度为1Vp-p，最大不超过1.1Vp-p。其中，消隐电平为0V时，白电平幅度0.7Vp-p，同步信号-0.3V，色同步信号幅度0.3Vp-p(以消隐线上下对称)，全片一致。</w:t>
            </w:r>
          </w:p>
          <w:p w14:paraId="77C61495">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（2）音频信号源</w:t>
            </w:r>
          </w:p>
          <w:p w14:paraId="1FC94BF5">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声道：中文内容音频信号记录于第1声道，音乐、音效、同期声记录于第2声道，若有其他文字解说记录于第3声道（如录音设备无第3声道，则录于第2声道）。</w:t>
            </w:r>
          </w:p>
          <w:p w14:paraId="517BE639">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电平指标：-2dB—-8dB，声音应无明显失真、放音过冲、过弱。</w:t>
            </w:r>
          </w:p>
          <w:p w14:paraId="6F902033">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音频信噪比不低于48dB。</w:t>
            </w:r>
          </w:p>
          <w:p w14:paraId="7E3503B3">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声音和画面要求同步，无交流声或其他杂音等缺陷。</w:t>
            </w:r>
          </w:p>
          <w:p w14:paraId="57C50C10">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伴音清晰、饱满、圆润，无失真、噪声杂音干扰、音量忽大忽小现象。解说声与现场声无明显比例失调，解说声与背景音乐无明显比例失调。</w:t>
            </w:r>
          </w:p>
          <w:p w14:paraId="035617E9">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（3）视频文件格式</w:t>
            </w:r>
          </w:p>
          <w:p w14:paraId="5B35EA5E">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视频压缩采用H.264(MPEG-4Part10：profile=main,level=3.0)编码、使用二次编码、不包含字幕的MP4格式。</w:t>
            </w:r>
          </w:p>
          <w:p w14:paraId="2C5C009D">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视频码流率：动态码流的最高码率不高于2500Kbps，最低码率不得低于1024Kbps。</w:t>
            </w:r>
          </w:p>
          <w:p w14:paraId="777366F7">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视频分辨率：前期采用高清16:9拍摄，设定为1280×720。在同一课程中，各讲的视频分辨率统一，统一高清。</w:t>
            </w:r>
          </w:p>
          <w:p w14:paraId="253E3577">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视频画幅宽高比：分辨率设定为1280×720的，选定为16:9。在同一课程中，各讲画幅的宽高比统一。</w:t>
            </w:r>
          </w:p>
          <w:p w14:paraId="1C822F1A">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视频帧率为25帧/秒。扫描方式采用逐行扫描。</w:t>
            </w:r>
          </w:p>
          <w:p w14:paraId="6D235E57">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音频压缩格式及技术参数：音频压缩采用AAC(MPEG4Part3)格式，采样率48kHz，音频码流率128Kbps(恒定)，必须是双声道，必须做混音处理。</w:t>
            </w:r>
          </w:p>
          <w:p w14:paraId="30A66C50">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rPr>
              <w:t>视频格式采用MP4封装。</w:t>
            </w:r>
          </w:p>
          <w:p w14:paraId="71D975F7">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2" w:firstLineChars="200"/>
              <w:jc w:val="both"/>
              <w:textAlignment w:val="auto"/>
              <w:rPr>
                <w:rFonts w:hint="eastAsia" w:ascii="宋体" w:hAnsi="宋体" w:eastAsia="宋体" w:cs="宋体"/>
                <w:b/>
                <w:bCs/>
                <w:color w:val="auto"/>
                <w:sz w:val="21"/>
                <w:szCs w:val="21"/>
                <w:highlight w:val="none"/>
              </w:rPr>
            </w:pPr>
            <w:r>
              <w:rPr>
                <w:rFonts w:hint="eastAsia" w:ascii="宋体" w:hAnsi="宋体" w:eastAsia="宋体" w:cs="宋体"/>
                <w:b/>
                <w:bCs/>
                <w:color w:val="auto"/>
                <w:sz w:val="21"/>
                <w:szCs w:val="21"/>
                <w:highlight w:val="none"/>
                <w:lang w:eastAsia="zh-CN"/>
              </w:rPr>
              <w:t>（</w:t>
            </w:r>
            <w:r>
              <w:rPr>
                <w:rFonts w:hint="eastAsia" w:ascii="宋体" w:hAnsi="宋体" w:eastAsia="宋体" w:cs="宋体"/>
                <w:b/>
                <w:bCs/>
                <w:color w:val="auto"/>
                <w:sz w:val="21"/>
                <w:szCs w:val="21"/>
                <w:highlight w:val="none"/>
                <w:lang w:val="en-US" w:eastAsia="zh-CN"/>
              </w:rPr>
              <w:t>五</w:t>
            </w:r>
            <w:r>
              <w:rPr>
                <w:rFonts w:hint="eastAsia" w:ascii="宋体" w:hAnsi="宋体" w:eastAsia="宋体" w:cs="宋体"/>
                <w:b/>
                <w:bCs/>
                <w:color w:val="auto"/>
                <w:sz w:val="21"/>
                <w:szCs w:val="21"/>
                <w:highlight w:val="none"/>
                <w:lang w:eastAsia="zh-CN"/>
              </w:rPr>
              <w:t>）</w:t>
            </w:r>
            <w:r>
              <w:rPr>
                <w:rFonts w:hint="eastAsia" w:ascii="宋体" w:hAnsi="宋体" w:eastAsia="宋体" w:cs="宋体"/>
                <w:b/>
                <w:bCs/>
                <w:color w:val="auto"/>
                <w:sz w:val="21"/>
                <w:szCs w:val="21"/>
                <w:highlight w:val="none"/>
                <w:lang w:val="en-US" w:eastAsia="zh-CN"/>
              </w:rPr>
              <w:t>完成制作后上线的</w:t>
            </w:r>
            <w:r>
              <w:rPr>
                <w:rFonts w:hint="eastAsia" w:ascii="宋体" w:hAnsi="宋体" w:eastAsia="宋体" w:cs="宋体"/>
                <w:b/>
                <w:bCs/>
                <w:color w:val="auto"/>
                <w:sz w:val="21"/>
                <w:szCs w:val="21"/>
                <w:highlight w:val="none"/>
              </w:rPr>
              <w:t>课程运维功能参数</w:t>
            </w:r>
          </w:p>
          <w:p w14:paraId="13584E98">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1.简洁操作：课程网站建设只需通过“选择模板、编辑课程信息、编辑课程章节”等几个简单的步骤，就可以快速地建成一门课程或符合精品资源共享课程要求的个性化课程网站。</w:t>
            </w:r>
          </w:p>
          <w:p w14:paraId="6FDEFC8E">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2.提供课程模板：提供多套精美网络课程建课模板，教师可依据个人资料的丰富程度及喜欢的风格进行个性化的设置，支持教师在建课程自动生成课程网站。</w:t>
            </w:r>
          </w:p>
          <w:p w14:paraId="08BE10C1">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3.课程编辑页面设置：课程编辑页面操作简单、灵活方便、原位编辑、所见即所得。可以发布通告、课程资料、任务、教学资源链接、教师简介等信息。可以任意编写和设置课程的介绍、封面、教学要求、教师团队等，并支持模块的添加、删除和位置调整，支持是否公开显示的设置。</w:t>
            </w:r>
          </w:p>
          <w:p w14:paraId="5F5E1DE4">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4.支持克隆课程，克隆后将产生当前课程的一个副本，可以克隆本课程给他人或者自己。支持映射课程：映射的课程不允许对课程内容进行编辑。</w:t>
            </w:r>
          </w:p>
          <w:p w14:paraId="1FF9D6CE">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5.课程共建：课程负责人可指派其他人作为具有同等或者小于本身课程建设管理权限的课程建设者共建同一门课程，也可为自己指定助教辅助自己进行课程建设和教学管理。</w:t>
            </w:r>
          </w:p>
          <w:p w14:paraId="19C5A572">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6.教材教参:教师可以从备课资源库中查找并添加课程相关的教学参考书，推荐给学生直接进行在线阅读。</w:t>
            </w:r>
          </w:p>
          <w:p w14:paraId="1D5D7216">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7.教学流程管理：支持课程教学流程管理，可在课程学习过程中任意位置添加随堂测验，可在单元学习完成后布置作业，可以在章节学习完成后安排考试。</w:t>
            </w:r>
          </w:p>
          <w:p w14:paraId="1E87FCEB">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lang w:eastAsia="zh-CN"/>
              </w:rPr>
            </w:pPr>
            <w:r>
              <w:rPr>
                <w:rFonts w:hint="eastAsia" w:ascii="宋体" w:hAnsi="宋体" w:eastAsia="宋体" w:cs="宋体"/>
                <w:color w:val="auto"/>
                <w:sz w:val="21"/>
                <w:szCs w:val="21"/>
                <w:highlight w:val="none"/>
              </w:rPr>
              <w:t>8.推荐视频：教师可以从备课资源库中查找并添加课程相关的学术视频，推荐给学生直接进行在线观看。</w:t>
            </w:r>
          </w:p>
          <w:p w14:paraId="3841DD7E">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9.课堂投屏：支持只需在PC浏览器中输入简单的网址，填入为每堂课生成的专属“投屏码”，即可实现教学内容的无线投屏。通过投屏，可将PPT、文档等教学资料，以及签到、选人、抢答、投票、主题讨论等教学互动过程与结果，实现上墙展示。</w:t>
            </w:r>
          </w:p>
          <w:p w14:paraId="74ECA40C">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10.视频自动转码：支持rmvb、3gp、mpg、mpeg、mov、wmv、asf、avi、mkv、mp4、flv、vob、f4v等高清和网络格式视频上传，视频上传后自动转码，无需下载可以直接在线进行播放。</w:t>
            </w:r>
          </w:p>
          <w:p w14:paraId="0551EACC">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11.自动转码阅读：支持多种文档格式的上传，包括DOC、PPT、PDF、TXT等，上传后自动转码，无需下载可以直接在线阅读。</w:t>
            </w:r>
          </w:p>
          <w:p w14:paraId="20B8DD47">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12.超大文件上传;支持超大文件（2G以上）上传并可断点续传。</w:t>
            </w:r>
          </w:p>
          <w:p w14:paraId="06037B6B">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13.个人云盘：支持将资源先批量上传至个人云盘中，然后在课程中引用。</w:t>
            </w:r>
          </w:p>
          <w:p w14:paraId="5076B7C6">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14.在线虚拟剪辑：支持在线虚拟剪辑视频：上传视频后，可以在任意时间点在线标注，无需物理剪切视频，即可实现任意视频段落在任意章节播放。</w:t>
            </w:r>
          </w:p>
          <w:p w14:paraId="2E3F193B">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15.视频编辑：支持视频中任意时间点插入测验：上传视频后，可以在任意时间点插入测试题，包含单选题、多选题和对错题。</w:t>
            </w:r>
          </w:p>
          <w:p w14:paraId="0BFF111D">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16.视频集成:支持视频中任意时间点插入图片或PPT：可以在任意时间点插入图片或PPT，同时支持对插入的内容在时间轴上随意拖动。插入的PPT可以任意拖动位置，并可以跟视频窗口进行切换。</w:t>
            </w:r>
          </w:p>
          <w:p w14:paraId="6D40DC68">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17.公式编辑器:提供可视化的公式编辑器，可以在线进行公式的录入与编辑。</w:t>
            </w:r>
          </w:p>
          <w:p w14:paraId="3C69DFC2">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18.支持扫描二维码、手势、定位、拍照等签到方式，提高签到效率。</w:t>
            </w:r>
          </w:p>
          <w:p w14:paraId="71504648">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19.知识点拓展阅读:知识点拓展阅读功能，可以根据一个关键词自动生成相关知识点的知识树，插入到课程单元中，并自动推送知识点相关的电子图书、期刊、学术视频等。20.支持生成试卷分析报告，报告中需至少包含试卷难度、区分度统计，成绩正态分布，成绩标准差、方差、试卷信度等分析数据项。</w:t>
            </w:r>
          </w:p>
          <w:p w14:paraId="0CABBF01">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lang w:eastAsia="zh-CN"/>
              </w:rPr>
            </w:pPr>
            <w:r>
              <w:rPr>
                <w:rFonts w:hint="eastAsia" w:ascii="宋体" w:hAnsi="宋体" w:eastAsia="宋体" w:cs="宋体"/>
                <w:color w:val="auto"/>
                <w:sz w:val="21"/>
                <w:szCs w:val="21"/>
                <w:highlight w:val="none"/>
              </w:rPr>
              <w:t>21.发布考试支持自动随机组卷，组多套试卷时，可设置试卷试题重复率为0、不高于50%、不高于80%等，系统可自动检测组卷重复率是否达标，并给出提示。</w:t>
            </w:r>
          </w:p>
          <w:p w14:paraId="698E9CBB">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22.支持设置试卷导出模板，可设置试卷装订线、试卷页头页尾、考试承诺书、试卷页码、打印效果（A3、A4、B4版式）等，导出试卷是可一并导出答题卡，答案解析等。</w:t>
            </w:r>
          </w:p>
          <w:p w14:paraId="22C8B515">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23.支持不借助任何第三方投屏软件，通过移动端投屏功能把移动端图片、文档、课程相关图片、视频资源直接在投在电脑屏幕上展示。</w:t>
            </w:r>
          </w:p>
          <w:p w14:paraId="6F35D9E6">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24.移动端和PC端均内置示范教学包，教师可使用教学示范包在移动端建课教学，示范教学包包含章节视频、课件、资料、试题库，可以根据学校属性选择、修改。</w:t>
            </w:r>
          </w:p>
          <w:p w14:paraId="0CE13597">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25.支持在课程章节中插入直播教学，可对直播方式进行设置，包括pc客户端直播、app直播或推流直播等，所有已添加直播由个人直播管理后台统一管理。</w:t>
            </w:r>
          </w:p>
          <w:p w14:paraId="53839D0C">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26.支持在线创建知识点，知识点支持手动创建与批量导入；支持一键引用其它课程知识点。（系统支持编辑知识点属性，设置教学目标；设置认知维度，如记忆维度、应用维度、创造维度等，支持设置前后关联知识点。）</w:t>
            </w:r>
          </w:p>
          <w:p w14:paraId="36DAA00F">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27.支持教师导出学生综合成绩，同时支持成绩分项导出，成绩分项至少支持讨论详情、作业详情、考试详情、音视频观看详情、章节测验详情等，并在线发放电子证书。</w:t>
            </w:r>
          </w:p>
          <w:p w14:paraId="10D82DF6">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28.教师通过点击课表中课程，可直接进入课程详情页面，支持编辑上课方式、上课地点，可在课表中直接发起课堂签到、课堂投票、选人、抢答等课堂活动；支持班级学生管理、教学日志编写、教案编写。</w:t>
            </w:r>
          </w:p>
          <w:p w14:paraId="27659445">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29.支持课程资源编辑器，编辑器需适应教师使用word/wps等软件习惯，支持设置字体颜色修改、行距、格式设置，支持文本格式刷。</w:t>
            </w:r>
          </w:p>
          <w:p w14:paraId="24D8082A">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30.支持教学视频任意时间点插入课程知识图谱中已建设完成的知识点，并拖动修改位置；支持教学视频任意时间点插入批注，批注可在线编辑。</w:t>
            </w:r>
          </w:p>
          <w:p w14:paraId="0FBBA3AF">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both"/>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31.支持记录笔记功能：学生可以通过图片、录音、文字、链接、位置等方式记录学习内容，同时录音内容支持实时智能识别，转换成文字内容；并且支持打点记录学习或会议内容。</w:t>
            </w:r>
          </w:p>
        </w:tc>
        <w:tc>
          <w:tcPr>
            <w:tcW w:w="1276" w:type="dxa"/>
            <w:tcBorders>
              <w:top w:val="single" w:color="000000" w:sz="8" w:space="0"/>
              <w:left w:val="single" w:color="000000" w:sz="6" w:space="0"/>
              <w:right w:val="single" w:color="000000" w:sz="8" w:space="0"/>
            </w:tcBorders>
            <w:vAlign w:val="center"/>
          </w:tcPr>
          <w:p w14:paraId="2271591B">
            <w:pPr>
              <w:keepNext w:val="0"/>
              <w:keepLines w:val="0"/>
              <w:pageBreakBefore w:val="0"/>
              <w:suppressLineNumbers w:val="0"/>
              <w:overflowPunct/>
              <w:topLinePunct w:val="0"/>
              <w:bidi w:val="0"/>
              <w:spacing w:before="0" w:beforeAutospacing="0" w:after="0" w:afterAutospacing="0" w:line="400" w:lineRule="exact"/>
              <w:ind w:left="0" w:right="0"/>
              <w:jc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val="en-US" w:eastAsia="zh-CN"/>
              </w:rPr>
              <w:t>135000</w:t>
            </w:r>
            <w:r>
              <w:rPr>
                <w:rFonts w:hint="eastAsia" w:ascii="宋体" w:hAnsi="宋体" w:eastAsia="宋体" w:cs="宋体"/>
                <w:color w:val="auto"/>
                <w:sz w:val="21"/>
                <w:szCs w:val="21"/>
                <w:highlight w:val="none"/>
              </w:rPr>
              <w:t>.00</w:t>
            </w:r>
          </w:p>
        </w:tc>
      </w:tr>
      <w:tr w14:paraId="185F3CAE">
        <w:tblPrEx>
          <w:tblBorders>
            <w:top w:val="single" w:color="000000" w:sz="8" w:space="0"/>
            <w:left w:val="single" w:color="000000" w:sz="8" w:space="0"/>
            <w:bottom w:val="single" w:color="000000" w:sz="8" w:space="0"/>
            <w:right w:val="single" w:color="000000" w:sz="8" w:space="0"/>
            <w:insideH w:val="single" w:color="000000" w:sz="6" w:space="0"/>
            <w:insideV w:val="single" w:color="000000" w:sz="6" w:space="0"/>
          </w:tblBorders>
          <w:tblCellMar>
            <w:top w:w="0" w:type="dxa"/>
            <w:left w:w="108" w:type="dxa"/>
            <w:bottom w:w="0" w:type="dxa"/>
            <w:right w:w="108" w:type="dxa"/>
          </w:tblCellMar>
        </w:tblPrEx>
        <w:trPr>
          <w:trHeight w:val="1065" w:hRule="atLeast"/>
          <w:jc w:val="center"/>
        </w:trPr>
        <w:tc>
          <w:tcPr>
            <w:tcW w:w="212" w:type="pct"/>
            <w:tcBorders>
              <w:top w:val="single" w:color="000000" w:sz="8" w:space="0"/>
              <w:left w:val="single" w:color="000000" w:sz="8" w:space="0"/>
              <w:bottom w:val="single" w:color="000000" w:sz="6" w:space="0"/>
              <w:right w:val="single" w:color="000000" w:sz="6" w:space="0"/>
            </w:tcBorders>
            <w:tcMar>
              <w:top w:w="0" w:type="dxa"/>
              <w:left w:w="0" w:type="dxa"/>
              <w:bottom w:w="0" w:type="dxa"/>
              <w:right w:w="0" w:type="dxa"/>
            </w:tcMar>
            <w:vAlign w:val="center"/>
          </w:tcPr>
          <w:p w14:paraId="59DAB5E9">
            <w:pPr>
              <w:keepNext w:val="0"/>
              <w:keepLines w:val="0"/>
              <w:pageBreakBefore w:val="0"/>
              <w:suppressLineNumbers w:val="0"/>
              <w:overflowPunct/>
              <w:topLinePunct w:val="0"/>
              <w:bidi w:val="0"/>
              <w:snapToGrid w:val="0"/>
              <w:spacing w:before="0" w:beforeAutospacing="0" w:after="0" w:afterAutospacing="0" w:line="400" w:lineRule="exact"/>
              <w:ind w:left="0" w:right="0"/>
              <w:jc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val="en-US" w:eastAsia="zh-CN"/>
              </w:rPr>
              <w:t>3</w:t>
            </w:r>
          </w:p>
        </w:tc>
        <w:tc>
          <w:tcPr>
            <w:tcW w:w="674" w:type="pct"/>
            <w:tcBorders>
              <w:top w:val="single" w:color="000000" w:sz="8" w:space="0"/>
              <w:left w:val="single" w:color="000000" w:sz="6" w:space="0"/>
              <w:bottom w:val="single" w:color="000000" w:sz="6" w:space="0"/>
              <w:right w:val="single" w:color="000000" w:sz="6" w:space="0"/>
            </w:tcBorders>
            <w:vAlign w:val="center"/>
          </w:tcPr>
          <w:p w14:paraId="53A95290">
            <w:pPr>
              <w:keepNext w:val="0"/>
              <w:keepLines w:val="0"/>
              <w:pageBreakBefore w:val="0"/>
              <w:suppressLineNumbers w:val="0"/>
              <w:overflowPunct/>
              <w:topLinePunct w:val="0"/>
              <w:bidi w:val="0"/>
              <w:spacing w:before="0" w:beforeAutospacing="0" w:after="0" w:afterAutospacing="0" w:line="400" w:lineRule="exact"/>
              <w:ind w:left="0" w:right="0"/>
              <w:jc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val="en-US" w:eastAsia="zh-CN"/>
              </w:rPr>
              <w:t>虚拟展厅建设</w:t>
            </w:r>
          </w:p>
        </w:tc>
        <w:tc>
          <w:tcPr>
            <w:tcW w:w="324" w:type="pct"/>
            <w:tcBorders>
              <w:top w:val="single" w:color="000000" w:sz="8" w:space="0"/>
              <w:left w:val="single" w:color="000000" w:sz="6" w:space="0"/>
              <w:bottom w:val="single" w:color="000000" w:sz="6" w:space="0"/>
              <w:right w:val="single" w:color="000000" w:sz="6" w:space="0"/>
            </w:tcBorders>
            <w:vAlign w:val="center"/>
          </w:tcPr>
          <w:p w14:paraId="39FDEBF4">
            <w:pPr>
              <w:keepNext w:val="0"/>
              <w:keepLines w:val="0"/>
              <w:pageBreakBefore w:val="0"/>
              <w:suppressLineNumbers w:val="0"/>
              <w:overflowPunct/>
              <w:topLinePunct w:val="0"/>
              <w:bidi w:val="0"/>
              <w:spacing w:before="0" w:beforeAutospacing="0" w:after="0" w:afterAutospacing="0" w:line="400" w:lineRule="exact"/>
              <w:ind w:left="0" w:right="0"/>
              <w:jc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1项</w:t>
            </w:r>
          </w:p>
        </w:tc>
        <w:tc>
          <w:tcPr>
            <w:tcW w:w="413" w:type="pct"/>
            <w:tcBorders>
              <w:top w:val="single" w:color="000000" w:sz="8" w:space="0"/>
              <w:left w:val="single" w:color="000000" w:sz="6" w:space="0"/>
              <w:bottom w:val="single" w:color="000000" w:sz="6" w:space="0"/>
              <w:right w:val="single" w:color="000000" w:sz="6" w:space="0"/>
            </w:tcBorders>
            <w:vAlign w:val="center"/>
          </w:tcPr>
          <w:p w14:paraId="784654F3">
            <w:pPr>
              <w:keepNext w:val="0"/>
              <w:keepLines w:val="0"/>
              <w:pageBreakBefore w:val="0"/>
              <w:suppressLineNumbers w:val="0"/>
              <w:overflowPunct/>
              <w:topLinePunct w:val="0"/>
              <w:bidi w:val="0"/>
              <w:snapToGrid w:val="0"/>
              <w:spacing w:before="0" w:beforeAutospacing="0" w:after="0" w:afterAutospacing="0" w:line="400" w:lineRule="exact"/>
              <w:ind w:left="0" w:right="0"/>
              <w:jc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软件和信息技术服务业</w:t>
            </w:r>
          </w:p>
        </w:tc>
        <w:tc>
          <w:tcPr>
            <w:tcW w:w="2724" w:type="pct"/>
            <w:tcBorders>
              <w:top w:val="single" w:color="000000" w:sz="8" w:space="0"/>
              <w:left w:val="single" w:color="000000" w:sz="6" w:space="0"/>
              <w:bottom w:val="single" w:color="000000" w:sz="6" w:space="0"/>
              <w:right w:val="single" w:color="000000" w:sz="6" w:space="0"/>
            </w:tcBorders>
          </w:tcPr>
          <w:p w14:paraId="19BA8C14">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2" w:firstLineChars="200"/>
              <w:jc w:val="left"/>
              <w:textAlignment w:val="auto"/>
              <w:rPr>
                <w:rFonts w:hint="eastAsia" w:ascii="宋体" w:hAnsi="宋体" w:eastAsia="宋体" w:cs="宋体"/>
                <w:b/>
                <w:bCs/>
                <w:color w:val="auto"/>
                <w:sz w:val="21"/>
                <w:szCs w:val="21"/>
                <w:highlight w:val="none"/>
                <w:lang w:val="en-US" w:eastAsia="zh-CN"/>
              </w:rPr>
            </w:pPr>
            <w:r>
              <w:rPr>
                <w:rFonts w:hint="eastAsia" w:ascii="宋体" w:hAnsi="宋体" w:eastAsia="宋体" w:cs="宋体"/>
                <w:b/>
                <w:bCs/>
                <w:color w:val="auto"/>
                <w:sz w:val="21"/>
                <w:szCs w:val="21"/>
                <w:highlight w:val="none"/>
                <w:lang w:val="en-US" w:eastAsia="zh-CN"/>
              </w:rPr>
              <w:t>一、建设内容</w:t>
            </w:r>
          </w:p>
          <w:p w14:paraId="576A09A1">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left"/>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进行3D元宇宙虚拟展厅的建设，其中包括口腔修复专业资源库3D元宇宙虚拟展厅建设和固定义齿课程展厅</w:t>
            </w:r>
            <w:r>
              <w:rPr>
                <w:rFonts w:hint="eastAsia" w:ascii="宋体" w:hAnsi="宋体" w:cs="宋体"/>
                <w:color w:val="auto"/>
                <w:sz w:val="21"/>
                <w:szCs w:val="21"/>
                <w:highlight w:val="none"/>
                <w:lang w:val="en-US" w:eastAsia="zh-CN"/>
              </w:rPr>
              <w:t>。</w:t>
            </w:r>
          </w:p>
          <w:p w14:paraId="000655FD">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2" w:firstLineChars="200"/>
              <w:jc w:val="left"/>
              <w:textAlignment w:val="auto"/>
              <w:rPr>
                <w:rFonts w:hint="eastAsia" w:ascii="宋体" w:hAnsi="宋体" w:eastAsia="宋体" w:cs="宋体"/>
                <w:b/>
                <w:bCs/>
                <w:color w:val="auto"/>
                <w:sz w:val="21"/>
                <w:szCs w:val="21"/>
                <w:highlight w:val="none"/>
                <w:lang w:val="en-US" w:eastAsia="zh-CN"/>
              </w:rPr>
            </w:pPr>
            <w:r>
              <w:rPr>
                <w:rFonts w:hint="eastAsia" w:ascii="宋体" w:hAnsi="宋体" w:eastAsia="宋体" w:cs="宋体"/>
                <w:b/>
                <w:bCs/>
                <w:color w:val="auto"/>
                <w:sz w:val="21"/>
                <w:szCs w:val="21"/>
                <w:highlight w:val="none"/>
                <w:lang w:val="en-US" w:eastAsia="zh-CN"/>
              </w:rPr>
              <w:t>二、参数制作</w:t>
            </w:r>
          </w:p>
          <w:p w14:paraId="70D59004">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left"/>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1、虚拟展厅功能参数：</w:t>
            </w:r>
          </w:p>
          <w:p w14:paraId="09251FB3">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left"/>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1.空间设计与建模：根据展厅主题及内容大纲（如历史、生物、建筑等）利用建模软件等专业工具进行高精度三维建模，包括三维空间结构（墙体、地面、天花板）、装饰性元素等；</w:t>
            </w:r>
          </w:p>
          <w:p w14:paraId="0D2FFA99">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left"/>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2.使用WebGL渲染引擎对模型进行灯光布置、材质贴图、UV烘焙，实现逼真的光影效果和材质质感，并针对Web端进行模型轻量化处理，确保流畅加载与浏览。</w:t>
            </w:r>
          </w:p>
          <w:p w14:paraId="23A9F563">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left"/>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3.3D自由漫游：用户可在空间内实现任意漫游行走，360度自由参观，而非热点间短距离漫游；</w:t>
            </w:r>
          </w:p>
          <w:p w14:paraId="60AD3298">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left"/>
              <w:textAlignment w:val="auto"/>
              <w:rPr>
                <w:rFonts w:hint="default"/>
                <w:color w:val="auto"/>
                <w:highlight w:val="none"/>
              </w:rPr>
            </w:pPr>
            <w:r>
              <w:rPr>
                <w:rFonts w:hint="eastAsia" w:ascii="宋体" w:hAnsi="宋体" w:eastAsia="宋体" w:cs="宋体"/>
                <w:color w:val="auto"/>
                <w:sz w:val="21"/>
                <w:szCs w:val="21"/>
                <w:highlight w:val="none"/>
                <w:lang w:val="en-US" w:eastAsia="zh-CN"/>
              </w:rPr>
              <w:t>4.点击地面行走：可通过点击空间地面的任意位置实现精准移动，实现点位行走功能，具备路径规划和障碍规避能力；</w:t>
            </w:r>
          </w:p>
          <w:p w14:paraId="4A65E23C">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left"/>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5.多媒体播放器：集成流媒体技术，支持空间内嵌视频、音频（背景音乐、解说词）的无缓冲播放与区域触发，确保用户可以自然而然地浏览和互动，视频内容提供进度控制、全屏、画中画、循环播放、倍速播放等播放控制能力；</w:t>
            </w:r>
          </w:p>
          <w:p w14:paraId="5AE440F2">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left"/>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6.图文展板展示：支持在展厅空间内任意位置嵌入图文展板，支持对图片进行放大缩小、详情查看等功能，可关联音频讲解或超链接等；</w:t>
            </w:r>
          </w:p>
          <w:p w14:paraId="4B0FC93D">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left"/>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7.文本内容展示：支持2D文本、3D文本等文本格式嵌入，并实现添加音频简介以及富媒体链接嵌入；</w:t>
            </w:r>
          </w:p>
          <w:p w14:paraId="2ABE9122">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left"/>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8.3D模型展示：支持在虚拟空间中展示3D模型展示，可缩放、旋转查看模型的不同角度和细节；</w:t>
            </w:r>
          </w:p>
          <w:p w14:paraId="7B20032A">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left"/>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9.超链接嵌入：针对部分展示内容支持嵌入内链与外链，可在当前页面无刷新跳转或新窗口打开；</w:t>
            </w:r>
          </w:p>
          <w:p w14:paraId="13A03E4E">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left"/>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10.音视频区域触发：在特定场景区域，支持基于地理围栏技术，实现走近自动播放、离开暂停/停止的智能媒体触发机制；</w:t>
            </w:r>
          </w:p>
          <w:p w14:paraId="65430CFC">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left"/>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11.聚焦模式：支持一键聚焦至展板最佳观看视角，支持视角平滑过渡与复位；</w:t>
            </w:r>
          </w:p>
          <w:p w14:paraId="1D9A728C">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left"/>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12.场景导航：支持用户在展厅中通过场景导航目录、缩略图预览等多种导航方式快速移动至特定场景区域；</w:t>
            </w:r>
          </w:p>
          <w:p w14:paraId="6263F397">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left"/>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13.快捷导航：用户可以通过快捷导航功能快速浏览展厅中的各个特定区域；</w:t>
            </w:r>
          </w:p>
          <w:p w14:paraId="736E6884">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left"/>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14.场景自动漫游：用户可通过设定好的导览路线自动播放学习场景，提供自动导览与手动控制双模式；</w:t>
            </w:r>
          </w:p>
          <w:p w14:paraId="12F9955B">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left"/>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15.视角切换：支持用户以第一视角和第三视角切换形式漫游学习；</w:t>
            </w:r>
          </w:p>
          <w:p w14:paraId="3F852F35">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left"/>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16.虚拟角色切换：提供不少于10个预设虚拟角色形象，允许用户切换不同虚拟角色形象自由移动。</w:t>
            </w:r>
          </w:p>
          <w:p w14:paraId="574C27C6">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left"/>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17.传送门：支持用户可以通过传送门在多个展厅之间传送，且支持选择多个传送动画；</w:t>
            </w:r>
          </w:p>
          <w:p w14:paraId="35BB0CEC">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left"/>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18.地图导航:提供2D平面地图，实时显示用户位置与朝向，通过地图参观者将对展厅的布局有清晰印象，支持对地图进行缩放、显示和隐藏。</w:t>
            </w:r>
          </w:p>
          <w:p w14:paraId="7EF61366">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left"/>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19.虚拟IP人物讲解：支持虚拟IP人物语音讲解与口播动画同步，可在特定区域进行剧情式讲解，并完成骨骼动画设计与绑定，使人物形象更加生动；</w:t>
            </w:r>
          </w:p>
          <w:p w14:paraId="35B1F04F">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left"/>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20.AI智能体：支持嵌入AI智能体，用户可通过编辑器一键拖拽3D人物模型至虚拟空间，实现模型与AI智能体的深度绑定配置，支持根据3D模型形象自定义选择契合音色，并通过语音合成技术进行流畅的实时播报，在播报过程中，3D人物模型可同步触发配套的口播动画与符合语义的肢体动作，实现“形-声-动”一体化的沉浸式交互体验。系统支持智能问答与场景模拟问答，使AI角色能够扮演助教、特定角色等身份。同时，支持通过设置区域触发范围精确控制AI交互按钮的显示，实现有引导的智能化交互。</w:t>
            </w:r>
          </w:p>
          <w:p w14:paraId="0CF43811">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left"/>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21.答题闯关互动：内设答题闯关系统，支持单选题、多选题、判断题等多种题型，用户完成当前区域题目方可解锁进入下一展区，系统在答题过程中提供实时进度提示与即时结果反馈；编辑后台支持自定义题库构建，可灵活编辑包括单选、多选、判断在内的多种题型，并支持调用系统默认题库或外部导入课程题库，快速配置题目。与此同时，系统支持将答题任务与多样化虚拟任务装置进行绑定，如任务墙、知识光球、宝箱、互动电视等多模态任务触发器，构建趣味性与叙事性的游戏化学习体验。</w:t>
            </w:r>
          </w:p>
          <w:p w14:paraId="38A9888A">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left"/>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22.任务互动：系统内置多维度任务体系，支持基于空间停留时长、视频学习时长、答题闯关完成度、AI智能体互动等多种任务类型的创建与配置。管理员可在编辑后台灵活添加并自定义任务名称、设置任务完成条件等，系统可对任务完成状态进行实时追踪反馈；</w:t>
            </w:r>
          </w:p>
          <w:p w14:paraId="14A04FF5">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left"/>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val="en-US" w:eastAsia="zh-CN"/>
              </w:rPr>
              <w:t>23.证书解锁：内置证书编辑器，用户通过解锁任务来获取相关证书，证书可根据展厅内容灵活配置，包括证书标题、LOGO、背景图、文字、印章等，提供不少于50种证书模板供用户选择，且证书颁发与任务系统深度集成，可配置多种解锁条件，系统自动追踪任务进度并在条件满足时即时解锁任务生成并颁发证书。</w:t>
            </w:r>
          </w:p>
        </w:tc>
        <w:tc>
          <w:tcPr>
            <w:tcW w:w="1276" w:type="dxa"/>
            <w:tcBorders>
              <w:top w:val="single" w:color="000000" w:sz="8" w:space="0"/>
              <w:left w:val="single" w:color="000000" w:sz="6" w:space="0"/>
              <w:right w:val="single" w:color="000000" w:sz="8" w:space="0"/>
            </w:tcBorders>
            <w:vAlign w:val="center"/>
          </w:tcPr>
          <w:p w14:paraId="1477CFE6">
            <w:pPr>
              <w:keepNext w:val="0"/>
              <w:keepLines w:val="0"/>
              <w:pageBreakBefore w:val="0"/>
              <w:suppressLineNumbers w:val="0"/>
              <w:overflowPunct/>
              <w:topLinePunct w:val="0"/>
              <w:bidi w:val="0"/>
              <w:spacing w:before="0" w:beforeAutospacing="0" w:after="0" w:afterAutospacing="0" w:line="400" w:lineRule="exact"/>
              <w:ind w:left="0" w:right="0"/>
              <w:jc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val="en-US" w:eastAsia="zh-CN"/>
              </w:rPr>
              <w:t>145000</w:t>
            </w:r>
            <w:r>
              <w:rPr>
                <w:rFonts w:hint="eastAsia" w:ascii="宋体" w:hAnsi="宋体" w:eastAsia="宋体" w:cs="宋体"/>
                <w:color w:val="auto"/>
                <w:sz w:val="21"/>
                <w:szCs w:val="21"/>
                <w:highlight w:val="none"/>
              </w:rPr>
              <w:t>.00</w:t>
            </w:r>
          </w:p>
        </w:tc>
      </w:tr>
      <w:tr w14:paraId="5123094F">
        <w:tblPrEx>
          <w:tblBorders>
            <w:top w:val="single" w:color="000000" w:sz="8" w:space="0"/>
            <w:left w:val="single" w:color="000000" w:sz="8" w:space="0"/>
            <w:bottom w:val="single" w:color="000000" w:sz="8" w:space="0"/>
            <w:right w:val="single" w:color="000000" w:sz="8" w:space="0"/>
            <w:insideH w:val="single" w:color="000000" w:sz="6" w:space="0"/>
            <w:insideV w:val="single" w:color="000000" w:sz="6" w:space="0"/>
          </w:tblBorders>
          <w:tblCellMar>
            <w:top w:w="0" w:type="dxa"/>
            <w:left w:w="108" w:type="dxa"/>
            <w:bottom w:w="0" w:type="dxa"/>
            <w:right w:w="108" w:type="dxa"/>
          </w:tblCellMar>
        </w:tblPrEx>
        <w:trPr>
          <w:trHeight w:val="1065" w:hRule="atLeast"/>
          <w:jc w:val="center"/>
        </w:trPr>
        <w:tc>
          <w:tcPr>
            <w:tcW w:w="212" w:type="pct"/>
            <w:tcBorders>
              <w:top w:val="single" w:color="000000" w:sz="8" w:space="0"/>
              <w:left w:val="single" w:color="000000" w:sz="8" w:space="0"/>
              <w:bottom w:val="single" w:color="000000" w:sz="6" w:space="0"/>
              <w:right w:val="single" w:color="000000" w:sz="6" w:space="0"/>
            </w:tcBorders>
            <w:tcMar>
              <w:top w:w="0" w:type="dxa"/>
              <w:left w:w="0" w:type="dxa"/>
              <w:bottom w:w="0" w:type="dxa"/>
              <w:right w:w="0" w:type="dxa"/>
            </w:tcMar>
            <w:vAlign w:val="center"/>
          </w:tcPr>
          <w:p w14:paraId="59D1AD73">
            <w:pPr>
              <w:keepNext w:val="0"/>
              <w:keepLines w:val="0"/>
              <w:pageBreakBefore w:val="0"/>
              <w:suppressLineNumbers w:val="0"/>
              <w:overflowPunct/>
              <w:topLinePunct w:val="0"/>
              <w:bidi w:val="0"/>
              <w:snapToGrid w:val="0"/>
              <w:spacing w:before="0" w:beforeAutospacing="0" w:after="0" w:afterAutospacing="0" w:line="400" w:lineRule="exact"/>
              <w:ind w:left="0" w:right="0"/>
              <w:jc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val="en-US" w:eastAsia="zh-CN"/>
              </w:rPr>
              <w:t>4</w:t>
            </w:r>
          </w:p>
        </w:tc>
        <w:tc>
          <w:tcPr>
            <w:tcW w:w="674" w:type="pct"/>
            <w:tcBorders>
              <w:top w:val="single" w:color="000000" w:sz="8" w:space="0"/>
              <w:left w:val="single" w:color="000000" w:sz="6" w:space="0"/>
              <w:bottom w:val="single" w:color="000000" w:sz="6" w:space="0"/>
              <w:right w:val="single" w:color="000000" w:sz="6" w:space="0"/>
            </w:tcBorders>
            <w:vAlign w:val="center"/>
          </w:tcPr>
          <w:p w14:paraId="035A0AB4">
            <w:pPr>
              <w:keepNext w:val="0"/>
              <w:keepLines w:val="0"/>
              <w:pageBreakBefore w:val="0"/>
              <w:suppressLineNumbers w:val="0"/>
              <w:overflowPunct/>
              <w:topLinePunct w:val="0"/>
              <w:bidi w:val="0"/>
              <w:spacing w:before="0" w:beforeAutospacing="0" w:after="0" w:afterAutospacing="0" w:line="400" w:lineRule="exact"/>
              <w:ind w:left="0" w:right="0"/>
              <w:jc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val="en-US" w:eastAsia="zh-CN"/>
              </w:rPr>
              <w:t>中泰英三语《可摘义齿》课程国际化课程建设</w:t>
            </w:r>
          </w:p>
        </w:tc>
        <w:tc>
          <w:tcPr>
            <w:tcW w:w="324" w:type="pct"/>
            <w:tcBorders>
              <w:top w:val="single" w:color="000000" w:sz="8" w:space="0"/>
              <w:left w:val="single" w:color="000000" w:sz="6" w:space="0"/>
              <w:bottom w:val="single" w:color="000000" w:sz="6" w:space="0"/>
              <w:right w:val="single" w:color="000000" w:sz="6" w:space="0"/>
            </w:tcBorders>
            <w:vAlign w:val="center"/>
          </w:tcPr>
          <w:p w14:paraId="2FEFED9E">
            <w:pPr>
              <w:keepNext w:val="0"/>
              <w:keepLines w:val="0"/>
              <w:pageBreakBefore w:val="0"/>
              <w:suppressLineNumbers w:val="0"/>
              <w:overflowPunct/>
              <w:topLinePunct w:val="0"/>
              <w:bidi w:val="0"/>
              <w:spacing w:before="0" w:beforeAutospacing="0" w:after="0" w:afterAutospacing="0" w:line="400" w:lineRule="exact"/>
              <w:ind w:left="0" w:right="0"/>
              <w:jc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1项</w:t>
            </w:r>
          </w:p>
        </w:tc>
        <w:tc>
          <w:tcPr>
            <w:tcW w:w="413" w:type="pct"/>
            <w:tcBorders>
              <w:top w:val="single" w:color="000000" w:sz="8" w:space="0"/>
              <w:left w:val="single" w:color="000000" w:sz="6" w:space="0"/>
              <w:bottom w:val="single" w:color="000000" w:sz="6" w:space="0"/>
              <w:right w:val="single" w:color="000000" w:sz="6" w:space="0"/>
            </w:tcBorders>
            <w:vAlign w:val="center"/>
          </w:tcPr>
          <w:p w14:paraId="7A001080">
            <w:pPr>
              <w:keepNext w:val="0"/>
              <w:keepLines w:val="0"/>
              <w:pageBreakBefore w:val="0"/>
              <w:suppressLineNumbers w:val="0"/>
              <w:overflowPunct/>
              <w:topLinePunct w:val="0"/>
              <w:bidi w:val="0"/>
              <w:snapToGrid w:val="0"/>
              <w:spacing w:before="0" w:beforeAutospacing="0" w:after="0" w:afterAutospacing="0" w:line="400" w:lineRule="exact"/>
              <w:ind w:left="0" w:right="0"/>
              <w:jc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软件和信息技术服务业</w:t>
            </w:r>
          </w:p>
        </w:tc>
        <w:tc>
          <w:tcPr>
            <w:tcW w:w="2724" w:type="pct"/>
            <w:tcBorders>
              <w:top w:val="single" w:color="000000" w:sz="8" w:space="0"/>
              <w:left w:val="single" w:color="000000" w:sz="6" w:space="0"/>
              <w:bottom w:val="single" w:color="000000" w:sz="6" w:space="0"/>
              <w:right w:val="single" w:color="000000" w:sz="6" w:space="0"/>
            </w:tcBorders>
          </w:tcPr>
          <w:p w14:paraId="58F34825">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left"/>
              <w:textAlignment w:val="auto"/>
              <w:rPr>
                <w:rFonts w:hint="eastAsia" w:ascii="宋体" w:hAnsi="宋体" w:eastAsia="宋体" w:cs="宋体"/>
                <w:b/>
                <w:bCs/>
                <w:color w:val="auto"/>
                <w:sz w:val="21"/>
                <w:szCs w:val="21"/>
                <w:highlight w:val="none"/>
              </w:rPr>
            </w:pPr>
            <w:r>
              <w:rPr>
                <w:rFonts w:hint="eastAsia" w:ascii="宋体" w:hAnsi="宋体" w:eastAsia="宋体" w:cs="宋体"/>
                <w:b/>
                <w:bCs/>
                <w:color w:val="auto"/>
                <w:sz w:val="21"/>
                <w:szCs w:val="21"/>
                <w:highlight w:val="none"/>
              </w:rPr>
              <w:t>一、建设内容</w:t>
            </w:r>
          </w:p>
          <w:p w14:paraId="4B100169">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left"/>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进行《可摘义齿》国际化课程建设翻译，其中包含30个三语翻译</w:t>
            </w:r>
            <w:r>
              <w:rPr>
                <w:rFonts w:hint="eastAsia" w:ascii="宋体" w:hAnsi="宋体" w:cs="宋体"/>
                <w:color w:val="auto"/>
                <w:sz w:val="21"/>
                <w:szCs w:val="21"/>
                <w:highlight w:val="none"/>
                <w:lang w:val="en-US" w:eastAsia="zh-CN"/>
              </w:rPr>
              <w:t>微课</w:t>
            </w:r>
            <w:r>
              <w:rPr>
                <w:rFonts w:hint="eastAsia" w:ascii="宋体" w:hAnsi="宋体" w:eastAsia="宋体" w:cs="宋体"/>
                <w:color w:val="auto"/>
                <w:sz w:val="21"/>
                <w:szCs w:val="21"/>
                <w:highlight w:val="none"/>
                <w:lang w:val="en-US" w:eastAsia="zh-CN"/>
              </w:rPr>
              <w:t>视频与PPT25个、配套试题库三语翻译等。</w:t>
            </w:r>
          </w:p>
          <w:p w14:paraId="59C3264D">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jc w:val="left"/>
              <w:textAlignment w:val="auto"/>
              <w:rPr>
                <w:rFonts w:hint="eastAsia" w:ascii="宋体" w:hAnsi="宋体" w:eastAsia="宋体" w:cs="宋体"/>
                <w:b/>
                <w:bCs/>
                <w:color w:val="auto"/>
                <w:sz w:val="21"/>
                <w:szCs w:val="21"/>
                <w:highlight w:val="none"/>
                <w:lang w:val="en-US" w:eastAsia="zh-CN"/>
              </w:rPr>
            </w:pPr>
            <w:r>
              <w:rPr>
                <w:rFonts w:hint="eastAsia" w:ascii="宋体" w:hAnsi="宋体" w:eastAsia="宋体" w:cs="宋体"/>
                <w:b/>
                <w:bCs/>
                <w:color w:val="auto"/>
                <w:sz w:val="21"/>
                <w:szCs w:val="21"/>
                <w:highlight w:val="none"/>
                <w:lang w:val="en-US" w:eastAsia="zh-CN"/>
              </w:rPr>
              <w:t>二、参数制作</w:t>
            </w:r>
          </w:p>
          <w:p w14:paraId="4D396813">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left"/>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针对</w:t>
            </w:r>
            <w:r>
              <w:rPr>
                <w:rFonts w:hint="eastAsia" w:ascii="宋体" w:hAnsi="宋体" w:eastAsia="宋体" w:cs="宋体"/>
                <w:color w:val="auto"/>
                <w:sz w:val="21"/>
                <w:szCs w:val="21"/>
                <w:highlight w:val="none"/>
              </w:rPr>
              <w:t>《可摘义齿》</w:t>
            </w:r>
            <w:r>
              <w:rPr>
                <w:rFonts w:hint="eastAsia" w:ascii="宋体" w:hAnsi="宋体" w:eastAsia="宋体" w:cs="宋体"/>
                <w:color w:val="auto"/>
                <w:sz w:val="21"/>
                <w:szCs w:val="21"/>
                <w:highlight w:val="none"/>
                <w:lang w:val="en-US" w:eastAsia="zh-CN"/>
              </w:rPr>
              <w:t>在线精品课程视频进行翻译和配音，并进行视频双语字幕制作和校对。</w:t>
            </w:r>
          </w:p>
          <w:p w14:paraId="25CEF9C6">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2" w:firstLineChars="200"/>
              <w:jc w:val="left"/>
              <w:textAlignment w:val="auto"/>
              <w:rPr>
                <w:rFonts w:hint="eastAsia" w:ascii="宋体" w:hAnsi="宋体" w:eastAsia="宋体" w:cs="宋体"/>
                <w:b/>
                <w:bCs/>
                <w:color w:val="auto"/>
                <w:sz w:val="21"/>
                <w:szCs w:val="21"/>
                <w:highlight w:val="none"/>
                <w:lang w:val="en-US" w:eastAsia="zh-CN"/>
              </w:rPr>
            </w:pPr>
            <w:r>
              <w:rPr>
                <w:rFonts w:hint="eastAsia" w:ascii="宋体" w:hAnsi="宋体" w:eastAsia="宋体" w:cs="宋体"/>
                <w:b/>
                <w:bCs/>
                <w:color w:val="auto"/>
                <w:sz w:val="21"/>
                <w:szCs w:val="21"/>
                <w:highlight w:val="none"/>
                <w:lang w:val="en-US" w:eastAsia="zh-CN"/>
              </w:rPr>
              <w:t>（一）中文文本翻译为泰语与英语语种文本</w:t>
            </w:r>
          </w:p>
          <w:p w14:paraId="604CEB19">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left"/>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文本翻译内容符合我国现行法律法规，尊重各民族的风俗习惯，必须遵循以下原则：</w:t>
            </w:r>
          </w:p>
          <w:p w14:paraId="67B81D9D">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left"/>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1、翻译文本如涉及有关人物形象，如领袖、英雄人物、历史人物和科学家等内容，要遵照有关规定，不能出现失真、丑化的现象。</w:t>
            </w:r>
          </w:p>
          <w:p w14:paraId="57C366B3">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left"/>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2、翻译文本如涉及有党徽、国徽、党旗、国旗以及具有政治意义的建筑等要正确描述，如涉及中国地图，要无遗漏地描述中国的领土、领海。</w:t>
            </w:r>
          </w:p>
          <w:p w14:paraId="20908D00">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left"/>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3、翻译文本禁止以调侃、讥讽等方式丑化人民的形象，杜绝庸俗、低劣、暴力、不健康等违背国家教育宗旨的内容出现。</w:t>
            </w:r>
          </w:p>
          <w:p w14:paraId="04C46758">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left"/>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4、翻译文本如涉及民族内容(含民族形象、符号、色彩等)应注意民族禁忌尊重不同民族生活方式和习惯，不得出现宣传宗教教义的内容。</w:t>
            </w:r>
          </w:p>
          <w:p w14:paraId="0ACB3769">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left"/>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5、字数要求：按照视频字幕文档翻译，具体字数根据课程字幕文档实际情况定。</w:t>
            </w:r>
          </w:p>
          <w:p w14:paraId="7B47EBAD">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left"/>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6、译文要求：忠实原文，同一门课程术语统一，行文通畅。无漏译、错译和增译情况，内容完整无误，语言准确，译文流畅。无专业术语错误，无语法错误，固定专有名词准确，译文忠于原文，译文准确，无错译、漏译，符合表达习惯用词规范。</w:t>
            </w:r>
          </w:p>
          <w:p w14:paraId="4421249D">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2" w:firstLineChars="200"/>
              <w:jc w:val="left"/>
              <w:textAlignment w:val="auto"/>
              <w:rPr>
                <w:rFonts w:hint="eastAsia" w:ascii="宋体" w:hAnsi="宋体" w:eastAsia="宋体" w:cs="宋体"/>
                <w:b/>
                <w:bCs/>
                <w:color w:val="auto"/>
                <w:sz w:val="21"/>
                <w:szCs w:val="21"/>
                <w:highlight w:val="none"/>
                <w:lang w:val="en-US" w:eastAsia="zh-CN"/>
              </w:rPr>
            </w:pPr>
            <w:r>
              <w:rPr>
                <w:rFonts w:hint="eastAsia" w:ascii="宋体" w:hAnsi="宋体" w:eastAsia="宋体" w:cs="宋体"/>
                <w:b/>
                <w:bCs/>
                <w:color w:val="auto"/>
                <w:sz w:val="21"/>
                <w:szCs w:val="21"/>
                <w:highlight w:val="none"/>
                <w:lang w:val="en-US" w:eastAsia="zh-CN"/>
              </w:rPr>
              <w:t>（二）中泰语与英语视频配音与字幕制作</w:t>
            </w:r>
          </w:p>
          <w:p w14:paraId="3635DB5D">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left"/>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1、根据上述视频字幕文档翻译成英语</w:t>
            </w:r>
            <w:r>
              <w:rPr>
                <w:rFonts w:hint="eastAsia" w:ascii="宋体" w:hAnsi="宋体" w:cs="宋体"/>
                <w:color w:val="auto"/>
                <w:sz w:val="21"/>
                <w:szCs w:val="21"/>
                <w:highlight w:val="none"/>
                <w:lang w:val="en-US" w:eastAsia="zh-CN"/>
              </w:rPr>
              <w:t>和泰语</w:t>
            </w:r>
            <w:r>
              <w:rPr>
                <w:rFonts w:hint="eastAsia" w:ascii="宋体" w:hAnsi="宋体" w:eastAsia="宋体" w:cs="宋体"/>
                <w:color w:val="auto"/>
                <w:sz w:val="21"/>
                <w:szCs w:val="21"/>
                <w:highlight w:val="none"/>
                <w:lang w:val="en-US" w:eastAsia="zh-CN"/>
              </w:rPr>
              <w:t>文本，提供英语</w:t>
            </w:r>
            <w:r>
              <w:rPr>
                <w:rFonts w:hint="eastAsia" w:ascii="宋体" w:hAnsi="宋体" w:cs="宋体"/>
                <w:color w:val="auto"/>
                <w:sz w:val="21"/>
                <w:szCs w:val="21"/>
                <w:highlight w:val="none"/>
                <w:lang w:val="en-US" w:eastAsia="zh-CN"/>
              </w:rPr>
              <w:t>和泰语</w:t>
            </w:r>
            <w:r>
              <w:rPr>
                <w:rFonts w:hint="eastAsia" w:ascii="宋体" w:hAnsi="宋体" w:eastAsia="宋体" w:cs="宋体"/>
                <w:color w:val="auto"/>
                <w:sz w:val="21"/>
                <w:szCs w:val="21"/>
                <w:highlight w:val="none"/>
                <w:lang w:val="en-US" w:eastAsia="zh-CN"/>
              </w:rPr>
              <w:t>讲解配音，英语</w:t>
            </w:r>
            <w:r>
              <w:rPr>
                <w:rFonts w:hint="eastAsia" w:ascii="宋体" w:hAnsi="宋体" w:cs="宋体"/>
                <w:color w:val="auto"/>
                <w:sz w:val="21"/>
                <w:szCs w:val="21"/>
                <w:highlight w:val="none"/>
                <w:lang w:val="en-US" w:eastAsia="zh-CN"/>
              </w:rPr>
              <w:t>和泰语</w:t>
            </w:r>
            <w:r>
              <w:rPr>
                <w:rFonts w:hint="eastAsia" w:ascii="宋体" w:hAnsi="宋体" w:eastAsia="宋体" w:cs="宋体"/>
                <w:color w:val="auto"/>
                <w:sz w:val="21"/>
                <w:szCs w:val="21"/>
                <w:highlight w:val="none"/>
                <w:lang w:val="en-US" w:eastAsia="zh-CN"/>
              </w:rPr>
              <w:t>译员配音，配音要求译员发音标准、语速适中，配音要求基本能对应原视频的位置。</w:t>
            </w:r>
          </w:p>
          <w:p w14:paraId="5880F438">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left"/>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2、为上述提供的视频添加</w:t>
            </w:r>
            <w:r>
              <w:rPr>
                <w:rFonts w:hint="eastAsia" w:ascii="宋体" w:hAnsi="宋体" w:cs="宋体"/>
                <w:color w:val="auto"/>
                <w:sz w:val="21"/>
                <w:szCs w:val="21"/>
                <w:highlight w:val="none"/>
                <w:lang w:val="en-US" w:eastAsia="zh-CN"/>
              </w:rPr>
              <w:t>中英、中泰</w:t>
            </w:r>
            <w:r>
              <w:rPr>
                <w:rFonts w:hint="eastAsia" w:ascii="宋体" w:hAnsi="宋体" w:eastAsia="宋体" w:cs="宋体"/>
                <w:color w:val="auto"/>
                <w:sz w:val="21"/>
                <w:szCs w:val="21"/>
                <w:highlight w:val="none"/>
                <w:lang w:val="en-US" w:eastAsia="zh-CN"/>
              </w:rPr>
              <w:t>对照字幕、要使用符合国家标准的规范字，不出现繁体字、异体字(国家规定的除外)、错别字；字幕的字体、大小、色彩搭配、摆放位置、停留时间、出入屏方式力求与其他要素(画面、解说词、音乐)配合适当，不能破坏原有画面。</w:t>
            </w:r>
          </w:p>
          <w:p w14:paraId="59502754">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left"/>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3、图像质量要求：画面中无花帧，坏帧，夹帧，马赛克等；画面流畅，不卡顿，画面无模糊，重影、抖动等。图像画面清晰，觉察不到明显信号噪声，无与节目内容无关的跳动、闪动或马赛克等异常失真现象，图像的明暗层次应与节目内容相对应。</w:t>
            </w:r>
          </w:p>
          <w:p w14:paraId="2F863DB5">
            <w:pPr>
              <w:keepNext w:val="0"/>
              <w:keepLines w:val="0"/>
              <w:pageBreakBefore w:val="0"/>
              <w:widowControl w:val="0"/>
              <w:suppressLineNumbers w:val="0"/>
              <w:kinsoku/>
              <w:wordWrap/>
              <w:overflowPunct/>
              <w:topLinePunct w:val="0"/>
              <w:autoSpaceDE/>
              <w:autoSpaceDN/>
              <w:bidi w:val="0"/>
              <w:adjustRightInd/>
              <w:snapToGrid w:val="0"/>
              <w:spacing w:before="0" w:beforeAutospacing="0" w:after="0" w:afterAutospacing="0" w:line="400" w:lineRule="exact"/>
              <w:ind w:left="0" w:right="0" w:firstLine="420" w:firstLineChars="200"/>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val="en-US" w:eastAsia="zh-CN"/>
              </w:rPr>
              <w:t>4、声音要求：全片声音制作规范，避免出现立体声反相、音比不一、单声道等问题，全片声音比例合适，音乐不可压过解说声，片中的同期环境声需连续，不可以忽有忽无，忽大忽小，需平滑过渡。</w:t>
            </w:r>
          </w:p>
        </w:tc>
        <w:tc>
          <w:tcPr>
            <w:tcW w:w="1276" w:type="dxa"/>
            <w:tcBorders>
              <w:top w:val="single" w:color="000000" w:sz="8" w:space="0"/>
              <w:left w:val="single" w:color="000000" w:sz="6" w:space="0"/>
              <w:right w:val="single" w:color="000000" w:sz="8" w:space="0"/>
            </w:tcBorders>
            <w:vAlign w:val="center"/>
          </w:tcPr>
          <w:p w14:paraId="252AD857">
            <w:pPr>
              <w:keepNext w:val="0"/>
              <w:keepLines w:val="0"/>
              <w:pageBreakBefore w:val="0"/>
              <w:suppressLineNumbers w:val="0"/>
              <w:overflowPunct/>
              <w:topLinePunct w:val="0"/>
              <w:bidi w:val="0"/>
              <w:spacing w:before="0" w:beforeAutospacing="0" w:after="0" w:afterAutospacing="0" w:line="400" w:lineRule="exact"/>
              <w:ind w:left="0" w:right="0"/>
              <w:jc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val="en-US" w:eastAsia="zh-CN"/>
              </w:rPr>
              <w:t>90000.00</w:t>
            </w:r>
          </w:p>
        </w:tc>
      </w:tr>
      <w:tr w14:paraId="4D09D3F3">
        <w:tblPrEx>
          <w:tblBorders>
            <w:top w:val="single" w:color="000000" w:sz="8" w:space="0"/>
            <w:left w:val="single" w:color="000000" w:sz="8" w:space="0"/>
            <w:bottom w:val="single" w:color="000000" w:sz="8" w:space="0"/>
            <w:right w:val="single" w:color="000000" w:sz="8" w:space="0"/>
            <w:insideH w:val="single" w:color="000000" w:sz="6" w:space="0"/>
            <w:insideV w:val="single" w:color="000000" w:sz="6" w:space="0"/>
          </w:tblBorders>
          <w:tblCellMar>
            <w:top w:w="0" w:type="dxa"/>
            <w:left w:w="108" w:type="dxa"/>
            <w:bottom w:w="0" w:type="dxa"/>
            <w:right w:w="108" w:type="dxa"/>
          </w:tblCellMar>
        </w:tblPrEx>
        <w:trPr>
          <w:trHeight w:val="1065" w:hRule="atLeast"/>
          <w:jc w:val="center"/>
        </w:trPr>
        <w:tc>
          <w:tcPr>
            <w:tcW w:w="212" w:type="pct"/>
            <w:tcBorders>
              <w:top w:val="single" w:color="000000" w:sz="8" w:space="0"/>
              <w:left w:val="single" w:color="000000" w:sz="8" w:space="0"/>
              <w:bottom w:val="single" w:color="000000" w:sz="6" w:space="0"/>
              <w:right w:val="single" w:color="000000" w:sz="6" w:space="0"/>
            </w:tcBorders>
            <w:tcMar>
              <w:top w:w="0" w:type="dxa"/>
              <w:left w:w="0" w:type="dxa"/>
              <w:bottom w:w="0" w:type="dxa"/>
              <w:right w:w="0" w:type="dxa"/>
            </w:tcMar>
            <w:vAlign w:val="center"/>
          </w:tcPr>
          <w:p w14:paraId="5113BAA1">
            <w:pPr>
              <w:keepNext w:val="0"/>
              <w:keepLines w:val="0"/>
              <w:pageBreakBefore w:val="0"/>
              <w:suppressLineNumbers w:val="0"/>
              <w:overflowPunct/>
              <w:topLinePunct w:val="0"/>
              <w:bidi w:val="0"/>
              <w:snapToGrid w:val="0"/>
              <w:spacing w:before="0" w:beforeAutospacing="0" w:after="0" w:afterAutospacing="0" w:line="400" w:lineRule="exact"/>
              <w:ind w:left="0" w:right="0"/>
              <w:jc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val="en-US" w:eastAsia="zh-CN"/>
              </w:rPr>
              <w:t>5</w:t>
            </w:r>
          </w:p>
        </w:tc>
        <w:tc>
          <w:tcPr>
            <w:tcW w:w="674" w:type="pct"/>
            <w:tcBorders>
              <w:top w:val="single" w:color="000000" w:sz="8" w:space="0"/>
              <w:left w:val="single" w:color="000000" w:sz="6" w:space="0"/>
              <w:bottom w:val="single" w:color="000000" w:sz="6" w:space="0"/>
              <w:right w:val="single" w:color="000000" w:sz="6" w:space="0"/>
            </w:tcBorders>
            <w:vAlign w:val="center"/>
          </w:tcPr>
          <w:p w14:paraId="534A2AB7">
            <w:pPr>
              <w:keepNext w:val="0"/>
              <w:keepLines w:val="0"/>
              <w:pageBreakBefore w:val="0"/>
              <w:suppressLineNumbers w:val="0"/>
              <w:overflowPunct/>
              <w:topLinePunct w:val="0"/>
              <w:bidi w:val="0"/>
              <w:spacing w:before="0" w:beforeAutospacing="0" w:after="0" w:afterAutospacing="0" w:line="400" w:lineRule="exact"/>
              <w:ind w:left="0" w:right="0"/>
              <w:jc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val="en-US" w:eastAsia="zh-CN"/>
              </w:rPr>
              <w:t>二维思政动画资源</w:t>
            </w:r>
          </w:p>
        </w:tc>
        <w:tc>
          <w:tcPr>
            <w:tcW w:w="324" w:type="pct"/>
            <w:tcBorders>
              <w:top w:val="single" w:color="000000" w:sz="8" w:space="0"/>
              <w:left w:val="single" w:color="000000" w:sz="6" w:space="0"/>
              <w:bottom w:val="single" w:color="000000" w:sz="6" w:space="0"/>
              <w:right w:val="single" w:color="000000" w:sz="6" w:space="0"/>
            </w:tcBorders>
            <w:vAlign w:val="center"/>
          </w:tcPr>
          <w:p w14:paraId="77926B88">
            <w:pPr>
              <w:keepNext w:val="0"/>
              <w:keepLines w:val="0"/>
              <w:pageBreakBefore w:val="0"/>
              <w:suppressLineNumbers w:val="0"/>
              <w:overflowPunct/>
              <w:topLinePunct w:val="0"/>
              <w:bidi w:val="0"/>
              <w:spacing w:before="0" w:beforeAutospacing="0" w:after="0" w:afterAutospacing="0" w:line="400" w:lineRule="exact"/>
              <w:ind w:left="0" w:right="0"/>
              <w:jc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1项</w:t>
            </w:r>
          </w:p>
        </w:tc>
        <w:tc>
          <w:tcPr>
            <w:tcW w:w="413" w:type="pct"/>
            <w:tcBorders>
              <w:top w:val="single" w:color="000000" w:sz="8" w:space="0"/>
              <w:left w:val="single" w:color="000000" w:sz="6" w:space="0"/>
              <w:bottom w:val="single" w:color="000000" w:sz="6" w:space="0"/>
              <w:right w:val="single" w:color="000000" w:sz="6" w:space="0"/>
            </w:tcBorders>
            <w:vAlign w:val="center"/>
          </w:tcPr>
          <w:p w14:paraId="36F0A7AC">
            <w:pPr>
              <w:keepNext w:val="0"/>
              <w:keepLines w:val="0"/>
              <w:pageBreakBefore w:val="0"/>
              <w:suppressLineNumbers w:val="0"/>
              <w:overflowPunct/>
              <w:topLinePunct w:val="0"/>
              <w:bidi w:val="0"/>
              <w:snapToGrid w:val="0"/>
              <w:spacing w:before="0" w:beforeAutospacing="0" w:after="0" w:afterAutospacing="0" w:line="400" w:lineRule="exact"/>
              <w:ind w:left="0" w:right="0"/>
              <w:jc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软件和信息技术服务业</w:t>
            </w:r>
          </w:p>
        </w:tc>
        <w:tc>
          <w:tcPr>
            <w:tcW w:w="2724" w:type="pct"/>
            <w:tcBorders>
              <w:top w:val="single" w:color="000000" w:sz="8" w:space="0"/>
              <w:left w:val="single" w:color="000000" w:sz="6" w:space="0"/>
              <w:bottom w:val="single" w:color="000000" w:sz="6" w:space="0"/>
              <w:right w:val="single" w:color="000000" w:sz="6" w:space="0"/>
            </w:tcBorders>
          </w:tcPr>
          <w:p w14:paraId="0427C335">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2" w:firstLineChars="200"/>
              <w:jc w:val="left"/>
              <w:textAlignment w:val="auto"/>
              <w:rPr>
                <w:rFonts w:hint="eastAsia" w:ascii="宋体" w:hAnsi="宋体" w:eastAsia="宋体" w:cs="宋体"/>
                <w:b/>
                <w:bCs/>
                <w:color w:val="auto"/>
                <w:sz w:val="21"/>
                <w:szCs w:val="21"/>
                <w:highlight w:val="none"/>
                <w:lang w:val="en-US" w:eastAsia="zh-CN"/>
              </w:rPr>
            </w:pPr>
            <w:r>
              <w:rPr>
                <w:rFonts w:hint="eastAsia" w:ascii="宋体" w:hAnsi="宋体" w:eastAsia="宋体" w:cs="宋体"/>
                <w:b/>
                <w:bCs/>
                <w:color w:val="auto"/>
                <w:sz w:val="21"/>
                <w:szCs w:val="21"/>
                <w:highlight w:val="none"/>
                <w:lang w:val="en-US" w:eastAsia="zh-CN"/>
              </w:rPr>
              <w:t>一、建设内容</w:t>
            </w:r>
          </w:p>
          <w:p w14:paraId="4C12D0C1">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left"/>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二维思政动画建设不少于30分钟，每个1-3分钟</w:t>
            </w:r>
          </w:p>
          <w:p w14:paraId="3D7D960B">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2" w:firstLineChars="200"/>
              <w:jc w:val="left"/>
              <w:textAlignment w:val="auto"/>
              <w:rPr>
                <w:rFonts w:hint="eastAsia" w:ascii="宋体" w:hAnsi="宋体" w:eastAsia="宋体" w:cs="宋体"/>
                <w:b/>
                <w:bCs/>
                <w:color w:val="auto"/>
                <w:sz w:val="21"/>
                <w:szCs w:val="21"/>
                <w:highlight w:val="none"/>
                <w:lang w:val="en-US" w:eastAsia="zh-CN"/>
              </w:rPr>
            </w:pPr>
            <w:r>
              <w:rPr>
                <w:rFonts w:hint="eastAsia" w:ascii="宋体" w:hAnsi="宋体" w:eastAsia="宋体" w:cs="宋体"/>
                <w:b/>
                <w:bCs/>
                <w:color w:val="auto"/>
                <w:sz w:val="21"/>
                <w:szCs w:val="21"/>
                <w:highlight w:val="none"/>
                <w:lang w:val="en-US" w:eastAsia="zh-CN"/>
              </w:rPr>
              <w:t>二、参数制作</w:t>
            </w:r>
          </w:p>
          <w:p w14:paraId="7977F160">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left"/>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根据课程内容及采购方需求设计FLASH动画、原理型动画、MG动画等二维动画。</w:t>
            </w:r>
          </w:p>
          <w:p w14:paraId="4E3FBDAE">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left"/>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（1）具有较强的教学性。</w:t>
            </w:r>
          </w:p>
          <w:p w14:paraId="0FCFDEDE">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left"/>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（2）通过动画形式，以风趣、幽默的手法直观地展示课程知识，更能吸引观看者的注意力。</w:t>
            </w:r>
          </w:p>
          <w:p w14:paraId="25C35E72">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left"/>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（3）动画较为通俗易懂，让学生更容易去理解和加深对课程知识的印象。</w:t>
            </w:r>
          </w:p>
          <w:p w14:paraId="7F162C29">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left"/>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（4）必须是原创作品。</w:t>
            </w:r>
          </w:p>
          <w:p w14:paraId="406DDD55">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left"/>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（5）结合课程知识特点，制作二维动画。</w:t>
            </w:r>
          </w:p>
          <w:p w14:paraId="65426D92">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left"/>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（6）脚本通过精心设计，达到重点突出、思路清晰，内容风趣、幽默。</w:t>
            </w:r>
          </w:p>
          <w:p w14:paraId="7B595D0C">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left"/>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（7）音效与主题风格一致，具有艺术表现力。</w:t>
            </w:r>
          </w:p>
          <w:p w14:paraId="0120452F">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left"/>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（8）动画内容中用到的位图，必须画面清晰，不能有图像过于模糊等现象出现（特效除外）。</w:t>
            </w:r>
          </w:p>
          <w:p w14:paraId="559D7DE0">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left"/>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（9）画面播放流畅，播放时间符合制作要求。</w:t>
            </w:r>
          </w:p>
          <w:p w14:paraId="3E2B312D">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left"/>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val="en-US" w:eastAsia="zh-CN"/>
              </w:rPr>
              <w:t>（10）成品色彩体系要符合样片标准，成品形象不能出现跑形、景深、跳帧及光影上的错误。</w:t>
            </w:r>
          </w:p>
        </w:tc>
        <w:tc>
          <w:tcPr>
            <w:tcW w:w="1276" w:type="dxa"/>
            <w:tcBorders>
              <w:top w:val="single" w:color="000000" w:sz="8" w:space="0"/>
              <w:left w:val="single" w:color="000000" w:sz="6" w:space="0"/>
              <w:right w:val="single" w:color="000000" w:sz="8" w:space="0"/>
            </w:tcBorders>
            <w:vAlign w:val="center"/>
          </w:tcPr>
          <w:p w14:paraId="5E568843">
            <w:pPr>
              <w:keepNext w:val="0"/>
              <w:keepLines w:val="0"/>
              <w:pageBreakBefore w:val="0"/>
              <w:suppressLineNumbers w:val="0"/>
              <w:overflowPunct/>
              <w:topLinePunct w:val="0"/>
              <w:bidi w:val="0"/>
              <w:spacing w:before="0" w:beforeAutospacing="0" w:after="0" w:afterAutospacing="0" w:line="400" w:lineRule="exact"/>
              <w:ind w:left="0" w:right="0"/>
              <w:jc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val="en-US" w:eastAsia="zh-CN"/>
              </w:rPr>
              <w:t>90000</w:t>
            </w:r>
            <w:r>
              <w:rPr>
                <w:rFonts w:hint="eastAsia" w:ascii="宋体" w:hAnsi="宋体" w:eastAsia="宋体" w:cs="宋体"/>
                <w:color w:val="auto"/>
                <w:sz w:val="21"/>
                <w:szCs w:val="21"/>
                <w:highlight w:val="none"/>
              </w:rPr>
              <w:t>.00</w:t>
            </w:r>
          </w:p>
        </w:tc>
      </w:tr>
      <w:tr w14:paraId="6CB716EE">
        <w:tblPrEx>
          <w:tblBorders>
            <w:top w:val="single" w:color="000000" w:sz="8" w:space="0"/>
            <w:left w:val="single" w:color="000000" w:sz="8" w:space="0"/>
            <w:bottom w:val="single" w:color="000000" w:sz="8" w:space="0"/>
            <w:right w:val="single" w:color="000000" w:sz="8" w:space="0"/>
            <w:insideH w:val="single" w:color="000000" w:sz="6" w:space="0"/>
            <w:insideV w:val="single" w:color="000000" w:sz="6" w:space="0"/>
          </w:tblBorders>
          <w:tblCellMar>
            <w:top w:w="0" w:type="dxa"/>
            <w:left w:w="108" w:type="dxa"/>
            <w:bottom w:w="0" w:type="dxa"/>
            <w:right w:w="108" w:type="dxa"/>
          </w:tblCellMar>
        </w:tblPrEx>
        <w:trPr>
          <w:trHeight w:val="606" w:hRule="atLeast"/>
          <w:jc w:val="center"/>
        </w:trPr>
        <w:tc>
          <w:tcPr>
            <w:tcW w:w="212" w:type="pct"/>
            <w:tcBorders>
              <w:top w:val="single" w:color="000000" w:sz="8" w:space="0"/>
              <w:left w:val="single" w:color="000000" w:sz="8" w:space="0"/>
              <w:bottom w:val="single" w:color="000000" w:sz="6" w:space="0"/>
              <w:right w:val="single" w:color="000000" w:sz="6" w:space="0"/>
            </w:tcBorders>
            <w:tcMar>
              <w:top w:w="0" w:type="dxa"/>
              <w:left w:w="0" w:type="dxa"/>
              <w:bottom w:w="0" w:type="dxa"/>
              <w:right w:w="0" w:type="dxa"/>
            </w:tcMar>
            <w:vAlign w:val="center"/>
          </w:tcPr>
          <w:p w14:paraId="3191CE5F">
            <w:pPr>
              <w:keepNext w:val="0"/>
              <w:keepLines w:val="0"/>
              <w:pageBreakBefore w:val="0"/>
              <w:suppressLineNumbers w:val="0"/>
              <w:overflowPunct/>
              <w:topLinePunct w:val="0"/>
              <w:bidi w:val="0"/>
              <w:snapToGrid w:val="0"/>
              <w:spacing w:before="0" w:beforeAutospacing="0" w:after="0" w:afterAutospacing="0" w:line="400" w:lineRule="exact"/>
              <w:ind w:left="0" w:right="0"/>
              <w:jc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val="en-US" w:eastAsia="zh-CN"/>
              </w:rPr>
              <w:t>6</w:t>
            </w:r>
          </w:p>
        </w:tc>
        <w:tc>
          <w:tcPr>
            <w:tcW w:w="674" w:type="pct"/>
            <w:tcBorders>
              <w:top w:val="single" w:color="000000" w:sz="8" w:space="0"/>
              <w:left w:val="single" w:color="000000" w:sz="6" w:space="0"/>
              <w:bottom w:val="single" w:color="000000" w:sz="6" w:space="0"/>
              <w:right w:val="single" w:color="000000" w:sz="6" w:space="0"/>
            </w:tcBorders>
            <w:vAlign w:val="center"/>
          </w:tcPr>
          <w:p w14:paraId="0698BE85">
            <w:pPr>
              <w:keepNext w:val="0"/>
              <w:keepLines w:val="0"/>
              <w:pageBreakBefore w:val="0"/>
              <w:suppressLineNumbers w:val="0"/>
              <w:overflowPunct/>
              <w:topLinePunct w:val="0"/>
              <w:bidi w:val="0"/>
              <w:spacing w:before="0" w:beforeAutospacing="0" w:after="0" w:afterAutospacing="0" w:line="400" w:lineRule="exact"/>
              <w:ind w:left="0" w:right="0"/>
              <w:jc w:val="center"/>
              <w:rPr>
                <w:rFonts w:hint="eastAsia" w:ascii="宋体" w:hAnsi="宋体" w:eastAsia="宋体" w:cs="宋体"/>
                <w:color w:val="auto"/>
                <w:sz w:val="21"/>
                <w:szCs w:val="21"/>
                <w:highlight w:val="none"/>
              </w:rPr>
            </w:pPr>
            <w:r>
              <w:rPr>
                <w:rFonts w:hint="eastAsia" w:ascii="宋体" w:hAnsi="宋体" w:eastAsia="宋体" w:cs="宋体"/>
                <w:b w:val="0"/>
                <w:bCs w:val="0"/>
                <w:color w:val="auto"/>
                <w:sz w:val="21"/>
                <w:szCs w:val="21"/>
                <w:highlight w:val="none"/>
                <w:lang w:val="en-US" w:eastAsia="zh-CN"/>
              </w:rPr>
              <w:t>教师混合式教学比赛拍摄及专家指导</w:t>
            </w:r>
          </w:p>
        </w:tc>
        <w:tc>
          <w:tcPr>
            <w:tcW w:w="324" w:type="pct"/>
            <w:tcBorders>
              <w:top w:val="single" w:color="000000" w:sz="8" w:space="0"/>
              <w:left w:val="single" w:color="000000" w:sz="6" w:space="0"/>
              <w:bottom w:val="single" w:color="000000" w:sz="6" w:space="0"/>
              <w:right w:val="single" w:color="000000" w:sz="6" w:space="0"/>
            </w:tcBorders>
            <w:vAlign w:val="center"/>
          </w:tcPr>
          <w:p w14:paraId="48B7D462">
            <w:pPr>
              <w:keepNext w:val="0"/>
              <w:keepLines w:val="0"/>
              <w:pageBreakBefore w:val="0"/>
              <w:suppressLineNumbers w:val="0"/>
              <w:overflowPunct/>
              <w:topLinePunct w:val="0"/>
              <w:bidi w:val="0"/>
              <w:spacing w:before="0" w:beforeAutospacing="0" w:after="0" w:afterAutospacing="0" w:line="400" w:lineRule="exact"/>
              <w:ind w:left="0" w:right="0"/>
              <w:jc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1项</w:t>
            </w:r>
          </w:p>
        </w:tc>
        <w:tc>
          <w:tcPr>
            <w:tcW w:w="413" w:type="pct"/>
            <w:tcBorders>
              <w:top w:val="single" w:color="000000" w:sz="8" w:space="0"/>
              <w:left w:val="single" w:color="000000" w:sz="6" w:space="0"/>
              <w:bottom w:val="single" w:color="000000" w:sz="6" w:space="0"/>
              <w:right w:val="single" w:color="000000" w:sz="6" w:space="0"/>
            </w:tcBorders>
            <w:vAlign w:val="center"/>
          </w:tcPr>
          <w:p w14:paraId="17F75E5F">
            <w:pPr>
              <w:keepNext w:val="0"/>
              <w:keepLines w:val="0"/>
              <w:pageBreakBefore w:val="0"/>
              <w:suppressLineNumbers w:val="0"/>
              <w:overflowPunct/>
              <w:topLinePunct w:val="0"/>
              <w:bidi w:val="0"/>
              <w:snapToGrid w:val="0"/>
              <w:spacing w:before="0" w:beforeAutospacing="0" w:after="0" w:afterAutospacing="0" w:line="400" w:lineRule="exact"/>
              <w:ind w:left="0" w:right="0"/>
              <w:jc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租赁和商务服务业</w:t>
            </w:r>
          </w:p>
        </w:tc>
        <w:tc>
          <w:tcPr>
            <w:tcW w:w="2724" w:type="pct"/>
            <w:tcBorders>
              <w:top w:val="single" w:color="000000" w:sz="8" w:space="0"/>
              <w:left w:val="single" w:color="000000" w:sz="6" w:space="0"/>
              <w:bottom w:val="single" w:color="000000" w:sz="6" w:space="0"/>
              <w:right w:val="single" w:color="000000" w:sz="6" w:space="0"/>
            </w:tcBorders>
          </w:tcPr>
          <w:p w14:paraId="3E037316">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2" w:firstLineChars="200"/>
              <w:jc w:val="left"/>
              <w:textAlignment w:val="auto"/>
              <w:rPr>
                <w:rFonts w:hint="eastAsia" w:ascii="宋体" w:hAnsi="宋体" w:eastAsia="宋体" w:cs="宋体"/>
                <w:b/>
                <w:bCs/>
                <w:color w:val="auto"/>
                <w:sz w:val="21"/>
                <w:szCs w:val="21"/>
                <w:highlight w:val="none"/>
                <w:lang w:val="en-US" w:eastAsia="zh-CN"/>
              </w:rPr>
            </w:pPr>
            <w:r>
              <w:rPr>
                <w:rFonts w:hint="eastAsia" w:ascii="宋体" w:hAnsi="宋体" w:eastAsia="宋体" w:cs="宋体"/>
                <w:b/>
                <w:bCs/>
                <w:color w:val="auto"/>
                <w:sz w:val="21"/>
                <w:szCs w:val="21"/>
                <w:highlight w:val="none"/>
                <w:lang w:val="en-US" w:eastAsia="zh-CN"/>
              </w:rPr>
              <w:t>一、建设内容</w:t>
            </w:r>
          </w:p>
          <w:p w14:paraId="477C328B">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left"/>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1、拍摄一组符合2026年广西区级、南宁市级混合式教学比赛的参赛视频。</w:t>
            </w:r>
          </w:p>
          <w:p w14:paraId="133B0C8B">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left"/>
              <w:textAlignment w:val="auto"/>
              <w:rPr>
                <w:rFonts w:hint="eastAsia" w:ascii="宋体" w:hAnsi="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2、为本校参赛教师团队提供</w:t>
            </w:r>
            <w:r>
              <w:rPr>
                <w:rFonts w:hint="eastAsia" w:ascii="宋体" w:hAnsi="宋体" w:eastAsia="宋体" w:cs="宋体"/>
                <w:color w:val="auto"/>
                <w:sz w:val="21"/>
                <w:szCs w:val="21"/>
                <w:highlight w:val="none"/>
                <w:lang w:eastAsia="zh-CN"/>
              </w:rPr>
              <w:t>两</w:t>
            </w:r>
            <w:r>
              <w:rPr>
                <w:rFonts w:hint="eastAsia" w:ascii="宋体" w:hAnsi="宋体" w:eastAsia="宋体" w:cs="宋体"/>
                <w:color w:val="auto"/>
                <w:sz w:val="21"/>
                <w:szCs w:val="21"/>
                <w:highlight w:val="none"/>
                <w:lang w:val="en-US" w:eastAsia="zh-CN"/>
              </w:rPr>
              <w:t>名专家指导服务</w:t>
            </w:r>
            <w:r>
              <w:rPr>
                <w:rFonts w:hint="eastAsia" w:ascii="宋体" w:hAnsi="宋体" w:cs="宋体"/>
                <w:color w:val="auto"/>
                <w:sz w:val="21"/>
                <w:szCs w:val="21"/>
                <w:highlight w:val="none"/>
                <w:lang w:val="en-US" w:eastAsia="zh-CN"/>
              </w:rPr>
              <w:t>。</w:t>
            </w:r>
          </w:p>
          <w:p w14:paraId="053ABDFB">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2" w:firstLineChars="200"/>
              <w:jc w:val="left"/>
              <w:textAlignment w:val="auto"/>
              <w:rPr>
                <w:rFonts w:hint="eastAsia" w:ascii="宋体" w:hAnsi="宋体" w:eastAsia="宋体" w:cs="宋体"/>
                <w:b/>
                <w:bCs/>
                <w:color w:val="auto"/>
                <w:sz w:val="21"/>
                <w:szCs w:val="21"/>
                <w:highlight w:val="none"/>
                <w:lang w:val="en-US" w:eastAsia="zh-CN"/>
              </w:rPr>
            </w:pPr>
            <w:r>
              <w:rPr>
                <w:rFonts w:hint="eastAsia" w:ascii="宋体" w:hAnsi="宋体" w:eastAsia="宋体" w:cs="宋体"/>
                <w:b/>
                <w:bCs/>
                <w:color w:val="auto"/>
                <w:sz w:val="21"/>
                <w:szCs w:val="21"/>
                <w:highlight w:val="none"/>
                <w:lang w:val="en-US" w:eastAsia="zh-CN"/>
              </w:rPr>
              <w:t>二、建设内容的具体参数</w:t>
            </w:r>
          </w:p>
          <w:p w14:paraId="3BB48048">
            <w:pPr>
              <w:pStyle w:val="2"/>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leftChars="0" w:right="0" w:firstLine="406" w:firstLineChars="200"/>
              <w:textAlignment w:val="auto"/>
              <w:rPr>
                <w:rFonts w:hint="eastAsia" w:ascii="宋体" w:hAnsi="宋体" w:eastAsia="宋体" w:cs="宋体"/>
                <w:b/>
                <w:bCs/>
                <w:color w:val="auto"/>
                <w:sz w:val="21"/>
                <w:szCs w:val="21"/>
                <w:highlight w:val="none"/>
                <w:lang w:val="en-US" w:eastAsia="zh-CN"/>
              </w:rPr>
            </w:pPr>
            <w:r>
              <w:rPr>
                <w:rFonts w:hint="eastAsia" w:ascii="宋体" w:hAnsi="宋体" w:eastAsia="宋体" w:cs="宋体"/>
                <w:b/>
                <w:bCs/>
                <w:color w:val="auto"/>
                <w:sz w:val="21"/>
                <w:szCs w:val="21"/>
                <w:highlight w:val="none"/>
                <w:lang w:val="en-US" w:eastAsia="zh-CN"/>
              </w:rPr>
              <w:t>（一）混合式教学</w:t>
            </w:r>
          </w:p>
          <w:p w14:paraId="1DAF221B">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left"/>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1、教学团队从所撰写的教案中自行选取3个教学片段，录制3段课堂实录视频，每位团队成员均须进行课堂实录，应在实际教学(含顶岗实习)场所拍摄，参与教学的应是授课班级的全体学生(按照课程标准、教学实际等情况设计实施分班教学的需有专门说明)。课堂实录视频每段时长8-12分钟，总时长控制在24-36分钟，每段视频可自行选择教学场景，应分别完整、清晰地呈现线上线下教学特质鲜明、反映团队成员教学风格的教学活动实况。</w:t>
            </w:r>
          </w:p>
          <w:p w14:paraId="1AC67F06">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jc w:val="left"/>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2、视频录制采用H.264/AVC编码格式压缩，动态比特率（码流）不低于1024Kbps，分辨率设定为1280×720，采用逐行扫描，帧速率为25帧/秒。音频采用AAC格式压缩，采样率48</w:t>
            </w:r>
            <w:r>
              <w:rPr>
                <w:rFonts w:hint="eastAsia" w:ascii="宋体" w:hAnsi="宋体" w:eastAsia="宋体" w:cs="宋体"/>
                <w:color w:val="auto"/>
                <w:sz w:val="21"/>
                <w:szCs w:val="21"/>
                <w:highlight w:val="none"/>
              </w:rPr>
              <w:t>k</w:t>
            </w:r>
            <w:r>
              <w:rPr>
                <w:rFonts w:hint="eastAsia" w:ascii="宋体" w:hAnsi="宋体" w:eastAsia="宋体" w:cs="宋体"/>
                <w:color w:val="auto"/>
                <w:sz w:val="21"/>
                <w:szCs w:val="21"/>
                <w:highlight w:val="none"/>
                <w:lang w:val="en-US" w:eastAsia="zh-CN"/>
              </w:rPr>
              <w:t>Hz，比特率（码流）128Kbps(恒定)。</w:t>
            </w:r>
          </w:p>
          <w:p w14:paraId="0FDFCA11">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2" w:firstLineChars="200"/>
              <w:jc w:val="left"/>
              <w:textAlignment w:val="auto"/>
              <w:rPr>
                <w:rFonts w:hint="eastAsia" w:ascii="宋体" w:hAnsi="宋体" w:eastAsia="宋体" w:cs="宋体"/>
                <w:b/>
                <w:bCs/>
                <w:color w:val="auto"/>
                <w:sz w:val="21"/>
                <w:szCs w:val="21"/>
                <w:highlight w:val="none"/>
                <w:lang w:val="en-US" w:eastAsia="zh-CN"/>
              </w:rPr>
            </w:pPr>
            <w:r>
              <w:rPr>
                <w:rFonts w:hint="eastAsia" w:ascii="宋体" w:hAnsi="宋体" w:eastAsia="宋体" w:cs="宋体"/>
                <w:b/>
                <w:bCs/>
                <w:color w:val="auto"/>
                <w:sz w:val="21"/>
                <w:szCs w:val="21"/>
                <w:highlight w:val="none"/>
                <w:lang w:val="en-US" w:eastAsia="zh-CN"/>
              </w:rPr>
              <w:t>（</w:t>
            </w:r>
            <w:r>
              <w:rPr>
                <w:rFonts w:hint="eastAsia" w:ascii="宋体" w:hAnsi="宋体" w:cs="宋体"/>
                <w:b/>
                <w:bCs/>
                <w:color w:val="auto"/>
                <w:sz w:val="21"/>
                <w:szCs w:val="21"/>
                <w:highlight w:val="none"/>
                <w:lang w:val="en-US" w:eastAsia="zh-CN"/>
              </w:rPr>
              <w:t>二</w:t>
            </w:r>
            <w:r>
              <w:rPr>
                <w:rFonts w:hint="eastAsia" w:ascii="宋体" w:hAnsi="宋体" w:eastAsia="宋体" w:cs="宋体"/>
                <w:b/>
                <w:bCs/>
                <w:color w:val="auto"/>
                <w:sz w:val="21"/>
                <w:szCs w:val="21"/>
                <w:highlight w:val="none"/>
                <w:lang w:val="en-US" w:eastAsia="zh-CN"/>
              </w:rPr>
              <w:t>）专家指导</w:t>
            </w:r>
          </w:p>
          <w:p w14:paraId="7900436D">
            <w:pPr>
              <w:keepNext w:val="0"/>
              <w:keepLines w:val="0"/>
              <w:pageBreakBefore w:val="0"/>
              <w:widowControl w:val="0"/>
              <w:suppressLineNumbers w:val="0"/>
              <w:kinsoku/>
              <w:wordWrap/>
              <w:overflowPunct/>
              <w:topLinePunct w:val="0"/>
              <w:autoSpaceDE/>
              <w:autoSpaceDN/>
              <w:bidi w:val="0"/>
              <w:adjustRightInd/>
              <w:snapToGrid w:val="0"/>
              <w:spacing w:before="0" w:beforeAutospacing="0" w:after="0" w:afterAutospacing="0" w:line="400" w:lineRule="exact"/>
              <w:ind w:left="0" w:right="0" w:firstLine="420" w:firstLineChars="200"/>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val="en-US" w:eastAsia="zh-CN"/>
              </w:rPr>
              <w:t>专家资质须具</w:t>
            </w:r>
            <w:r>
              <w:rPr>
                <w:rFonts w:hint="eastAsia" w:ascii="宋体" w:hAnsi="宋体" w:cs="宋体"/>
                <w:color w:val="auto"/>
                <w:sz w:val="21"/>
                <w:szCs w:val="21"/>
                <w:highlight w:val="none"/>
                <w:lang w:val="en-US" w:eastAsia="zh-CN"/>
              </w:rPr>
              <w:t>备高级</w:t>
            </w:r>
            <w:r>
              <w:rPr>
                <w:rFonts w:hint="eastAsia" w:ascii="宋体" w:hAnsi="宋体" w:eastAsia="宋体" w:cs="宋体"/>
                <w:color w:val="auto"/>
                <w:sz w:val="21"/>
                <w:szCs w:val="21"/>
                <w:highlight w:val="none"/>
                <w:lang w:val="en-US" w:eastAsia="zh-CN"/>
              </w:rPr>
              <w:t>职称，担任过省级及以上教师教学能力比赛评委，拥有指导团队获</w:t>
            </w:r>
            <w:r>
              <w:rPr>
                <w:rFonts w:hint="eastAsia"/>
                <w:color w:val="auto"/>
                <w:highlight w:val="none"/>
                <w:lang w:eastAsia="zh-CN"/>
              </w:rPr>
              <w:t>教育或人社行政主管部门</w:t>
            </w:r>
            <w:r>
              <w:rPr>
                <w:rFonts w:hint="eastAsia" w:ascii="宋体" w:hAnsi="宋体" w:cs="宋体"/>
                <w:color w:val="auto"/>
                <w:sz w:val="21"/>
                <w:szCs w:val="21"/>
                <w:highlight w:val="none"/>
                <w:lang w:val="en-US" w:eastAsia="zh-CN"/>
              </w:rPr>
              <w:t>举办的教师教学能力类型的比赛</w:t>
            </w:r>
            <w:r>
              <w:rPr>
                <w:rFonts w:hint="eastAsia" w:ascii="宋体" w:hAnsi="宋体" w:eastAsia="宋体" w:cs="宋体"/>
                <w:color w:val="auto"/>
                <w:sz w:val="21"/>
                <w:szCs w:val="21"/>
                <w:highlight w:val="none"/>
                <w:lang w:val="en-US" w:eastAsia="zh-CN"/>
              </w:rPr>
              <w:t>省级一等奖及以上经验，熟悉广西本地赛制、评分细则与材料提交规范。</w:t>
            </w:r>
          </w:p>
        </w:tc>
        <w:tc>
          <w:tcPr>
            <w:tcW w:w="1276" w:type="dxa"/>
            <w:tcBorders>
              <w:top w:val="single" w:color="000000" w:sz="8" w:space="0"/>
              <w:left w:val="single" w:color="000000" w:sz="6" w:space="0"/>
              <w:right w:val="single" w:color="000000" w:sz="8" w:space="0"/>
            </w:tcBorders>
            <w:vAlign w:val="center"/>
          </w:tcPr>
          <w:p w14:paraId="37A8886A">
            <w:pPr>
              <w:keepNext w:val="0"/>
              <w:keepLines w:val="0"/>
              <w:pageBreakBefore w:val="0"/>
              <w:suppressLineNumbers w:val="0"/>
              <w:overflowPunct/>
              <w:topLinePunct w:val="0"/>
              <w:bidi w:val="0"/>
              <w:spacing w:before="0" w:beforeAutospacing="0" w:after="0" w:afterAutospacing="0" w:line="400" w:lineRule="exact"/>
              <w:ind w:left="0" w:right="0"/>
              <w:jc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val="en-US" w:eastAsia="zh-CN"/>
              </w:rPr>
              <w:t>50000</w:t>
            </w:r>
            <w:r>
              <w:rPr>
                <w:rFonts w:hint="eastAsia" w:ascii="宋体" w:hAnsi="宋体" w:eastAsia="宋体" w:cs="宋体"/>
                <w:color w:val="auto"/>
                <w:sz w:val="21"/>
                <w:szCs w:val="21"/>
                <w:highlight w:val="none"/>
              </w:rPr>
              <w:t>.00</w:t>
            </w:r>
          </w:p>
        </w:tc>
      </w:tr>
      <w:tr w14:paraId="513389C7">
        <w:tblPrEx>
          <w:tblBorders>
            <w:top w:val="single" w:color="000000" w:sz="8" w:space="0"/>
            <w:left w:val="single" w:color="000000" w:sz="8" w:space="0"/>
            <w:bottom w:val="single" w:color="000000" w:sz="8" w:space="0"/>
            <w:right w:val="single" w:color="000000" w:sz="8" w:space="0"/>
            <w:insideH w:val="single" w:color="000000" w:sz="6" w:space="0"/>
            <w:insideV w:val="single" w:color="000000" w:sz="6" w:space="0"/>
          </w:tblBorders>
          <w:tblCellMar>
            <w:top w:w="0" w:type="dxa"/>
            <w:left w:w="108" w:type="dxa"/>
            <w:bottom w:w="0" w:type="dxa"/>
            <w:right w:w="108" w:type="dxa"/>
          </w:tblCellMar>
        </w:tblPrEx>
        <w:trPr>
          <w:trHeight w:val="90" w:hRule="atLeast"/>
          <w:jc w:val="center"/>
        </w:trPr>
        <w:tc>
          <w:tcPr>
            <w:tcW w:w="212" w:type="pct"/>
            <w:tcBorders>
              <w:top w:val="single" w:color="000000" w:sz="8" w:space="0"/>
              <w:left w:val="single" w:color="000000" w:sz="8" w:space="0"/>
              <w:bottom w:val="single" w:color="000000" w:sz="6" w:space="0"/>
              <w:right w:val="single" w:color="000000" w:sz="6" w:space="0"/>
            </w:tcBorders>
            <w:tcMar>
              <w:top w:w="0" w:type="dxa"/>
              <w:left w:w="0" w:type="dxa"/>
              <w:bottom w:w="0" w:type="dxa"/>
              <w:right w:w="0" w:type="dxa"/>
            </w:tcMar>
            <w:vAlign w:val="center"/>
          </w:tcPr>
          <w:p w14:paraId="220E320A">
            <w:pPr>
              <w:keepNext w:val="0"/>
              <w:keepLines w:val="0"/>
              <w:pageBreakBefore w:val="0"/>
              <w:suppressLineNumbers w:val="0"/>
              <w:overflowPunct/>
              <w:topLinePunct w:val="0"/>
              <w:bidi w:val="0"/>
              <w:snapToGrid w:val="0"/>
              <w:spacing w:before="0" w:beforeAutospacing="0" w:after="0" w:afterAutospacing="0" w:line="400" w:lineRule="exact"/>
              <w:ind w:left="0" w:right="0"/>
              <w:jc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val="en-US" w:eastAsia="zh-CN"/>
              </w:rPr>
              <w:t>7</w:t>
            </w:r>
          </w:p>
        </w:tc>
        <w:tc>
          <w:tcPr>
            <w:tcW w:w="674" w:type="pct"/>
            <w:tcBorders>
              <w:top w:val="single" w:color="000000" w:sz="8" w:space="0"/>
              <w:left w:val="single" w:color="000000" w:sz="6" w:space="0"/>
              <w:bottom w:val="single" w:color="000000" w:sz="6" w:space="0"/>
              <w:right w:val="single" w:color="000000" w:sz="6" w:space="0"/>
            </w:tcBorders>
            <w:vAlign w:val="center"/>
          </w:tcPr>
          <w:p w14:paraId="2D9C07C8">
            <w:pPr>
              <w:keepNext w:val="0"/>
              <w:keepLines w:val="0"/>
              <w:pageBreakBefore w:val="0"/>
              <w:suppressLineNumbers w:val="0"/>
              <w:overflowPunct/>
              <w:topLinePunct w:val="0"/>
              <w:bidi w:val="0"/>
              <w:spacing w:before="0" w:beforeAutospacing="0" w:after="0" w:afterAutospacing="0" w:line="400" w:lineRule="exact"/>
              <w:ind w:left="0" w:right="0"/>
              <w:jc w:val="center"/>
              <w:rPr>
                <w:rFonts w:hint="eastAsia" w:ascii="宋体" w:hAnsi="宋体" w:eastAsia="宋体" w:cs="宋体"/>
                <w:color w:val="auto"/>
                <w:sz w:val="21"/>
                <w:szCs w:val="21"/>
                <w:highlight w:val="none"/>
              </w:rPr>
            </w:pPr>
            <w:r>
              <w:rPr>
                <w:rFonts w:hint="eastAsia" w:ascii="宋体" w:hAnsi="宋体" w:eastAsia="宋体" w:cs="宋体"/>
                <w:b w:val="0"/>
                <w:bCs w:val="0"/>
                <w:color w:val="auto"/>
                <w:sz w:val="21"/>
                <w:szCs w:val="21"/>
                <w:highlight w:val="none"/>
                <w:lang w:val="en-US" w:eastAsia="zh-CN"/>
              </w:rPr>
              <w:t>AI智能体搭建</w:t>
            </w:r>
          </w:p>
        </w:tc>
        <w:tc>
          <w:tcPr>
            <w:tcW w:w="324" w:type="pct"/>
            <w:tcBorders>
              <w:top w:val="single" w:color="000000" w:sz="8" w:space="0"/>
              <w:left w:val="single" w:color="000000" w:sz="6" w:space="0"/>
              <w:bottom w:val="single" w:color="000000" w:sz="6" w:space="0"/>
              <w:right w:val="single" w:color="000000" w:sz="6" w:space="0"/>
            </w:tcBorders>
            <w:vAlign w:val="center"/>
          </w:tcPr>
          <w:p w14:paraId="4667EB8D">
            <w:pPr>
              <w:keepNext w:val="0"/>
              <w:keepLines w:val="0"/>
              <w:pageBreakBefore w:val="0"/>
              <w:suppressLineNumbers w:val="0"/>
              <w:overflowPunct/>
              <w:topLinePunct w:val="0"/>
              <w:bidi w:val="0"/>
              <w:spacing w:before="0" w:beforeAutospacing="0" w:after="0" w:afterAutospacing="0" w:line="400" w:lineRule="exact"/>
              <w:ind w:left="0" w:right="0"/>
              <w:jc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1项</w:t>
            </w:r>
          </w:p>
        </w:tc>
        <w:tc>
          <w:tcPr>
            <w:tcW w:w="413" w:type="pct"/>
            <w:tcBorders>
              <w:top w:val="single" w:color="000000" w:sz="8" w:space="0"/>
              <w:left w:val="single" w:color="000000" w:sz="6" w:space="0"/>
              <w:bottom w:val="single" w:color="000000" w:sz="6" w:space="0"/>
              <w:right w:val="single" w:color="000000" w:sz="6" w:space="0"/>
            </w:tcBorders>
            <w:vAlign w:val="center"/>
          </w:tcPr>
          <w:p w14:paraId="3E5D1F83">
            <w:pPr>
              <w:keepNext w:val="0"/>
              <w:keepLines w:val="0"/>
              <w:pageBreakBefore w:val="0"/>
              <w:suppressLineNumbers w:val="0"/>
              <w:overflowPunct/>
              <w:topLinePunct w:val="0"/>
              <w:bidi w:val="0"/>
              <w:snapToGrid w:val="0"/>
              <w:spacing w:before="0" w:beforeAutospacing="0" w:after="0" w:afterAutospacing="0" w:line="400" w:lineRule="exact"/>
              <w:ind w:left="0" w:right="0"/>
              <w:jc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软件和信息技术服务业</w:t>
            </w:r>
          </w:p>
        </w:tc>
        <w:tc>
          <w:tcPr>
            <w:tcW w:w="2724" w:type="pct"/>
            <w:tcBorders>
              <w:top w:val="single" w:color="000000" w:sz="8" w:space="0"/>
              <w:left w:val="single" w:color="000000" w:sz="6" w:space="0"/>
              <w:bottom w:val="single" w:color="000000" w:sz="6" w:space="0"/>
              <w:right w:val="single" w:color="000000" w:sz="6" w:space="0"/>
            </w:tcBorders>
          </w:tcPr>
          <w:p w14:paraId="5537CD79">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2" w:firstLineChars="200"/>
              <w:textAlignment w:val="auto"/>
              <w:rPr>
                <w:rFonts w:hint="eastAsia" w:ascii="宋体" w:hAnsi="宋体" w:eastAsia="宋体" w:cs="宋体"/>
                <w:b/>
                <w:bCs/>
                <w:color w:val="auto"/>
                <w:sz w:val="21"/>
                <w:szCs w:val="21"/>
                <w:highlight w:val="none"/>
                <w:lang w:val="en-US" w:eastAsia="zh-CN"/>
              </w:rPr>
            </w:pPr>
            <w:r>
              <w:rPr>
                <w:rFonts w:hint="eastAsia" w:ascii="宋体" w:hAnsi="宋体" w:eastAsia="宋体" w:cs="宋体"/>
                <w:b/>
                <w:bCs/>
                <w:color w:val="auto"/>
                <w:sz w:val="21"/>
                <w:szCs w:val="21"/>
                <w:highlight w:val="none"/>
                <w:lang w:val="en-US" w:eastAsia="zh-CN"/>
              </w:rPr>
              <w:t>一、建设内容</w:t>
            </w:r>
          </w:p>
          <w:p w14:paraId="38D6EAE7">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完成搭建3个AI智能体</w:t>
            </w:r>
          </w:p>
          <w:p w14:paraId="0EA4974B">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2" w:firstLineChars="200"/>
              <w:textAlignment w:val="auto"/>
              <w:rPr>
                <w:rFonts w:hint="eastAsia" w:ascii="宋体" w:hAnsi="宋体" w:eastAsia="宋体" w:cs="宋体"/>
                <w:b/>
                <w:bCs/>
                <w:color w:val="auto"/>
                <w:sz w:val="21"/>
                <w:szCs w:val="21"/>
                <w:highlight w:val="none"/>
                <w:lang w:val="en-US" w:eastAsia="zh-CN"/>
              </w:rPr>
            </w:pPr>
            <w:r>
              <w:rPr>
                <w:rFonts w:hint="eastAsia" w:ascii="宋体" w:hAnsi="宋体" w:eastAsia="宋体" w:cs="宋体"/>
                <w:b/>
                <w:bCs/>
                <w:color w:val="auto"/>
                <w:sz w:val="21"/>
                <w:szCs w:val="21"/>
                <w:highlight w:val="none"/>
                <w:lang w:val="en-US" w:eastAsia="zh-CN"/>
              </w:rPr>
              <w:t>二、具体参数内容</w:t>
            </w:r>
          </w:p>
          <w:p w14:paraId="57244C03">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2" w:firstLineChars="200"/>
              <w:textAlignment w:val="auto"/>
              <w:rPr>
                <w:rFonts w:hint="eastAsia" w:ascii="宋体" w:hAnsi="宋体" w:eastAsia="宋体" w:cs="宋体"/>
                <w:b/>
                <w:bCs/>
                <w:color w:val="auto"/>
                <w:sz w:val="21"/>
                <w:szCs w:val="21"/>
                <w:highlight w:val="none"/>
                <w:lang w:val="en-US" w:eastAsia="zh-CN"/>
              </w:rPr>
            </w:pPr>
            <w:r>
              <w:rPr>
                <w:rFonts w:hint="eastAsia" w:ascii="宋体" w:hAnsi="宋体" w:cs="宋体"/>
                <w:b/>
                <w:bCs/>
                <w:color w:val="auto"/>
                <w:sz w:val="21"/>
                <w:szCs w:val="21"/>
                <w:highlight w:val="none"/>
                <w:lang w:val="en-US" w:eastAsia="zh-CN"/>
              </w:rPr>
              <w:t>（一）</w:t>
            </w:r>
            <w:r>
              <w:rPr>
                <w:rFonts w:hint="eastAsia" w:ascii="宋体" w:hAnsi="宋体" w:eastAsia="宋体" w:cs="宋体"/>
                <w:b/>
                <w:bCs/>
                <w:color w:val="auto"/>
                <w:sz w:val="21"/>
                <w:szCs w:val="21"/>
                <w:highlight w:val="none"/>
                <w:lang w:val="en-US" w:eastAsia="zh-CN"/>
              </w:rPr>
              <w:t>智能体基础调试</w:t>
            </w:r>
          </w:p>
          <w:p w14:paraId="7890270A">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（1）支持选择是否启用大模型，是否由大模型直接回复，支持选择对话模型，模型包括汇雅、DeepSeek、豆包、通义千问等模型。</w:t>
            </w:r>
          </w:p>
          <w:p w14:paraId="4573595A">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支持设置大模型多轮轮数和阈值。</w:t>
            </w:r>
          </w:p>
          <w:p w14:paraId="0438A2C0">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（2）可开启模型的扩展功能：联网搜索、兜底回复、附件上传。</w:t>
            </w:r>
          </w:p>
          <w:p w14:paraId="64DFB495">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（3）支持开启智能体的长期记忆功能，并设置记忆的有效期，分为永久有效和自定义有效期两种。</w:t>
            </w:r>
          </w:p>
          <w:p w14:paraId="07B66E76">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（4）支持推荐发现中的图书、期刊资源。</w:t>
            </w:r>
          </w:p>
          <w:p w14:paraId="7ACBAC39">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（5）支持推荐关联的微服务应用。</w:t>
            </w:r>
          </w:p>
          <w:p w14:paraId="672F88CA">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（6）支持在智体回复后，自动根据对话内容提供3条用户提问建议。</w:t>
            </w:r>
          </w:p>
          <w:p w14:paraId="12CEB347">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（7）支持问答库问题联想，自动推出问答库中有关联的问题列表。</w:t>
            </w:r>
          </w:p>
          <w:p w14:paraId="0F83B5DF">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（8）智能体可根据用户问题，匹配应用库中的应用名称和描述，实现应用推荐。</w:t>
            </w:r>
          </w:p>
          <w:p w14:paraId="2EA19FEB">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（9）支持对智能体回复的纯文本内容进行翻译。</w:t>
            </w:r>
          </w:p>
          <w:p w14:paraId="5C6D4BC1">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（10）支持开启自主规划模式，显示智能体规划流程。</w:t>
            </w:r>
          </w:p>
          <w:p w14:paraId="3413C281">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（11）支持设置智能体回复阈值，调整语义匹配精准度。</w:t>
            </w:r>
          </w:p>
          <w:p w14:paraId="7BDDEBD0">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（12）支持配置智能体多轮问答的轮数。</w:t>
            </w:r>
          </w:p>
          <w:p w14:paraId="005C66E7">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（13）支持设置未知问题回复语，当智能体无法回答访客问题时，可给出未知问题回复。</w:t>
            </w:r>
          </w:p>
          <w:p w14:paraId="3E341D28">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（14）支持自定义大模型敏感词拦截回复，当用户问题中包含敏感词时会触发自定义的拦截回复语。</w:t>
            </w:r>
          </w:p>
          <w:p w14:paraId="144C08E3">
            <w:pPr>
              <w:pStyle w:val="2"/>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leftChars="0" w:right="0" w:firstLine="406" w:firstLineChars="200"/>
              <w:textAlignment w:val="auto"/>
              <w:rPr>
                <w:rFonts w:hint="eastAsia" w:ascii="宋体" w:hAnsi="宋体" w:eastAsia="宋体" w:cs="宋体"/>
                <w:b/>
                <w:bCs/>
                <w:color w:val="auto"/>
                <w:sz w:val="21"/>
                <w:szCs w:val="21"/>
                <w:highlight w:val="none"/>
                <w:lang w:val="en-US" w:eastAsia="zh-CN"/>
              </w:rPr>
            </w:pPr>
            <w:r>
              <w:rPr>
                <w:rFonts w:hint="eastAsia" w:ascii="宋体" w:hAnsi="宋体" w:cs="宋体"/>
                <w:b/>
                <w:bCs/>
                <w:color w:val="auto"/>
                <w:sz w:val="21"/>
                <w:szCs w:val="21"/>
                <w:highlight w:val="none"/>
                <w:lang w:val="en-US" w:eastAsia="zh-CN"/>
              </w:rPr>
              <w:t>（二）</w:t>
            </w:r>
            <w:r>
              <w:rPr>
                <w:rFonts w:hint="eastAsia" w:ascii="宋体" w:hAnsi="宋体" w:eastAsia="宋体" w:cs="宋体"/>
                <w:b/>
                <w:bCs/>
                <w:color w:val="auto"/>
                <w:sz w:val="21"/>
                <w:szCs w:val="21"/>
                <w:highlight w:val="none"/>
                <w:lang w:val="en-US" w:eastAsia="zh-CN"/>
              </w:rPr>
              <w:t>资源管理</w:t>
            </w:r>
          </w:p>
          <w:p w14:paraId="0084C920">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2" w:firstLineChars="200"/>
              <w:textAlignment w:val="auto"/>
              <w:rPr>
                <w:rFonts w:hint="eastAsia" w:ascii="宋体" w:hAnsi="宋体" w:eastAsia="宋体" w:cs="宋体"/>
                <w:b/>
                <w:bCs/>
                <w:color w:val="auto"/>
                <w:sz w:val="21"/>
                <w:szCs w:val="21"/>
                <w:highlight w:val="none"/>
                <w:lang w:val="en-US" w:eastAsia="zh-CN"/>
              </w:rPr>
            </w:pPr>
            <w:r>
              <w:rPr>
                <w:rFonts w:hint="eastAsia" w:ascii="宋体" w:hAnsi="宋体" w:eastAsia="宋体" w:cs="宋体"/>
                <w:b/>
                <w:bCs/>
                <w:color w:val="auto"/>
                <w:sz w:val="21"/>
                <w:szCs w:val="21"/>
                <w:highlight w:val="none"/>
                <w:lang w:val="en-US" w:eastAsia="zh-CN"/>
              </w:rPr>
              <w:t>1.知识库</w:t>
            </w:r>
          </w:p>
          <w:p w14:paraId="68011E53">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（1）知识库支持多种上传方式，如本地上传、数据爬取、从个人/单位云盘上传、从本校资源库上传等。</w:t>
            </w:r>
          </w:p>
          <w:p w14:paraId="7CA5705C">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（2）知识库支持设置分片方式、文档召回、文档检索方式，可自定义召回数量、相似度得分等。</w:t>
            </w:r>
          </w:p>
          <w:p w14:paraId="7C20A70A">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（3）支持上传我的问答库，“我的问答库”中的内容将作为文档加入至“我的知识库”中。</w:t>
            </w:r>
          </w:p>
          <w:p w14:paraId="34CE5F57">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4）知识库分为我的知识库、单位AI知识库、公共AI知识库、行业知识库四级架构。我的知识库支持用户自行上传和编辑其中内容；用户可将“我的知识库”设置为共享，并加入到单位AI知识库中；公共AI知识库内包含不少于1700个知识库内容，用户可自定义添加；支持管理员分管理和分配行业知识库到各智能体中。</w:t>
            </w:r>
          </w:p>
          <w:p w14:paraId="59BB6630">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（5）知识库支持关键字搜索，以及按状态、来源和日期范围、创建人进行筛选。</w:t>
            </w:r>
          </w:p>
          <w:p w14:paraId="6FBFD4CF">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（6）单篇文档支持编辑、关联问答、删除、预览、下载操作，自定义开启查看来源全文、下载全文、文档停用、查看参考资料；支持批量启用/停用查看来源全文、批量下载、移动、删除操作。</w:t>
            </w:r>
          </w:p>
          <w:p w14:paraId="04DA2285">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（7）单篇文档支持预览和编辑分片。</w:t>
            </w:r>
          </w:p>
          <w:p w14:paraId="2B56118A">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（8）支持自定义添加、编辑、删除文档分类，分类数量无限制。</w:t>
            </w:r>
          </w:p>
          <w:p w14:paraId="47DFA9EE">
            <w:pPr>
              <w:pStyle w:val="2"/>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leftChars="0" w:right="0" w:firstLine="406" w:firstLineChars="200"/>
              <w:textAlignment w:val="auto"/>
              <w:rPr>
                <w:rFonts w:hint="eastAsia" w:ascii="宋体" w:hAnsi="宋体" w:eastAsia="宋体" w:cs="宋体"/>
                <w:b/>
                <w:bCs/>
                <w:color w:val="auto"/>
                <w:sz w:val="21"/>
                <w:szCs w:val="21"/>
                <w:highlight w:val="none"/>
                <w:lang w:val="en-US" w:eastAsia="zh-CN"/>
              </w:rPr>
            </w:pPr>
            <w:r>
              <w:rPr>
                <w:rFonts w:hint="eastAsia" w:ascii="宋体" w:hAnsi="宋体" w:eastAsia="宋体" w:cs="宋体"/>
                <w:b/>
                <w:bCs/>
                <w:color w:val="auto"/>
                <w:sz w:val="21"/>
                <w:szCs w:val="21"/>
                <w:highlight w:val="none"/>
                <w:lang w:val="en-US" w:eastAsia="zh-CN"/>
              </w:rPr>
              <w:t>2.问答库</w:t>
            </w:r>
          </w:p>
          <w:p w14:paraId="02EAFAA0">
            <w:pPr>
              <w:pStyle w:val="2"/>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leftChars="0" w:right="0" w:firstLine="404" w:firstLineChars="200"/>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（1）自定义添加、编辑、删除业务问答分类，分类数量无限制；支持批量编辑，问答分类可以移动和拖拽排序。</w:t>
            </w:r>
          </w:p>
          <w:p w14:paraId="40706F6E">
            <w:pPr>
              <w:pStyle w:val="2"/>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leftChars="0" w:right="0" w:firstLine="404" w:firstLineChars="200"/>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（2）支持自定义添加、编辑、删除、批量导入、批量导出、批量删除问答对，问答对数量无限制，支持更新问答库内容。</w:t>
            </w:r>
          </w:p>
          <w:p w14:paraId="50839134">
            <w:pPr>
              <w:pStyle w:val="2"/>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leftChars="0" w:right="0" w:firstLine="404" w:firstLineChars="200"/>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（3）添加问答对时，支持添加一个标准问题与无限个相似问题。</w:t>
            </w:r>
          </w:p>
          <w:p w14:paraId="5B02FB3B">
            <w:pPr>
              <w:pStyle w:val="2"/>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leftChars="0" w:right="0" w:firstLine="404" w:firstLineChars="200"/>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（4）添加问答对时，支持将满意问题、不满意问题、未知问题和人工回复问题一键导入问答添加框，并支持自定义修改。</w:t>
            </w:r>
          </w:p>
          <w:p w14:paraId="38377D93">
            <w:pPr>
              <w:pStyle w:val="2"/>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leftChars="0" w:right="0" w:firstLine="404" w:firstLineChars="200"/>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（5）添加问答对时，答案内容支持文本、图片、音频、视频、表格、文档、图文混排、超链接等多种内容，并支持对答案内容进行字体、字号、颜色、高亮、引用等排版设置。</w:t>
            </w:r>
          </w:p>
          <w:p w14:paraId="6BB0E940">
            <w:pPr>
              <w:pStyle w:val="2"/>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leftChars="0" w:right="0" w:firstLine="404" w:firstLineChars="200"/>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（6）支持手动开启微应用推荐功能，支持同步单位后台微应用、自建微应用，以及iframe嵌入等方式。</w:t>
            </w:r>
          </w:p>
          <w:p w14:paraId="58261BEC">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2" w:firstLineChars="200"/>
              <w:textAlignment w:val="auto"/>
              <w:rPr>
                <w:rFonts w:hint="eastAsia" w:ascii="宋体" w:hAnsi="宋体" w:eastAsia="宋体" w:cs="宋体"/>
                <w:b/>
                <w:bCs/>
                <w:color w:val="auto"/>
                <w:sz w:val="21"/>
                <w:szCs w:val="21"/>
                <w:highlight w:val="none"/>
                <w:lang w:val="en-US" w:eastAsia="zh-CN"/>
              </w:rPr>
            </w:pPr>
            <w:r>
              <w:rPr>
                <w:rFonts w:hint="eastAsia" w:ascii="宋体" w:hAnsi="宋体" w:eastAsia="宋体" w:cs="宋体"/>
                <w:b/>
                <w:bCs/>
                <w:color w:val="auto"/>
                <w:sz w:val="21"/>
                <w:szCs w:val="21"/>
                <w:highlight w:val="none"/>
                <w:lang w:val="en-US" w:eastAsia="zh-CN"/>
              </w:rPr>
              <w:t>3.任务流</w:t>
            </w:r>
          </w:p>
          <w:p w14:paraId="4A357D0D">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1）提供任务流管理功能，需支持管理员为智能体自建任务流。任务流能够实现智能体规划复杂业务流程的能力，任务流需支持多样的节点插件，包括：代码编写、条件选择、文档库、外部插件、动态选项、问答、静态选项、大模型内容生成等。节点能够进行串联、并联，通过任务规划让智能体能够在业务场景中落地应用。</w:t>
            </w:r>
          </w:p>
          <w:p w14:paraId="77EBE543">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（2）任务流规划需要采用可视化画布设计，透过节点连接、位置拖动、参数设定快速实现节点配置。画布大小可自由布局，支持操作回撤、画布缩小、节点折叠、自动优化规整布局、快捷键展示等功能。</w:t>
            </w:r>
          </w:p>
          <w:p w14:paraId="6B55EA3B">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（3）支持AI任务流自动生成功能。</w:t>
            </w:r>
          </w:p>
          <w:p w14:paraId="20A326E5">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（4）任务流需支持模拟试运行，试运行提供交互页面可模拟执行，支持用户查看每个节点的运行结果。</w:t>
            </w:r>
          </w:p>
          <w:p w14:paraId="7CCFE761">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2" w:firstLineChars="200"/>
              <w:textAlignment w:val="auto"/>
              <w:rPr>
                <w:rFonts w:hint="eastAsia" w:ascii="宋体" w:hAnsi="宋体" w:eastAsia="宋体" w:cs="宋体"/>
                <w:b/>
                <w:bCs/>
                <w:color w:val="auto"/>
                <w:sz w:val="21"/>
                <w:szCs w:val="21"/>
                <w:highlight w:val="none"/>
                <w:lang w:val="en-US" w:eastAsia="zh-CN"/>
              </w:rPr>
            </w:pPr>
            <w:r>
              <w:rPr>
                <w:rFonts w:hint="eastAsia" w:ascii="宋体" w:hAnsi="宋体" w:eastAsia="宋体" w:cs="宋体"/>
                <w:b/>
                <w:bCs/>
                <w:color w:val="auto"/>
                <w:sz w:val="21"/>
                <w:szCs w:val="21"/>
                <w:highlight w:val="none"/>
                <w:lang w:val="en-US" w:eastAsia="zh-CN"/>
              </w:rPr>
              <w:t>4.智能学习</w:t>
            </w:r>
          </w:p>
          <w:p w14:paraId="64B69452">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（1）智能学习功能，根据用户行为自动记录未知问题、不满意问题、满意问题、大模型兜底回复问题、人工回复问题。</w:t>
            </w:r>
          </w:p>
          <w:p w14:paraId="2A8E80D4">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2）自动识别未知问题、不满意问题、满意问题、大模型兜底回复问题、人工回复问题，并统计聚类，支持重新编辑修改答案并导入问答库，同时可以查看源会话，支持批量导出、删除问题；支持按时间筛选查看各类问题。</w:t>
            </w:r>
          </w:p>
          <w:p w14:paraId="122587FB">
            <w:pPr>
              <w:pStyle w:val="2"/>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leftChars="0" w:right="0" w:firstLine="406" w:firstLineChars="200"/>
              <w:textAlignment w:val="auto"/>
              <w:rPr>
                <w:rFonts w:hint="eastAsia" w:ascii="宋体" w:hAnsi="宋体" w:eastAsia="宋体" w:cs="宋体"/>
                <w:b/>
                <w:bCs/>
                <w:color w:val="auto"/>
                <w:sz w:val="21"/>
                <w:szCs w:val="21"/>
                <w:highlight w:val="none"/>
                <w:lang w:val="en-US" w:eastAsia="zh-CN"/>
              </w:rPr>
            </w:pPr>
            <w:r>
              <w:rPr>
                <w:rFonts w:hint="eastAsia" w:ascii="宋体" w:hAnsi="宋体" w:eastAsia="宋体" w:cs="宋体"/>
                <w:b/>
                <w:bCs/>
                <w:color w:val="auto"/>
                <w:sz w:val="21"/>
                <w:szCs w:val="21"/>
                <w:highlight w:val="none"/>
                <w:lang w:val="en-US" w:eastAsia="zh-CN"/>
              </w:rPr>
              <w:t>5、智能问答</w:t>
            </w:r>
          </w:p>
          <w:p w14:paraId="5FC7811C">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（1）支持根据用户输入问题进行匹配提示</w:t>
            </w:r>
          </w:p>
          <w:p w14:paraId="4AC37E2E">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（2）知识问答，内置各类开源大模型，可以回答各类常识类问题，比如“李白是谁”。</w:t>
            </w:r>
          </w:p>
          <w:p w14:paraId="0BF1924B">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（3）支持自定义开启问题联想，开启后，支持问答库问题联想，自动推出问答库中有关联的问题列表。</w:t>
            </w:r>
          </w:p>
          <w:p w14:paraId="75C9F89A">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（4）支持自定义开启用户问题推荐，在智体回复后，自动根据对话内容提供3条用户提问建议。</w:t>
            </w:r>
          </w:p>
          <w:p w14:paraId="4BB86D93">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（5）支持语音、图片、文本等提问方式。</w:t>
            </w:r>
          </w:p>
          <w:p w14:paraId="2B4514F6">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（6）支持查看回答来源是问答库、知识库或大模型，支持对问答来源进行自定义。</w:t>
            </w:r>
          </w:p>
          <w:p w14:paraId="14FE7FE6">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（7）支持对智能体回复答案进行点赞、点踩、复制答案、重新回答等操作。</w:t>
            </w:r>
          </w:p>
          <w:p w14:paraId="14A3077B">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（8）前台支持查看历史对话、开启新对话、编辑历史对话标题等。</w:t>
            </w:r>
          </w:p>
          <w:p w14:paraId="17135DCB">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（9）支持查看长期记忆片段。</w:t>
            </w:r>
          </w:p>
          <w:p w14:paraId="59151A30">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（10）智能体回复内容支持下载为PDF、Word、图片、PPT格式。</w:t>
            </w:r>
          </w:p>
          <w:p w14:paraId="23737EE3">
            <w:pPr>
              <w:pStyle w:val="2"/>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leftChars="0" w:right="0" w:firstLine="406" w:firstLineChars="200"/>
              <w:textAlignment w:val="auto"/>
              <w:rPr>
                <w:rFonts w:hint="eastAsia" w:ascii="宋体" w:hAnsi="宋体" w:eastAsia="宋体" w:cs="宋体"/>
                <w:b/>
                <w:bCs/>
                <w:color w:val="auto"/>
                <w:sz w:val="21"/>
                <w:szCs w:val="21"/>
                <w:highlight w:val="none"/>
                <w:lang w:val="en-US" w:eastAsia="zh-CN"/>
              </w:rPr>
            </w:pPr>
            <w:r>
              <w:rPr>
                <w:rFonts w:hint="eastAsia" w:ascii="宋体" w:hAnsi="宋体" w:eastAsia="宋体" w:cs="宋体"/>
                <w:b/>
                <w:bCs/>
                <w:color w:val="auto"/>
                <w:sz w:val="21"/>
                <w:szCs w:val="21"/>
                <w:highlight w:val="none"/>
                <w:lang w:val="en-US" w:eastAsia="zh-CN"/>
              </w:rPr>
              <w:t>6、数据统计</w:t>
            </w:r>
          </w:p>
          <w:p w14:paraId="1052AF16">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（1）智能体需支持完整的数据统计功能，需包含会话统计、用户统计、问答统计、人工回复统计等。</w:t>
            </w:r>
          </w:p>
          <w:p w14:paraId="23F89378">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2）支持查看智能体历史问答记录，根据时间、渠道、有效性、访客、会话ID筛选查看指定历史会话内容，同时可以批量导出历史会话记录；支持点开单条会话记录查看用户详细历史消息，包括用户提问、智能体回复内容。</w:t>
            </w:r>
          </w:p>
          <w:p w14:paraId="761B71FB">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（3）支持查看访客统计，根据时间筛选查看访客数、会话总数、消息总数与访客趋势图、访客地区图，同时可以导出相关数据。</w:t>
            </w:r>
          </w:p>
          <w:p w14:paraId="61DB8348">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（4）支持问答内容统计，可查看问题命中来源、问答终端，支持查看用户满意度，支持查看热门业务问答、高频问题列表，并按照命中次数降序排序，同时可导出相关数据。</w:t>
            </w:r>
          </w:p>
          <w:p w14:paraId="21C89E06">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（5）支持查看token统计，记录智能体使用模型数、总输入token数、总输出token数，可按照日期查看token使用趋势图。</w:t>
            </w:r>
          </w:p>
          <w:p w14:paraId="091E152E">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（6）支持统计智能体中关联应用的使用数量，包括热门应用、问答关联应用、快捷应用。</w:t>
            </w:r>
          </w:p>
          <w:p w14:paraId="7024AC29">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（7）支持重点问题分析，通过自定义关键词标签，对用户问题进行归类统计。</w:t>
            </w:r>
          </w:p>
          <w:p w14:paraId="3FAE8E54">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（8）支持统计任务流触发次数。</w:t>
            </w:r>
          </w:p>
          <w:p w14:paraId="07377CA9">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（9）支持实时会话检测。根据用户自定义关键词标签，记录重点问题，并可触发站内信提醒。</w:t>
            </w:r>
          </w:p>
          <w:p w14:paraId="0E88F06D">
            <w:pPr>
              <w:keepNext w:val="0"/>
              <w:keepLines w:val="0"/>
              <w:pageBreakBefore w:val="0"/>
              <w:widowControl w:val="0"/>
              <w:suppressLineNumbers w:val="0"/>
              <w:kinsoku/>
              <w:wordWrap/>
              <w:overflowPunct/>
              <w:topLinePunct w:val="0"/>
              <w:autoSpaceDE/>
              <w:autoSpaceDN/>
              <w:bidi w:val="0"/>
              <w:adjustRightInd/>
              <w:snapToGrid w:val="0"/>
              <w:spacing w:before="0" w:beforeAutospacing="0" w:after="0" w:afterAutospacing="0" w:line="400" w:lineRule="exact"/>
              <w:ind w:left="0" w:right="0" w:firstLine="420" w:firstLineChars="200"/>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val="en-US" w:eastAsia="zh-CN"/>
              </w:rPr>
              <w:t>（10）支持人工问答统计，查看人工客服回复数据及星级分布情况。</w:t>
            </w:r>
          </w:p>
        </w:tc>
        <w:tc>
          <w:tcPr>
            <w:tcW w:w="1276" w:type="dxa"/>
            <w:tcBorders>
              <w:top w:val="single" w:color="000000" w:sz="8" w:space="0"/>
              <w:left w:val="single" w:color="000000" w:sz="6" w:space="0"/>
              <w:right w:val="single" w:color="000000" w:sz="8" w:space="0"/>
            </w:tcBorders>
            <w:vAlign w:val="center"/>
          </w:tcPr>
          <w:p w14:paraId="10217615">
            <w:pPr>
              <w:keepNext w:val="0"/>
              <w:keepLines w:val="0"/>
              <w:pageBreakBefore w:val="0"/>
              <w:suppressLineNumbers w:val="0"/>
              <w:overflowPunct/>
              <w:topLinePunct w:val="0"/>
              <w:bidi w:val="0"/>
              <w:spacing w:before="0" w:beforeAutospacing="0" w:after="0" w:afterAutospacing="0" w:line="400" w:lineRule="exact"/>
              <w:ind w:left="0" w:right="0"/>
              <w:jc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val="en-US" w:eastAsia="zh-CN"/>
              </w:rPr>
              <w:t>180000</w:t>
            </w:r>
            <w:r>
              <w:rPr>
                <w:rFonts w:hint="eastAsia" w:ascii="宋体" w:hAnsi="宋体" w:eastAsia="宋体" w:cs="宋体"/>
                <w:color w:val="auto"/>
                <w:sz w:val="21"/>
                <w:szCs w:val="21"/>
                <w:highlight w:val="none"/>
              </w:rPr>
              <w:t>.00</w:t>
            </w:r>
          </w:p>
        </w:tc>
      </w:tr>
      <w:tr w14:paraId="5E62AC94">
        <w:tblPrEx>
          <w:tblBorders>
            <w:top w:val="single" w:color="000000" w:sz="8" w:space="0"/>
            <w:left w:val="single" w:color="000000" w:sz="8" w:space="0"/>
            <w:bottom w:val="single" w:color="000000" w:sz="8" w:space="0"/>
            <w:right w:val="single" w:color="000000" w:sz="8" w:space="0"/>
            <w:insideH w:val="single" w:color="000000" w:sz="6" w:space="0"/>
            <w:insideV w:val="single" w:color="000000" w:sz="6" w:space="0"/>
          </w:tblBorders>
          <w:tblCellMar>
            <w:top w:w="0" w:type="dxa"/>
            <w:left w:w="108" w:type="dxa"/>
            <w:bottom w:w="0" w:type="dxa"/>
            <w:right w:w="108" w:type="dxa"/>
          </w:tblCellMar>
        </w:tblPrEx>
        <w:trPr>
          <w:trHeight w:val="1065" w:hRule="atLeast"/>
          <w:jc w:val="center"/>
        </w:trPr>
        <w:tc>
          <w:tcPr>
            <w:tcW w:w="212" w:type="pct"/>
            <w:tcBorders>
              <w:top w:val="single" w:color="000000" w:sz="8" w:space="0"/>
              <w:left w:val="single" w:color="000000" w:sz="8" w:space="0"/>
              <w:bottom w:val="single" w:color="000000" w:sz="6" w:space="0"/>
              <w:right w:val="single" w:color="000000" w:sz="6" w:space="0"/>
            </w:tcBorders>
            <w:tcMar>
              <w:top w:w="0" w:type="dxa"/>
              <w:left w:w="0" w:type="dxa"/>
              <w:bottom w:w="0" w:type="dxa"/>
              <w:right w:w="0" w:type="dxa"/>
            </w:tcMar>
            <w:vAlign w:val="center"/>
          </w:tcPr>
          <w:p w14:paraId="21402ADF">
            <w:pPr>
              <w:keepNext w:val="0"/>
              <w:keepLines w:val="0"/>
              <w:pageBreakBefore w:val="0"/>
              <w:suppressLineNumbers w:val="0"/>
              <w:overflowPunct/>
              <w:topLinePunct w:val="0"/>
              <w:bidi w:val="0"/>
              <w:snapToGrid w:val="0"/>
              <w:spacing w:before="0" w:beforeAutospacing="0" w:after="0" w:afterAutospacing="0" w:line="400" w:lineRule="exact"/>
              <w:ind w:left="0" w:right="0"/>
              <w:jc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val="en-US" w:eastAsia="zh-CN"/>
              </w:rPr>
              <w:t>8</w:t>
            </w:r>
          </w:p>
        </w:tc>
        <w:tc>
          <w:tcPr>
            <w:tcW w:w="674" w:type="pct"/>
            <w:tcBorders>
              <w:top w:val="single" w:color="000000" w:sz="8" w:space="0"/>
              <w:left w:val="single" w:color="000000" w:sz="6" w:space="0"/>
              <w:bottom w:val="single" w:color="000000" w:sz="6" w:space="0"/>
              <w:right w:val="single" w:color="000000" w:sz="6" w:space="0"/>
            </w:tcBorders>
            <w:vAlign w:val="center"/>
          </w:tcPr>
          <w:p w14:paraId="19B4D1A8">
            <w:pPr>
              <w:keepNext w:val="0"/>
              <w:keepLines w:val="0"/>
              <w:pageBreakBefore w:val="0"/>
              <w:suppressLineNumbers w:val="0"/>
              <w:overflowPunct/>
              <w:topLinePunct w:val="0"/>
              <w:bidi w:val="0"/>
              <w:spacing w:before="0" w:beforeAutospacing="0" w:after="0" w:afterAutospacing="0" w:line="400" w:lineRule="exact"/>
              <w:ind w:left="0" w:right="0"/>
              <w:jc w:val="center"/>
              <w:rPr>
                <w:rFonts w:hint="eastAsia" w:ascii="宋体" w:hAnsi="宋体" w:eastAsia="宋体" w:cs="宋体"/>
                <w:color w:val="auto"/>
                <w:sz w:val="21"/>
                <w:szCs w:val="21"/>
                <w:highlight w:val="none"/>
              </w:rPr>
            </w:pPr>
            <w:r>
              <w:rPr>
                <w:rFonts w:hint="eastAsia" w:ascii="宋体" w:hAnsi="宋体" w:eastAsia="宋体" w:cs="宋体"/>
                <w:color w:val="auto"/>
                <w:kern w:val="0"/>
                <w:sz w:val="21"/>
                <w:szCs w:val="21"/>
                <w:highlight w:val="none"/>
                <w:lang w:val="en-US" w:eastAsia="zh-CN" w:bidi="ar-SA"/>
              </w:rPr>
              <w:t>微课比赛视频制作</w:t>
            </w:r>
          </w:p>
        </w:tc>
        <w:tc>
          <w:tcPr>
            <w:tcW w:w="324" w:type="pct"/>
            <w:tcBorders>
              <w:top w:val="single" w:color="000000" w:sz="8" w:space="0"/>
              <w:left w:val="single" w:color="000000" w:sz="6" w:space="0"/>
              <w:bottom w:val="single" w:color="000000" w:sz="6" w:space="0"/>
              <w:right w:val="single" w:color="000000" w:sz="6" w:space="0"/>
            </w:tcBorders>
            <w:vAlign w:val="center"/>
          </w:tcPr>
          <w:p w14:paraId="596CA248">
            <w:pPr>
              <w:keepNext w:val="0"/>
              <w:keepLines w:val="0"/>
              <w:pageBreakBefore w:val="0"/>
              <w:suppressLineNumbers w:val="0"/>
              <w:overflowPunct/>
              <w:topLinePunct w:val="0"/>
              <w:bidi w:val="0"/>
              <w:spacing w:before="0" w:beforeAutospacing="0" w:after="0" w:afterAutospacing="0" w:line="400" w:lineRule="exact"/>
              <w:ind w:left="0" w:right="0"/>
              <w:jc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1项</w:t>
            </w:r>
          </w:p>
        </w:tc>
        <w:tc>
          <w:tcPr>
            <w:tcW w:w="413" w:type="pct"/>
            <w:tcBorders>
              <w:top w:val="single" w:color="000000" w:sz="8" w:space="0"/>
              <w:left w:val="single" w:color="000000" w:sz="6" w:space="0"/>
              <w:bottom w:val="single" w:color="000000" w:sz="6" w:space="0"/>
              <w:right w:val="single" w:color="000000" w:sz="6" w:space="0"/>
            </w:tcBorders>
            <w:vAlign w:val="center"/>
          </w:tcPr>
          <w:p w14:paraId="642F72CC">
            <w:pPr>
              <w:keepNext w:val="0"/>
              <w:keepLines w:val="0"/>
              <w:pageBreakBefore w:val="0"/>
              <w:suppressLineNumbers w:val="0"/>
              <w:overflowPunct/>
              <w:topLinePunct w:val="0"/>
              <w:bidi w:val="0"/>
              <w:snapToGrid w:val="0"/>
              <w:spacing w:before="0" w:beforeAutospacing="0" w:after="0" w:afterAutospacing="0" w:line="400" w:lineRule="exact"/>
              <w:ind w:left="0" w:right="0"/>
              <w:jc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其他未列明行业</w:t>
            </w:r>
          </w:p>
        </w:tc>
        <w:tc>
          <w:tcPr>
            <w:tcW w:w="2724" w:type="pct"/>
            <w:tcBorders>
              <w:top w:val="single" w:color="000000" w:sz="8" w:space="0"/>
              <w:left w:val="single" w:color="000000" w:sz="6" w:space="0"/>
              <w:bottom w:val="single" w:color="000000" w:sz="6" w:space="0"/>
              <w:right w:val="single" w:color="000000" w:sz="6" w:space="0"/>
            </w:tcBorders>
          </w:tcPr>
          <w:p w14:paraId="5D31EB32">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2" w:firstLineChars="200"/>
              <w:textAlignment w:val="auto"/>
              <w:rPr>
                <w:rFonts w:hint="eastAsia" w:ascii="宋体" w:hAnsi="宋体" w:eastAsia="宋体" w:cs="宋体"/>
                <w:b/>
                <w:bCs/>
                <w:color w:val="auto"/>
                <w:sz w:val="21"/>
                <w:szCs w:val="21"/>
                <w:highlight w:val="none"/>
                <w:lang w:val="en-US" w:eastAsia="zh-CN"/>
              </w:rPr>
            </w:pPr>
            <w:r>
              <w:rPr>
                <w:rFonts w:hint="eastAsia" w:ascii="宋体" w:hAnsi="宋体" w:eastAsia="宋体" w:cs="宋体"/>
                <w:b/>
                <w:bCs/>
                <w:color w:val="auto"/>
                <w:sz w:val="21"/>
                <w:szCs w:val="21"/>
                <w:highlight w:val="none"/>
                <w:lang w:val="en-US" w:eastAsia="zh-CN"/>
              </w:rPr>
              <w:t>一、建设内容</w:t>
            </w:r>
          </w:p>
          <w:p w14:paraId="6C8A5310">
            <w:pPr>
              <w:pStyle w:val="2"/>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leftChars="0" w:right="0" w:firstLine="404" w:firstLineChars="200"/>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1、完成建设6个比赛级微课视频，</w:t>
            </w:r>
            <w:r>
              <w:rPr>
                <w:rFonts w:hint="eastAsia" w:ascii="宋体" w:hAnsi="宋体" w:eastAsia="宋体" w:cs="宋体"/>
                <w:b w:val="0"/>
                <w:bCs w:val="0"/>
                <w:color w:val="auto"/>
                <w:sz w:val="21"/>
                <w:szCs w:val="21"/>
                <w:highlight w:val="none"/>
                <w:lang w:val="en-US" w:eastAsia="zh-CN"/>
              </w:rPr>
              <w:t>每段微课时长5-10分钟</w:t>
            </w:r>
          </w:p>
          <w:p w14:paraId="6BADD3F3">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2、完成配套PPT的美化工作</w:t>
            </w:r>
          </w:p>
          <w:p w14:paraId="1E3C414B">
            <w:pPr>
              <w:pStyle w:val="2"/>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leftChars="0" w:right="0" w:firstLine="406" w:firstLineChars="200"/>
              <w:textAlignment w:val="auto"/>
              <w:rPr>
                <w:rFonts w:hint="eastAsia" w:ascii="宋体" w:hAnsi="宋体" w:eastAsia="宋体" w:cs="宋体"/>
                <w:b/>
                <w:bCs/>
                <w:color w:val="auto"/>
                <w:sz w:val="21"/>
                <w:szCs w:val="21"/>
                <w:highlight w:val="none"/>
                <w:lang w:val="en-US" w:eastAsia="zh-CN"/>
              </w:rPr>
            </w:pPr>
            <w:r>
              <w:rPr>
                <w:rFonts w:hint="eastAsia" w:ascii="宋体" w:hAnsi="宋体" w:eastAsia="宋体" w:cs="宋体"/>
                <w:b/>
                <w:bCs/>
                <w:color w:val="auto"/>
                <w:sz w:val="21"/>
                <w:szCs w:val="21"/>
                <w:highlight w:val="none"/>
                <w:lang w:val="en-US" w:eastAsia="zh-CN"/>
              </w:rPr>
              <w:t>二、建设具体参数</w:t>
            </w:r>
          </w:p>
          <w:p w14:paraId="4C499798">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textAlignment w:val="auto"/>
              <w:rPr>
                <w:rFonts w:hint="eastAsia" w:ascii="宋体" w:hAnsi="宋体" w:eastAsia="宋体" w:cs="宋体"/>
                <w:color w:val="auto"/>
                <w:sz w:val="21"/>
                <w:szCs w:val="21"/>
                <w:highlight w:val="none"/>
                <w:lang w:eastAsia="zh-CN"/>
              </w:rPr>
            </w:pPr>
            <w:r>
              <w:rPr>
                <w:rFonts w:hint="eastAsia" w:ascii="宋体" w:hAnsi="宋体" w:eastAsia="宋体" w:cs="宋体"/>
                <w:color w:val="auto"/>
                <w:sz w:val="21"/>
                <w:szCs w:val="21"/>
                <w:highlight w:val="none"/>
              </w:rPr>
              <w:t>每段微课时长5-10分钟，要求每个团队成员至少负责1个微课视频的讲解，且出镜时长累计不少于1分钟。视频材料，要求采用MP4格式封装</w:t>
            </w:r>
            <w:r>
              <w:rPr>
                <w:rFonts w:hint="eastAsia" w:ascii="宋体" w:hAnsi="宋体" w:eastAsia="宋体" w:cs="宋体"/>
                <w:color w:val="auto"/>
                <w:sz w:val="21"/>
                <w:szCs w:val="21"/>
                <w:highlight w:val="none"/>
                <w:lang w:eastAsia="zh-CN"/>
              </w:rPr>
              <w:t>。</w:t>
            </w:r>
          </w:p>
          <w:p w14:paraId="2EB02CB2">
            <w:pPr>
              <w:keepNext w:val="0"/>
              <w:keepLines w:val="0"/>
              <w:pageBreakBefore w:val="0"/>
              <w:widowControl w:val="0"/>
              <w:suppressLineNumbers w:val="0"/>
              <w:kinsoku/>
              <w:wordWrap/>
              <w:overflowPunct/>
              <w:topLinePunct w:val="0"/>
              <w:autoSpaceDE/>
              <w:autoSpaceDN/>
              <w:bidi w:val="0"/>
              <w:adjustRightInd/>
              <w:snapToGrid w:val="0"/>
              <w:spacing w:before="0" w:beforeAutospacing="0" w:after="0" w:afterAutospacing="0" w:line="400" w:lineRule="exact"/>
              <w:ind w:left="0" w:right="0" w:firstLine="420" w:firstLineChars="200"/>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(视频编码格式:H.264/AVC(MPEG-4Part10);音频编码格式:AAC(MPEG4Part3))。</w:t>
            </w:r>
          </w:p>
        </w:tc>
        <w:tc>
          <w:tcPr>
            <w:tcW w:w="1276" w:type="dxa"/>
            <w:tcBorders>
              <w:top w:val="single" w:color="000000" w:sz="8" w:space="0"/>
              <w:left w:val="single" w:color="000000" w:sz="6" w:space="0"/>
              <w:right w:val="single" w:color="000000" w:sz="8" w:space="0"/>
            </w:tcBorders>
            <w:vAlign w:val="center"/>
          </w:tcPr>
          <w:p w14:paraId="290BD2BB">
            <w:pPr>
              <w:keepNext w:val="0"/>
              <w:keepLines w:val="0"/>
              <w:pageBreakBefore w:val="0"/>
              <w:suppressLineNumbers w:val="0"/>
              <w:overflowPunct/>
              <w:topLinePunct w:val="0"/>
              <w:bidi w:val="0"/>
              <w:spacing w:before="0" w:beforeAutospacing="0" w:after="0" w:afterAutospacing="0" w:line="400" w:lineRule="exact"/>
              <w:ind w:left="0" w:right="0"/>
              <w:jc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val="en-US" w:eastAsia="zh-CN"/>
              </w:rPr>
              <w:t>20000</w:t>
            </w:r>
            <w:r>
              <w:rPr>
                <w:rFonts w:hint="eastAsia" w:ascii="宋体" w:hAnsi="宋体" w:eastAsia="宋体" w:cs="宋体"/>
                <w:color w:val="auto"/>
                <w:sz w:val="21"/>
                <w:szCs w:val="21"/>
                <w:highlight w:val="none"/>
              </w:rPr>
              <w:t>.00</w:t>
            </w:r>
          </w:p>
        </w:tc>
      </w:tr>
      <w:tr w14:paraId="3DA667B4">
        <w:tblPrEx>
          <w:tblBorders>
            <w:top w:val="single" w:color="000000" w:sz="8" w:space="0"/>
            <w:left w:val="single" w:color="000000" w:sz="8" w:space="0"/>
            <w:bottom w:val="single" w:color="000000" w:sz="8" w:space="0"/>
            <w:right w:val="single" w:color="000000" w:sz="8" w:space="0"/>
            <w:insideH w:val="single" w:color="000000" w:sz="6" w:space="0"/>
            <w:insideV w:val="single" w:color="000000" w:sz="6" w:space="0"/>
          </w:tblBorders>
          <w:tblCellMar>
            <w:top w:w="0" w:type="dxa"/>
            <w:left w:w="108" w:type="dxa"/>
            <w:bottom w:w="0" w:type="dxa"/>
            <w:right w:w="108" w:type="dxa"/>
          </w:tblCellMar>
        </w:tblPrEx>
        <w:trPr>
          <w:trHeight w:val="23" w:hRule="atLeast"/>
          <w:jc w:val="center"/>
        </w:trPr>
        <w:tc>
          <w:tcPr>
            <w:tcW w:w="5000" w:type="pct"/>
            <w:gridSpan w:val="6"/>
            <w:tcBorders>
              <w:top w:val="single" w:color="000000" w:sz="8" w:space="0"/>
              <w:left w:val="single" w:color="000000" w:sz="8" w:space="0"/>
              <w:bottom w:val="single" w:color="000000" w:sz="6" w:space="0"/>
              <w:right w:val="single" w:color="000000" w:sz="8" w:space="0"/>
            </w:tcBorders>
            <w:tcMar>
              <w:top w:w="0" w:type="dxa"/>
              <w:left w:w="0" w:type="dxa"/>
              <w:bottom w:w="0" w:type="dxa"/>
              <w:right w:w="0" w:type="dxa"/>
            </w:tcMar>
            <w:vAlign w:val="center"/>
          </w:tcPr>
          <w:p w14:paraId="3189F716">
            <w:pPr>
              <w:keepNext w:val="0"/>
              <w:keepLines w:val="0"/>
              <w:pageBreakBefore w:val="0"/>
              <w:suppressLineNumbers w:val="0"/>
              <w:overflowPunct/>
              <w:topLinePunct w:val="0"/>
              <w:bidi w:val="0"/>
              <w:spacing w:before="0" w:beforeAutospacing="0" w:after="0" w:afterAutospacing="0" w:line="400" w:lineRule="exact"/>
              <w:ind w:left="0" w:right="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w:t>
            </w:r>
            <w:r>
              <w:rPr>
                <w:rFonts w:hint="eastAsia" w:ascii="宋体" w:hAnsi="宋体" w:eastAsia="宋体" w:cs="宋体"/>
                <w:b/>
                <w:bCs/>
                <w:color w:val="auto"/>
                <w:sz w:val="21"/>
                <w:szCs w:val="21"/>
                <w:highlight w:val="none"/>
              </w:rPr>
              <w:t>商务条款</w:t>
            </w:r>
          </w:p>
        </w:tc>
      </w:tr>
      <w:tr w14:paraId="09091D51">
        <w:tblPrEx>
          <w:tblBorders>
            <w:top w:val="single" w:color="000000" w:sz="8" w:space="0"/>
            <w:left w:val="single" w:color="000000" w:sz="8" w:space="0"/>
            <w:bottom w:val="single" w:color="000000" w:sz="8" w:space="0"/>
            <w:right w:val="single" w:color="000000" w:sz="8" w:space="0"/>
            <w:insideH w:val="single" w:color="000000" w:sz="6" w:space="0"/>
            <w:insideV w:val="single" w:color="000000" w:sz="6" w:space="0"/>
          </w:tblBorders>
          <w:tblCellMar>
            <w:top w:w="0" w:type="dxa"/>
            <w:left w:w="108" w:type="dxa"/>
            <w:bottom w:w="0" w:type="dxa"/>
            <w:right w:w="108" w:type="dxa"/>
          </w:tblCellMar>
        </w:tblPrEx>
        <w:trPr>
          <w:trHeight w:val="23" w:hRule="atLeast"/>
          <w:jc w:val="center"/>
        </w:trPr>
        <w:tc>
          <w:tcPr>
            <w:tcW w:w="5000" w:type="pct"/>
            <w:gridSpan w:val="6"/>
            <w:tcBorders>
              <w:top w:val="single" w:color="000000" w:sz="8" w:space="0"/>
              <w:left w:val="single" w:color="000000" w:sz="8" w:space="0"/>
              <w:bottom w:val="single" w:color="000000" w:sz="6" w:space="0"/>
              <w:right w:val="single" w:color="000000" w:sz="8" w:space="0"/>
            </w:tcBorders>
            <w:tcMar>
              <w:top w:w="0" w:type="dxa"/>
              <w:left w:w="0" w:type="dxa"/>
              <w:bottom w:w="0" w:type="dxa"/>
              <w:right w:w="0" w:type="dxa"/>
            </w:tcMar>
            <w:vAlign w:val="center"/>
          </w:tcPr>
          <w:p w14:paraId="79CEABB7">
            <w:pPr>
              <w:keepNext w:val="0"/>
              <w:keepLines w:val="0"/>
              <w:pageBreakBefore w:val="0"/>
              <w:widowControl/>
              <w:suppressLineNumbers w:val="0"/>
              <w:kinsoku w:val="0"/>
              <w:overflowPunct/>
              <w:topLinePunct w:val="0"/>
              <w:autoSpaceDE w:val="0"/>
              <w:autoSpaceDN w:val="0"/>
              <w:bidi w:val="0"/>
              <w:adjustRightInd w:val="0"/>
              <w:snapToGrid w:val="0"/>
              <w:spacing w:before="0" w:beforeAutospacing="0" w:after="0" w:afterAutospacing="0" w:line="400" w:lineRule="exact"/>
              <w:ind w:left="0" w:right="0" w:firstLine="420" w:firstLineChars="200"/>
              <w:textAlignment w:val="baseline"/>
              <w:rPr>
                <w:rFonts w:hint="eastAsia" w:ascii="宋体" w:hAnsi="宋体" w:eastAsia="宋体" w:cs="宋体"/>
                <w:color w:val="auto"/>
                <w:spacing w:val="-6"/>
                <w:sz w:val="21"/>
                <w:szCs w:val="21"/>
                <w:highlight w:val="none"/>
              </w:rPr>
            </w:pPr>
            <w:r>
              <w:rPr>
                <w:rFonts w:hint="eastAsia" w:ascii="宋体" w:hAnsi="宋体" w:eastAsia="宋体" w:cs="宋体"/>
                <w:color w:val="auto"/>
                <w:sz w:val="21"/>
                <w:szCs w:val="21"/>
                <w:highlight w:val="none"/>
              </w:rPr>
              <w:t>一、</w:t>
            </w:r>
            <w:r>
              <w:rPr>
                <w:rFonts w:hint="eastAsia" w:ascii="宋体" w:hAnsi="宋体" w:eastAsia="宋体" w:cs="宋体"/>
                <w:color w:val="auto"/>
                <w:spacing w:val="-6"/>
                <w:sz w:val="21"/>
                <w:szCs w:val="21"/>
                <w:highlight w:val="none"/>
              </w:rPr>
              <w:t>合同签订期：自中标通知书发出之日起25日内（注：中标通知书发出之日起25日内必须签订合同）。</w:t>
            </w:r>
          </w:p>
          <w:p w14:paraId="6C58F4C2">
            <w:pPr>
              <w:keepNext w:val="0"/>
              <w:keepLines w:val="0"/>
              <w:pageBreakBefore w:val="0"/>
              <w:widowControl/>
              <w:suppressLineNumbers w:val="0"/>
              <w:kinsoku w:val="0"/>
              <w:overflowPunct/>
              <w:topLinePunct w:val="0"/>
              <w:autoSpaceDE w:val="0"/>
              <w:autoSpaceDN w:val="0"/>
              <w:bidi w:val="0"/>
              <w:adjustRightInd w:val="0"/>
              <w:snapToGrid w:val="0"/>
              <w:spacing w:before="0" w:beforeAutospacing="0" w:after="0" w:afterAutospacing="0" w:line="400" w:lineRule="exact"/>
              <w:ind w:left="0" w:right="0" w:firstLine="420" w:firstLineChars="200"/>
              <w:textAlignment w:val="baseline"/>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二、提交服务成果时间：</w:t>
            </w:r>
            <w:r>
              <w:rPr>
                <w:rFonts w:hint="eastAsia" w:ascii="宋体" w:hAnsi="宋体" w:eastAsia="宋体" w:cs="宋体"/>
                <w:color w:val="auto"/>
                <w:sz w:val="21"/>
                <w:szCs w:val="21"/>
                <w:highlight w:val="none"/>
                <w:lang w:eastAsia="zh-CN"/>
              </w:rPr>
              <w:t>签订合同后</w:t>
            </w:r>
            <w:r>
              <w:rPr>
                <w:rFonts w:hint="eastAsia" w:ascii="宋体" w:hAnsi="宋体" w:eastAsia="宋体" w:cs="宋体"/>
                <w:color w:val="auto"/>
                <w:sz w:val="21"/>
                <w:szCs w:val="21"/>
                <w:highlight w:val="none"/>
                <w:lang w:val="en-US" w:eastAsia="zh-CN"/>
              </w:rPr>
              <w:t>150个日历日</w:t>
            </w:r>
            <w:r>
              <w:rPr>
                <w:rFonts w:hint="eastAsia" w:ascii="宋体" w:hAnsi="宋体" w:eastAsia="宋体" w:cs="宋体"/>
                <w:color w:val="auto"/>
                <w:sz w:val="21"/>
                <w:szCs w:val="21"/>
                <w:highlight w:val="none"/>
              </w:rPr>
              <w:t>提交完成。</w:t>
            </w:r>
          </w:p>
          <w:p w14:paraId="07601A1F">
            <w:pPr>
              <w:keepNext w:val="0"/>
              <w:keepLines w:val="0"/>
              <w:pageBreakBefore w:val="0"/>
              <w:widowControl/>
              <w:suppressLineNumbers w:val="0"/>
              <w:kinsoku w:val="0"/>
              <w:overflowPunct/>
              <w:topLinePunct w:val="0"/>
              <w:autoSpaceDE w:val="0"/>
              <w:autoSpaceDN w:val="0"/>
              <w:bidi w:val="0"/>
              <w:adjustRightInd w:val="0"/>
              <w:snapToGrid w:val="0"/>
              <w:spacing w:before="0" w:beforeAutospacing="0" w:after="0" w:afterAutospacing="0" w:line="400" w:lineRule="exact"/>
              <w:ind w:left="0" w:right="0" w:firstLine="420" w:firstLineChars="200"/>
              <w:textAlignment w:val="baseline"/>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三、提交服务成果地点：采购人指定地点（南宁市卫生学校相思湖校区）。</w:t>
            </w:r>
          </w:p>
          <w:p w14:paraId="66EA6264">
            <w:pPr>
              <w:keepNext w:val="0"/>
              <w:keepLines w:val="0"/>
              <w:pageBreakBefore w:val="0"/>
              <w:widowControl/>
              <w:suppressLineNumbers w:val="0"/>
              <w:kinsoku w:val="0"/>
              <w:overflowPunct/>
              <w:topLinePunct w:val="0"/>
              <w:autoSpaceDE w:val="0"/>
              <w:autoSpaceDN w:val="0"/>
              <w:bidi w:val="0"/>
              <w:adjustRightInd w:val="0"/>
              <w:snapToGrid w:val="0"/>
              <w:spacing w:before="0" w:beforeAutospacing="0" w:after="0" w:afterAutospacing="0" w:line="400" w:lineRule="exact"/>
              <w:ind w:left="0" w:right="0" w:firstLine="420" w:firstLineChars="200"/>
              <w:textAlignment w:val="baseline"/>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val="en-US" w:eastAsia="zh-CN"/>
              </w:rPr>
              <w:t>四</w:t>
            </w:r>
            <w:r>
              <w:rPr>
                <w:rFonts w:hint="eastAsia" w:ascii="宋体" w:hAnsi="宋体" w:eastAsia="宋体" w:cs="宋体"/>
                <w:color w:val="auto"/>
                <w:sz w:val="21"/>
                <w:szCs w:val="21"/>
                <w:highlight w:val="none"/>
              </w:rPr>
              <w:t>、付款</w:t>
            </w:r>
            <w:r>
              <w:rPr>
                <w:rFonts w:hint="eastAsia" w:ascii="宋体" w:hAnsi="宋体" w:eastAsia="宋体" w:cs="宋体"/>
                <w:color w:val="auto"/>
                <w:sz w:val="21"/>
                <w:szCs w:val="21"/>
                <w:highlight w:val="none"/>
                <w:lang w:val="en-US" w:eastAsia="zh-CN"/>
              </w:rPr>
              <w:t>方式</w:t>
            </w:r>
            <w:r>
              <w:rPr>
                <w:rFonts w:hint="eastAsia" w:ascii="宋体" w:hAnsi="宋体" w:eastAsia="宋体" w:cs="宋体"/>
                <w:color w:val="auto"/>
                <w:sz w:val="21"/>
                <w:szCs w:val="21"/>
                <w:highlight w:val="none"/>
              </w:rPr>
              <w:t>：</w:t>
            </w:r>
          </w:p>
          <w:p w14:paraId="03182CBC">
            <w:pPr>
              <w:keepNext w:val="0"/>
              <w:keepLines w:val="0"/>
              <w:pageBreakBefore w:val="0"/>
              <w:widowControl/>
              <w:suppressLineNumbers w:val="0"/>
              <w:kinsoku w:val="0"/>
              <w:overflowPunct/>
              <w:topLinePunct w:val="0"/>
              <w:autoSpaceDE w:val="0"/>
              <w:autoSpaceDN w:val="0"/>
              <w:bidi w:val="0"/>
              <w:adjustRightInd w:val="0"/>
              <w:snapToGrid w:val="0"/>
              <w:spacing w:before="0" w:beforeAutospacing="0" w:after="0" w:afterAutospacing="0" w:line="400" w:lineRule="exact"/>
              <w:ind w:left="0" w:right="0" w:firstLine="420" w:firstLineChars="200"/>
              <w:textAlignment w:val="baseline"/>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1.本项目无预付款，经采购人验收合格后，一次性支付全部合同价款。</w:t>
            </w:r>
          </w:p>
          <w:p w14:paraId="2C96B2E7">
            <w:pPr>
              <w:keepNext w:val="0"/>
              <w:keepLines w:val="0"/>
              <w:pageBreakBefore w:val="0"/>
              <w:widowControl/>
              <w:suppressLineNumbers w:val="0"/>
              <w:kinsoku w:val="0"/>
              <w:overflowPunct/>
              <w:topLinePunct w:val="0"/>
              <w:autoSpaceDE w:val="0"/>
              <w:autoSpaceDN w:val="0"/>
              <w:bidi w:val="0"/>
              <w:adjustRightInd w:val="0"/>
              <w:snapToGrid w:val="0"/>
              <w:spacing w:before="0" w:beforeAutospacing="0" w:after="0" w:afterAutospacing="0" w:line="400" w:lineRule="exact"/>
              <w:ind w:left="0" w:right="0" w:firstLine="420" w:firstLineChars="200"/>
              <w:textAlignment w:val="baseline"/>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2.支付前，</w:t>
            </w:r>
            <w:r>
              <w:rPr>
                <w:rFonts w:hint="eastAsia" w:ascii="宋体" w:hAnsi="宋体" w:eastAsia="宋体" w:cs="宋体"/>
                <w:color w:val="auto"/>
                <w:sz w:val="21"/>
                <w:szCs w:val="21"/>
                <w:highlight w:val="none"/>
                <w:lang w:val="en-US" w:eastAsia="zh-CN"/>
              </w:rPr>
              <w:t>中标人</w:t>
            </w:r>
            <w:r>
              <w:rPr>
                <w:rFonts w:hint="eastAsia" w:ascii="宋体" w:hAnsi="宋体" w:eastAsia="宋体" w:cs="宋体"/>
                <w:color w:val="auto"/>
                <w:sz w:val="21"/>
                <w:szCs w:val="21"/>
                <w:highlight w:val="none"/>
              </w:rPr>
              <w:t>应开具等额发票给</w:t>
            </w:r>
            <w:r>
              <w:rPr>
                <w:rFonts w:hint="eastAsia" w:ascii="宋体" w:hAnsi="宋体" w:eastAsia="宋体" w:cs="宋体"/>
                <w:color w:val="auto"/>
                <w:sz w:val="21"/>
                <w:szCs w:val="21"/>
                <w:highlight w:val="none"/>
                <w:lang w:val="en-US" w:eastAsia="zh-CN"/>
              </w:rPr>
              <w:t>采购人</w:t>
            </w:r>
            <w:r>
              <w:rPr>
                <w:rFonts w:hint="eastAsia" w:ascii="宋体" w:hAnsi="宋体" w:eastAsia="宋体" w:cs="宋体"/>
                <w:color w:val="auto"/>
                <w:sz w:val="21"/>
                <w:szCs w:val="21"/>
                <w:highlight w:val="none"/>
              </w:rPr>
              <w:t>，否则支付顺延引起的责任由</w:t>
            </w:r>
            <w:r>
              <w:rPr>
                <w:rFonts w:hint="eastAsia" w:ascii="宋体" w:hAnsi="宋体" w:eastAsia="宋体" w:cs="宋体"/>
                <w:color w:val="auto"/>
                <w:sz w:val="21"/>
                <w:szCs w:val="21"/>
                <w:highlight w:val="none"/>
                <w:lang w:val="en-US" w:eastAsia="zh-CN"/>
              </w:rPr>
              <w:t>中标人</w:t>
            </w:r>
            <w:r>
              <w:rPr>
                <w:rFonts w:hint="eastAsia" w:ascii="宋体" w:hAnsi="宋体" w:eastAsia="宋体" w:cs="宋体"/>
                <w:color w:val="auto"/>
                <w:sz w:val="21"/>
                <w:szCs w:val="21"/>
                <w:highlight w:val="none"/>
              </w:rPr>
              <w:t>承担。</w:t>
            </w:r>
          </w:p>
          <w:p w14:paraId="1CDC0206">
            <w:pPr>
              <w:keepNext w:val="0"/>
              <w:keepLines w:val="0"/>
              <w:pageBreakBefore w:val="0"/>
              <w:widowControl/>
              <w:suppressLineNumbers w:val="0"/>
              <w:kinsoku w:val="0"/>
              <w:overflowPunct/>
              <w:topLinePunct w:val="0"/>
              <w:autoSpaceDE w:val="0"/>
              <w:autoSpaceDN w:val="0"/>
              <w:bidi w:val="0"/>
              <w:adjustRightInd w:val="0"/>
              <w:snapToGrid w:val="0"/>
              <w:spacing w:before="0" w:beforeAutospacing="0" w:after="0" w:afterAutospacing="0" w:line="400" w:lineRule="exact"/>
              <w:ind w:left="0" w:right="0" w:firstLine="420" w:firstLineChars="200"/>
              <w:textAlignment w:val="baseline"/>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val="en-US" w:eastAsia="zh-CN"/>
              </w:rPr>
              <w:t>五</w:t>
            </w:r>
            <w:r>
              <w:rPr>
                <w:rFonts w:hint="eastAsia" w:ascii="宋体" w:hAnsi="宋体" w:eastAsia="宋体" w:cs="宋体"/>
                <w:color w:val="auto"/>
                <w:sz w:val="21"/>
                <w:szCs w:val="21"/>
                <w:highlight w:val="none"/>
              </w:rPr>
              <w:t>、报价要求：</w:t>
            </w:r>
          </w:p>
          <w:p w14:paraId="5E7B0262">
            <w:pPr>
              <w:keepNext w:val="0"/>
              <w:keepLines w:val="0"/>
              <w:pageBreakBefore w:val="0"/>
              <w:widowControl/>
              <w:suppressLineNumbers w:val="0"/>
              <w:kinsoku w:val="0"/>
              <w:overflowPunct/>
              <w:topLinePunct w:val="0"/>
              <w:autoSpaceDE w:val="0"/>
              <w:autoSpaceDN w:val="0"/>
              <w:bidi w:val="0"/>
              <w:adjustRightInd w:val="0"/>
              <w:snapToGrid w:val="0"/>
              <w:spacing w:before="0" w:beforeAutospacing="0" w:after="0" w:afterAutospacing="0" w:line="400" w:lineRule="exact"/>
              <w:ind w:left="0" w:right="0" w:firstLine="420" w:firstLineChars="200"/>
              <w:textAlignment w:val="baseline"/>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1.本项目报价为全包价（含税）。</w:t>
            </w:r>
            <w:r>
              <w:rPr>
                <w:rFonts w:hint="eastAsia" w:ascii="宋体" w:hAnsi="宋体" w:eastAsia="宋体" w:cs="宋体"/>
                <w:color w:val="auto"/>
                <w:sz w:val="21"/>
                <w:szCs w:val="21"/>
                <w:highlight w:val="none"/>
                <w:lang w:val="en-US" w:eastAsia="zh-CN"/>
              </w:rPr>
              <w:t>供应商</w:t>
            </w:r>
            <w:r>
              <w:rPr>
                <w:rFonts w:hint="eastAsia" w:ascii="宋体" w:hAnsi="宋体" w:eastAsia="宋体" w:cs="宋体"/>
                <w:color w:val="auto"/>
                <w:sz w:val="21"/>
                <w:szCs w:val="21"/>
                <w:highlight w:val="none"/>
              </w:rPr>
              <w:t>报价包括但不限于产品及服务、专用工具、标准附件备件、验收、培训、售后服务、税金等与本项目有关的可预见及不可预见的一切成本和费用的总和，采购人不再为本项目另付其他任何费用。</w:t>
            </w:r>
          </w:p>
          <w:p w14:paraId="63ED5176">
            <w:pPr>
              <w:keepNext w:val="0"/>
              <w:keepLines w:val="0"/>
              <w:pageBreakBefore w:val="0"/>
              <w:widowControl/>
              <w:suppressLineNumbers w:val="0"/>
              <w:kinsoku w:val="0"/>
              <w:overflowPunct/>
              <w:topLinePunct w:val="0"/>
              <w:autoSpaceDE w:val="0"/>
              <w:autoSpaceDN w:val="0"/>
              <w:bidi w:val="0"/>
              <w:adjustRightInd w:val="0"/>
              <w:snapToGrid w:val="0"/>
              <w:spacing w:before="0" w:beforeAutospacing="0" w:after="0" w:afterAutospacing="0" w:line="400" w:lineRule="exact"/>
              <w:ind w:left="0" w:right="0" w:firstLine="420" w:firstLineChars="200"/>
              <w:textAlignment w:val="baseline"/>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2.投标人的投标总价不得超过项目预算总价，否则报价无效。</w:t>
            </w:r>
          </w:p>
          <w:p w14:paraId="167459CB">
            <w:pPr>
              <w:keepNext w:val="0"/>
              <w:keepLines w:val="0"/>
              <w:pageBreakBefore w:val="0"/>
              <w:widowControl/>
              <w:suppressLineNumbers w:val="0"/>
              <w:kinsoku w:val="0"/>
              <w:overflowPunct/>
              <w:topLinePunct w:val="0"/>
              <w:autoSpaceDE w:val="0"/>
              <w:autoSpaceDN w:val="0"/>
              <w:bidi w:val="0"/>
              <w:adjustRightInd w:val="0"/>
              <w:snapToGrid w:val="0"/>
              <w:spacing w:before="0" w:beforeAutospacing="0" w:after="0" w:afterAutospacing="0" w:line="400" w:lineRule="exact"/>
              <w:ind w:left="0" w:right="0" w:firstLine="420" w:firstLineChars="200"/>
              <w:textAlignment w:val="baseline"/>
              <w:rPr>
                <w:rFonts w:hint="eastAsia" w:ascii="宋体" w:hAnsi="宋体" w:eastAsia="宋体" w:cs="宋体"/>
                <w:color w:val="auto"/>
                <w:sz w:val="21"/>
                <w:szCs w:val="21"/>
                <w:highlight w:val="none"/>
              </w:rPr>
            </w:pPr>
            <w:r>
              <w:rPr>
                <w:rFonts w:hint="eastAsia" w:ascii="宋体" w:hAnsi="宋体" w:cs="宋体"/>
                <w:color w:val="auto"/>
                <w:sz w:val="21"/>
                <w:szCs w:val="21"/>
                <w:highlight w:val="none"/>
                <w:lang w:val="en-US" w:eastAsia="zh-CN"/>
              </w:rPr>
              <w:t>六</w:t>
            </w:r>
            <w:r>
              <w:rPr>
                <w:rFonts w:hint="eastAsia" w:ascii="宋体" w:hAnsi="宋体" w:eastAsia="宋体" w:cs="宋体"/>
                <w:color w:val="auto"/>
                <w:sz w:val="21"/>
                <w:szCs w:val="21"/>
                <w:highlight w:val="none"/>
              </w:rPr>
              <w:t>、售后服务</w:t>
            </w:r>
          </w:p>
          <w:p w14:paraId="2F7F1643">
            <w:pPr>
              <w:keepNext w:val="0"/>
              <w:keepLines w:val="0"/>
              <w:pageBreakBefore w:val="0"/>
              <w:widowControl/>
              <w:suppressLineNumbers w:val="0"/>
              <w:kinsoku w:val="0"/>
              <w:overflowPunct/>
              <w:topLinePunct w:val="0"/>
              <w:autoSpaceDE w:val="0"/>
              <w:autoSpaceDN w:val="0"/>
              <w:bidi w:val="0"/>
              <w:adjustRightInd w:val="0"/>
              <w:snapToGrid w:val="0"/>
              <w:spacing w:before="0" w:beforeAutospacing="0" w:after="0" w:afterAutospacing="0" w:line="400" w:lineRule="exact"/>
              <w:ind w:left="0" w:right="0" w:firstLine="420" w:firstLineChars="200"/>
              <w:textAlignment w:val="baseline"/>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1.技术支持服务：设立专门的技术支持团队，提供 7×24 小时的在线服务，通过电话、邮件、在线客服等多种渠道及时响应学校的技术咨询和故障报修。对于一般技术问题，应在 4 小时内给予初步解决方案；对于复杂问题，需在 24 小时内解决或提供有效的解决思路，确保对教学活动的影响降至最低。</w:t>
            </w:r>
          </w:p>
          <w:p w14:paraId="2C71CC7F">
            <w:pPr>
              <w:keepNext w:val="0"/>
              <w:keepLines w:val="0"/>
              <w:pageBreakBefore w:val="0"/>
              <w:widowControl/>
              <w:suppressLineNumbers w:val="0"/>
              <w:kinsoku w:val="0"/>
              <w:overflowPunct/>
              <w:topLinePunct w:val="0"/>
              <w:autoSpaceDE w:val="0"/>
              <w:autoSpaceDN w:val="0"/>
              <w:bidi w:val="0"/>
              <w:adjustRightInd w:val="0"/>
              <w:snapToGrid w:val="0"/>
              <w:spacing w:before="0" w:beforeAutospacing="0" w:after="0" w:afterAutospacing="0" w:line="400" w:lineRule="exact"/>
              <w:ind w:left="0" w:right="0" w:firstLine="420" w:firstLineChars="200"/>
              <w:textAlignment w:val="baseline"/>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2.资源维护与优化服务：每季度对课程的视频、音频、图文等教学资源进行检查和维护，确保资源的清晰度、稳定性和可读性。根据学校师生的反馈和教学实际需求，对课程内容、教学方法、知识图谱等进行优化升级。</w:t>
            </w:r>
          </w:p>
          <w:p w14:paraId="408F44C4">
            <w:pPr>
              <w:keepNext w:val="0"/>
              <w:keepLines w:val="0"/>
              <w:pageBreakBefore w:val="0"/>
              <w:widowControl/>
              <w:suppressLineNumbers w:val="0"/>
              <w:kinsoku w:val="0"/>
              <w:overflowPunct/>
              <w:topLinePunct w:val="0"/>
              <w:autoSpaceDE w:val="0"/>
              <w:autoSpaceDN w:val="0"/>
              <w:bidi w:val="0"/>
              <w:adjustRightInd w:val="0"/>
              <w:snapToGrid w:val="0"/>
              <w:spacing w:before="0" w:beforeAutospacing="0" w:after="0" w:afterAutospacing="0" w:line="400" w:lineRule="exact"/>
              <w:ind w:left="0" w:right="0" w:firstLine="420" w:firstLineChars="200"/>
              <w:textAlignment w:val="baseline"/>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3.平台租赁服务期：本合同项下</w:t>
            </w:r>
            <w:r>
              <w:rPr>
                <w:rFonts w:hint="eastAsia" w:ascii="宋体" w:hAnsi="宋体" w:eastAsia="宋体" w:cs="宋体"/>
                <w:color w:val="auto"/>
                <w:sz w:val="21"/>
                <w:szCs w:val="21"/>
                <w:highlight w:val="none"/>
                <w:lang w:val="en-US" w:eastAsia="zh-CN"/>
              </w:rPr>
              <w:t>中标人</w:t>
            </w:r>
            <w:r>
              <w:rPr>
                <w:rFonts w:hint="eastAsia" w:ascii="宋体" w:hAnsi="宋体" w:eastAsia="宋体" w:cs="宋体"/>
                <w:color w:val="auto"/>
                <w:sz w:val="21"/>
                <w:szCs w:val="21"/>
                <w:highlight w:val="none"/>
              </w:rPr>
              <w:t>完成的建设服务成果（所有课程资源及课程平台运行），</w:t>
            </w:r>
            <w:r>
              <w:rPr>
                <w:rFonts w:hint="eastAsia" w:ascii="宋体" w:hAnsi="宋体" w:eastAsia="宋体" w:cs="宋体"/>
                <w:color w:val="auto"/>
                <w:sz w:val="21"/>
                <w:szCs w:val="21"/>
                <w:highlight w:val="none"/>
                <w:lang w:val="en-US" w:eastAsia="zh-CN"/>
              </w:rPr>
              <w:t>采购人</w:t>
            </w:r>
            <w:r>
              <w:rPr>
                <w:rFonts w:hint="eastAsia" w:ascii="宋体" w:hAnsi="宋体" w:eastAsia="宋体" w:cs="宋体"/>
                <w:color w:val="auto"/>
                <w:sz w:val="21"/>
                <w:szCs w:val="21"/>
                <w:highlight w:val="none"/>
              </w:rPr>
              <w:t>享有永久使用权利，除本合同另有约定或法律规定外，</w:t>
            </w:r>
            <w:r>
              <w:rPr>
                <w:rFonts w:hint="eastAsia" w:ascii="宋体" w:hAnsi="宋体" w:eastAsia="宋体" w:cs="宋体"/>
                <w:color w:val="auto"/>
                <w:sz w:val="21"/>
                <w:szCs w:val="21"/>
                <w:highlight w:val="none"/>
                <w:lang w:val="en-US" w:eastAsia="zh-CN"/>
              </w:rPr>
              <w:t>中标人</w:t>
            </w:r>
            <w:r>
              <w:rPr>
                <w:rFonts w:hint="eastAsia" w:ascii="宋体" w:hAnsi="宋体" w:eastAsia="宋体" w:cs="宋体"/>
                <w:color w:val="auto"/>
                <w:sz w:val="21"/>
                <w:szCs w:val="21"/>
                <w:highlight w:val="none"/>
              </w:rPr>
              <w:t>不得限制</w:t>
            </w:r>
            <w:r>
              <w:rPr>
                <w:rFonts w:hint="eastAsia" w:ascii="宋体" w:hAnsi="宋体" w:eastAsia="宋体" w:cs="宋体"/>
                <w:color w:val="auto"/>
                <w:sz w:val="21"/>
                <w:szCs w:val="21"/>
                <w:highlight w:val="none"/>
                <w:lang w:val="en-US" w:eastAsia="zh-CN"/>
              </w:rPr>
              <w:t>采购人</w:t>
            </w:r>
            <w:r>
              <w:rPr>
                <w:rFonts w:hint="eastAsia" w:ascii="宋体" w:hAnsi="宋体" w:eastAsia="宋体" w:cs="宋体"/>
                <w:color w:val="auto"/>
                <w:sz w:val="21"/>
                <w:szCs w:val="21"/>
                <w:highlight w:val="none"/>
              </w:rPr>
              <w:t>对服务成果的正常使用。</w:t>
            </w:r>
          </w:p>
          <w:p w14:paraId="0576510E">
            <w:pPr>
              <w:keepNext w:val="0"/>
              <w:keepLines w:val="0"/>
              <w:pageBreakBefore w:val="0"/>
              <w:widowControl/>
              <w:suppressLineNumbers w:val="0"/>
              <w:kinsoku w:val="0"/>
              <w:overflowPunct/>
              <w:topLinePunct w:val="0"/>
              <w:autoSpaceDE w:val="0"/>
              <w:autoSpaceDN w:val="0"/>
              <w:bidi w:val="0"/>
              <w:adjustRightInd w:val="0"/>
              <w:snapToGrid w:val="0"/>
              <w:spacing w:before="0" w:beforeAutospacing="0" w:after="0" w:afterAutospacing="0" w:line="400" w:lineRule="exact"/>
              <w:ind w:left="0" w:right="0" w:firstLine="420" w:firstLineChars="200"/>
              <w:textAlignment w:val="baseline"/>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4.质保期：本合同项下建设服务成果的质保期自验收合格之日起起计算，质保期时长为5年。</w:t>
            </w:r>
          </w:p>
          <w:p w14:paraId="06ABAC66">
            <w:pPr>
              <w:keepNext w:val="0"/>
              <w:keepLines w:val="0"/>
              <w:widowControl/>
              <w:suppressLineNumbers w:val="0"/>
              <w:kinsoku w:val="0"/>
              <w:autoSpaceDE w:val="0"/>
              <w:autoSpaceDN w:val="0"/>
              <w:adjustRightInd w:val="0"/>
              <w:snapToGrid w:val="0"/>
              <w:spacing w:before="0" w:beforeAutospacing="0" w:after="0" w:afterAutospacing="0" w:line="400" w:lineRule="exact"/>
              <w:ind w:left="0" w:right="0" w:firstLine="420" w:firstLineChars="200"/>
              <w:textAlignment w:val="baseline"/>
              <w:rPr>
                <w:rFonts w:hint="eastAsia" w:ascii="宋体" w:hAnsi="宋体" w:eastAsia="宋体" w:cs="宋体"/>
                <w:color w:val="auto"/>
                <w:sz w:val="21"/>
                <w:szCs w:val="21"/>
                <w:highlight w:val="none"/>
              </w:rPr>
            </w:pPr>
            <w:r>
              <w:rPr>
                <w:rFonts w:hint="eastAsia" w:ascii="宋体" w:hAnsi="宋体" w:cs="宋体"/>
                <w:color w:val="auto"/>
                <w:sz w:val="21"/>
                <w:szCs w:val="21"/>
                <w:highlight w:val="none"/>
                <w:lang w:val="en-US" w:eastAsia="zh-CN"/>
              </w:rPr>
              <w:t>5.</w:t>
            </w:r>
            <w:r>
              <w:rPr>
                <w:rFonts w:hint="eastAsia" w:ascii="宋体" w:hAnsi="宋体" w:eastAsia="宋体" w:cs="宋体"/>
                <w:color w:val="auto"/>
                <w:sz w:val="21"/>
                <w:szCs w:val="21"/>
                <w:highlight w:val="none"/>
              </w:rPr>
              <w:t>质保责任：质保期内，</w:t>
            </w:r>
            <w:r>
              <w:rPr>
                <w:rFonts w:hint="eastAsia" w:ascii="宋体" w:hAnsi="宋体" w:eastAsia="宋体" w:cs="宋体"/>
                <w:color w:val="auto"/>
                <w:sz w:val="21"/>
                <w:szCs w:val="21"/>
                <w:highlight w:val="none"/>
                <w:lang w:val="en-US" w:eastAsia="zh-CN"/>
              </w:rPr>
              <w:t>中标人</w:t>
            </w:r>
            <w:r>
              <w:rPr>
                <w:rFonts w:hint="eastAsia" w:ascii="宋体" w:hAnsi="宋体" w:eastAsia="宋体" w:cs="宋体"/>
                <w:color w:val="auto"/>
                <w:sz w:val="21"/>
                <w:szCs w:val="21"/>
                <w:highlight w:val="none"/>
              </w:rPr>
              <w:t>应提供日常运维服务，确保服务成果正常使用功能；在5年质保期内，维护服务按</w:t>
            </w:r>
            <w:r>
              <w:rPr>
                <w:rFonts w:hint="eastAsia" w:ascii="宋体" w:hAnsi="宋体" w:eastAsia="宋体" w:cs="宋体"/>
                <w:color w:val="auto"/>
                <w:sz w:val="21"/>
                <w:szCs w:val="21"/>
                <w:highlight w:val="none"/>
                <w:lang w:val="en-US" w:eastAsia="zh-CN"/>
              </w:rPr>
              <w:t>招标文件规定及中标人投标</w:t>
            </w:r>
            <w:r>
              <w:rPr>
                <w:rFonts w:hint="eastAsia" w:ascii="宋体" w:hAnsi="宋体" w:eastAsia="宋体" w:cs="宋体"/>
                <w:color w:val="auto"/>
                <w:sz w:val="21"/>
                <w:szCs w:val="21"/>
                <w:highlight w:val="none"/>
              </w:rPr>
              <w:t>文件承诺。</w:t>
            </w:r>
          </w:p>
        </w:tc>
      </w:tr>
      <w:tr w14:paraId="4E21A12E">
        <w:tblPrEx>
          <w:tblBorders>
            <w:top w:val="single" w:color="000000" w:sz="8" w:space="0"/>
            <w:left w:val="single" w:color="000000" w:sz="8" w:space="0"/>
            <w:bottom w:val="single" w:color="000000" w:sz="8" w:space="0"/>
            <w:right w:val="single" w:color="000000" w:sz="8" w:space="0"/>
            <w:insideH w:val="single" w:color="000000" w:sz="6" w:space="0"/>
            <w:insideV w:val="single" w:color="000000" w:sz="6" w:space="0"/>
          </w:tblBorders>
          <w:tblCellMar>
            <w:top w:w="0" w:type="dxa"/>
            <w:left w:w="108" w:type="dxa"/>
            <w:bottom w:w="0" w:type="dxa"/>
            <w:right w:w="108" w:type="dxa"/>
          </w:tblCellMar>
        </w:tblPrEx>
        <w:trPr>
          <w:trHeight w:val="90" w:hRule="atLeast"/>
          <w:jc w:val="center"/>
        </w:trPr>
        <w:tc>
          <w:tcPr>
            <w:tcW w:w="5000" w:type="pct"/>
            <w:gridSpan w:val="6"/>
            <w:tcBorders>
              <w:top w:val="single" w:color="000000" w:sz="6" w:space="0"/>
              <w:left w:val="single" w:color="000000" w:sz="8" w:space="0"/>
              <w:bottom w:val="single" w:color="000000" w:sz="6" w:space="0"/>
              <w:right w:val="single" w:color="000000" w:sz="8" w:space="0"/>
            </w:tcBorders>
            <w:shd w:val="clear" w:color="auto" w:fill="auto"/>
            <w:vAlign w:val="center"/>
          </w:tcPr>
          <w:p w14:paraId="4FE857B1">
            <w:pPr>
              <w:keepNext w:val="0"/>
              <w:keepLines w:val="0"/>
              <w:pageBreakBefore w:val="0"/>
              <w:suppressLineNumbers w:val="0"/>
              <w:overflowPunct/>
              <w:topLinePunct w:val="0"/>
              <w:bidi w:val="0"/>
              <w:spacing w:before="0" w:beforeAutospacing="0" w:after="0" w:afterAutospacing="0" w:line="400" w:lineRule="exact"/>
              <w:ind w:left="0" w:right="0"/>
              <w:rPr>
                <w:rFonts w:hint="eastAsia" w:ascii="宋体" w:hAnsi="宋体" w:eastAsia="宋体" w:cs="宋体"/>
                <w:b/>
                <w:bCs/>
                <w:color w:val="auto"/>
                <w:sz w:val="21"/>
                <w:szCs w:val="21"/>
                <w:highlight w:val="none"/>
              </w:rPr>
            </w:pPr>
            <w:r>
              <w:rPr>
                <w:rFonts w:hint="eastAsia" w:ascii="宋体" w:hAnsi="宋体" w:eastAsia="宋体" w:cs="宋体"/>
                <w:b/>
                <w:bCs/>
                <w:color w:val="auto"/>
                <w:sz w:val="21"/>
                <w:szCs w:val="21"/>
                <w:highlight w:val="none"/>
              </w:rPr>
              <w:t>其他说明和说明</w:t>
            </w:r>
          </w:p>
        </w:tc>
      </w:tr>
      <w:tr w14:paraId="50B9495C">
        <w:tblPrEx>
          <w:tblBorders>
            <w:top w:val="single" w:color="000000" w:sz="8" w:space="0"/>
            <w:left w:val="single" w:color="000000" w:sz="8" w:space="0"/>
            <w:bottom w:val="single" w:color="000000" w:sz="8" w:space="0"/>
            <w:right w:val="single" w:color="000000" w:sz="8" w:space="0"/>
            <w:insideH w:val="single" w:color="000000" w:sz="6" w:space="0"/>
            <w:insideV w:val="single" w:color="000000" w:sz="6" w:space="0"/>
          </w:tblBorders>
          <w:tblCellMar>
            <w:top w:w="0" w:type="dxa"/>
            <w:left w:w="108" w:type="dxa"/>
            <w:bottom w:w="0" w:type="dxa"/>
            <w:right w:w="108" w:type="dxa"/>
          </w:tblCellMar>
        </w:tblPrEx>
        <w:trPr>
          <w:trHeight w:val="520" w:hRule="atLeast"/>
          <w:jc w:val="center"/>
        </w:trPr>
        <w:tc>
          <w:tcPr>
            <w:tcW w:w="887" w:type="pct"/>
            <w:gridSpan w:val="2"/>
            <w:tcBorders>
              <w:top w:val="single" w:color="000000" w:sz="6" w:space="0"/>
              <w:left w:val="single" w:color="000000" w:sz="8" w:space="0"/>
              <w:bottom w:val="single" w:color="000000" w:sz="6" w:space="0"/>
              <w:right w:val="single" w:color="000000" w:sz="6" w:space="0"/>
            </w:tcBorders>
            <w:shd w:val="clear" w:color="auto" w:fill="auto"/>
            <w:vAlign w:val="center"/>
          </w:tcPr>
          <w:p w14:paraId="6EBA01CE">
            <w:pPr>
              <w:keepNext w:val="0"/>
              <w:keepLines w:val="0"/>
              <w:pageBreakBefore w:val="0"/>
              <w:widowControl/>
              <w:suppressLineNumbers w:val="0"/>
              <w:shd w:val="clear" w:color="auto" w:fill="FFFFFF"/>
              <w:overflowPunct/>
              <w:topLinePunct w:val="0"/>
              <w:bidi w:val="0"/>
              <w:spacing w:before="0" w:beforeAutospacing="0" w:after="0" w:afterAutospacing="0" w:line="400" w:lineRule="exact"/>
              <w:ind w:left="0" w:right="0"/>
              <w:jc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进口产品说明</w:t>
            </w:r>
          </w:p>
        </w:tc>
        <w:tc>
          <w:tcPr>
            <w:tcW w:w="4112" w:type="pct"/>
            <w:gridSpan w:val="4"/>
            <w:tcBorders>
              <w:top w:val="single" w:color="000000" w:sz="6" w:space="0"/>
              <w:left w:val="single" w:color="000000" w:sz="6" w:space="0"/>
              <w:bottom w:val="single" w:color="000000" w:sz="6" w:space="0"/>
              <w:right w:val="single" w:color="000000" w:sz="8" w:space="0"/>
            </w:tcBorders>
            <w:shd w:val="clear" w:color="auto" w:fill="auto"/>
          </w:tcPr>
          <w:p w14:paraId="155E17E7">
            <w:pPr>
              <w:keepNext w:val="0"/>
              <w:keepLines w:val="0"/>
              <w:pageBreakBefore w:val="0"/>
              <w:suppressLineNumbers w:val="0"/>
              <w:tabs>
                <w:tab w:val="left" w:pos="180"/>
                <w:tab w:val="left" w:pos="1620"/>
              </w:tabs>
              <w:overflowPunct/>
              <w:topLinePunct w:val="0"/>
              <w:bidi w:val="0"/>
              <w:spacing w:before="0" w:beforeAutospacing="0" w:after="0" w:afterAutospacing="0" w:line="400" w:lineRule="exact"/>
              <w:ind w:left="0" w:right="0" w:firstLine="420" w:firstLineChars="20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服务类项目无要求</w:t>
            </w:r>
          </w:p>
        </w:tc>
      </w:tr>
      <w:tr w14:paraId="7D4C753F">
        <w:tblPrEx>
          <w:tblBorders>
            <w:top w:val="single" w:color="000000" w:sz="8" w:space="0"/>
            <w:left w:val="single" w:color="000000" w:sz="8" w:space="0"/>
            <w:bottom w:val="single" w:color="000000" w:sz="8" w:space="0"/>
            <w:right w:val="single" w:color="000000" w:sz="8" w:space="0"/>
            <w:insideH w:val="single" w:color="000000" w:sz="6" w:space="0"/>
            <w:insideV w:val="single" w:color="000000" w:sz="6" w:space="0"/>
          </w:tblBorders>
          <w:tblCellMar>
            <w:top w:w="0" w:type="dxa"/>
            <w:left w:w="108" w:type="dxa"/>
            <w:bottom w:w="0" w:type="dxa"/>
            <w:right w:w="108" w:type="dxa"/>
          </w:tblCellMar>
        </w:tblPrEx>
        <w:trPr>
          <w:trHeight w:val="460" w:hRule="atLeast"/>
          <w:jc w:val="center"/>
        </w:trPr>
        <w:tc>
          <w:tcPr>
            <w:tcW w:w="887" w:type="pct"/>
            <w:gridSpan w:val="2"/>
            <w:tcBorders>
              <w:top w:val="single" w:color="000000" w:sz="6" w:space="0"/>
              <w:left w:val="single" w:color="000000" w:sz="8" w:space="0"/>
              <w:bottom w:val="single" w:color="000000" w:sz="6" w:space="0"/>
              <w:right w:val="single" w:color="000000" w:sz="6" w:space="0"/>
            </w:tcBorders>
            <w:shd w:val="clear" w:color="auto" w:fill="auto"/>
            <w:vAlign w:val="center"/>
          </w:tcPr>
          <w:p w14:paraId="5374BDE7">
            <w:pPr>
              <w:keepNext w:val="0"/>
              <w:keepLines w:val="0"/>
              <w:pageBreakBefore w:val="0"/>
              <w:widowControl/>
              <w:suppressLineNumbers w:val="0"/>
              <w:shd w:val="clear" w:color="auto" w:fill="FFFFFF"/>
              <w:overflowPunct/>
              <w:topLinePunct w:val="0"/>
              <w:bidi w:val="0"/>
              <w:spacing w:before="0" w:beforeAutospacing="0" w:after="0" w:afterAutospacing="0" w:line="400" w:lineRule="exact"/>
              <w:ind w:left="0" w:right="0"/>
              <w:jc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核心产品</w:t>
            </w:r>
          </w:p>
        </w:tc>
        <w:tc>
          <w:tcPr>
            <w:tcW w:w="4112" w:type="pct"/>
            <w:gridSpan w:val="4"/>
            <w:tcBorders>
              <w:top w:val="single" w:color="000000" w:sz="6" w:space="0"/>
              <w:left w:val="single" w:color="000000" w:sz="6" w:space="0"/>
              <w:bottom w:val="single" w:color="000000" w:sz="6" w:space="0"/>
              <w:right w:val="single" w:color="000000" w:sz="8" w:space="0"/>
            </w:tcBorders>
            <w:shd w:val="clear" w:color="auto" w:fill="auto"/>
          </w:tcPr>
          <w:p w14:paraId="02E2E94E">
            <w:pPr>
              <w:keepNext w:val="0"/>
              <w:keepLines w:val="0"/>
              <w:pageBreakBefore w:val="0"/>
              <w:suppressLineNumbers w:val="0"/>
              <w:tabs>
                <w:tab w:val="left" w:pos="180"/>
                <w:tab w:val="left" w:pos="1620"/>
              </w:tabs>
              <w:overflowPunct/>
              <w:topLinePunct w:val="0"/>
              <w:bidi w:val="0"/>
              <w:spacing w:before="0" w:beforeAutospacing="0" w:after="0" w:afterAutospacing="0" w:line="400" w:lineRule="exact"/>
              <w:ind w:left="0" w:right="0" w:firstLine="420" w:firstLineChars="20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服务类项目无要求</w:t>
            </w:r>
          </w:p>
        </w:tc>
      </w:tr>
      <w:tr w14:paraId="4C6C8A83">
        <w:tblPrEx>
          <w:tblBorders>
            <w:top w:val="single" w:color="000000" w:sz="8" w:space="0"/>
            <w:left w:val="single" w:color="000000" w:sz="8" w:space="0"/>
            <w:bottom w:val="single" w:color="000000" w:sz="8" w:space="0"/>
            <w:right w:val="single" w:color="000000" w:sz="8" w:space="0"/>
            <w:insideH w:val="single" w:color="000000" w:sz="6" w:space="0"/>
            <w:insideV w:val="single" w:color="000000" w:sz="6" w:space="0"/>
          </w:tblBorders>
          <w:tblCellMar>
            <w:top w:w="0" w:type="dxa"/>
            <w:left w:w="108" w:type="dxa"/>
            <w:bottom w:w="0" w:type="dxa"/>
            <w:right w:w="108" w:type="dxa"/>
          </w:tblCellMar>
        </w:tblPrEx>
        <w:trPr>
          <w:trHeight w:val="693" w:hRule="atLeast"/>
          <w:jc w:val="center"/>
        </w:trPr>
        <w:tc>
          <w:tcPr>
            <w:tcW w:w="887" w:type="pct"/>
            <w:gridSpan w:val="2"/>
            <w:tcBorders>
              <w:top w:val="single" w:color="000000" w:sz="6" w:space="0"/>
              <w:left w:val="single" w:color="000000" w:sz="8" w:space="0"/>
              <w:bottom w:val="single" w:color="000000" w:sz="6" w:space="0"/>
              <w:right w:val="single" w:color="000000" w:sz="6" w:space="0"/>
            </w:tcBorders>
            <w:shd w:val="clear" w:color="auto" w:fill="FFFFFF"/>
            <w:vAlign w:val="center"/>
          </w:tcPr>
          <w:p w14:paraId="3C881B7A">
            <w:pPr>
              <w:keepNext w:val="0"/>
              <w:keepLines w:val="0"/>
              <w:pageBreakBefore w:val="0"/>
              <w:widowControl/>
              <w:suppressLineNumbers w:val="0"/>
              <w:shd w:val="clear" w:color="auto" w:fill="FFFFFF"/>
              <w:overflowPunct/>
              <w:topLinePunct w:val="0"/>
              <w:bidi w:val="0"/>
              <w:spacing w:before="0" w:beforeAutospacing="0" w:after="0" w:afterAutospacing="0" w:line="400" w:lineRule="exact"/>
              <w:ind w:left="0" w:right="0"/>
              <w:jc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验收标准</w:t>
            </w:r>
          </w:p>
        </w:tc>
        <w:tc>
          <w:tcPr>
            <w:tcW w:w="4112" w:type="pct"/>
            <w:gridSpan w:val="4"/>
            <w:tcBorders>
              <w:top w:val="single" w:color="000000" w:sz="6" w:space="0"/>
              <w:left w:val="single" w:color="000000" w:sz="6" w:space="0"/>
              <w:bottom w:val="single" w:color="000000" w:sz="6" w:space="0"/>
              <w:right w:val="single" w:color="000000" w:sz="8" w:space="0"/>
            </w:tcBorders>
            <w:shd w:val="clear" w:color="auto" w:fill="FFFFFF"/>
            <w:vAlign w:val="center"/>
          </w:tcPr>
          <w:p w14:paraId="143A4781">
            <w:pPr>
              <w:keepNext w:val="0"/>
              <w:keepLines w:val="0"/>
              <w:pageBreakBefore w:val="0"/>
              <w:suppressLineNumbers w:val="0"/>
              <w:overflowPunct/>
              <w:topLinePunct w:val="0"/>
              <w:bidi w:val="0"/>
              <w:spacing w:before="0" w:beforeAutospacing="0" w:after="0" w:afterAutospacing="0" w:line="400" w:lineRule="exact"/>
              <w:ind w:left="0" w:right="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val="en-US" w:eastAsia="zh-CN"/>
              </w:rPr>
              <w:t>1</w:t>
            </w:r>
            <w:r>
              <w:rPr>
                <w:rFonts w:hint="eastAsia" w:ascii="宋体" w:hAnsi="宋体" w:eastAsia="宋体" w:cs="宋体"/>
                <w:color w:val="auto"/>
                <w:sz w:val="21"/>
                <w:szCs w:val="21"/>
                <w:highlight w:val="none"/>
              </w:rPr>
              <w:t>、验收工作由采购人组织。中标人交付前应对拟交付的服务进行全面检查和对验收文件进行整理，并列出清单，作为采购人接收服务成果验收和使用的技术条件依据，与之相关检查、检验的结果应随服务交采购人。中标人不能完整交付服务及本款规定的单证和工具的，必须负责在采购人要求的期限内补齐，否则视为未按合同约定交付服务。</w:t>
            </w:r>
          </w:p>
          <w:p w14:paraId="75C9CB7E">
            <w:pPr>
              <w:keepNext w:val="0"/>
              <w:keepLines w:val="0"/>
              <w:pageBreakBefore w:val="0"/>
              <w:suppressLineNumbers w:val="0"/>
              <w:overflowPunct/>
              <w:topLinePunct w:val="0"/>
              <w:bidi w:val="0"/>
              <w:spacing w:before="0" w:beforeAutospacing="0" w:after="0" w:afterAutospacing="0" w:line="400" w:lineRule="exact"/>
              <w:ind w:left="0" w:right="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val="en-US" w:eastAsia="zh-CN"/>
              </w:rPr>
              <w:t>2</w:t>
            </w:r>
            <w:r>
              <w:rPr>
                <w:rFonts w:hint="eastAsia" w:ascii="宋体" w:hAnsi="宋体" w:eastAsia="宋体" w:cs="宋体"/>
                <w:color w:val="auto"/>
                <w:sz w:val="21"/>
                <w:szCs w:val="21"/>
                <w:highlight w:val="none"/>
              </w:rPr>
              <w:t>、验收不通过的，根据采购人意见进行整改，直到验收通过为止，期间产生相关费用由中标人承担。</w:t>
            </w:r>
          </w:p>
          <w:p w14:paraId="7C3A7905">
            <w:pPr>
              <w:keepNext w:val="0"/>
              <w:keepLines w:val="0"/>
              <w:pageBreakBefore w:val="0"/>
              <w:suppressLineNumbers w:val="0"/>
              <w:overflowPunct/>
              <w:topLinePunct w:val="0"/>
              <w:bidi w:val="0"/>
              <w:spacing w:before="0" w:beforeAutospacing="0" w:after="0" w:afterAutospacing="0" w:line="400" w:lineRule="exact"/>
              <w:ind w:left="0" w:right="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val="en-US" w:eastAsia="zh-CN"/>
              </w:rPr>
              <w:t>3</w:t>
            </w:r>
            <w:r>
              <w:rPr>
                <w:rFonts w:hint="eastAsia" w:ascii="宋体" w:hAnsi="宋体" w:eastAsia="宋体" w:cs="宋体"/>
                <w:color w:val="auto"/>
                <w:sz w:val="21"/>
                <w:szCs w:val="21"/>
                <w:highlight w:val="none"/>
              </w:rPr>
              <w:t>、其他未尽事宜应严格按照《关于印发广西壮族自治区政府采购项目履约验收管理办法的通知》[桂财采〔2015〕22号]以及《财政部关于进一步加强政府采购需求和履约验收管理的指导意见》[财库〔2016〕205号]规定执行。</w:t>
            </w:r>
          </w:p>
          <w:p w14:paraId="0D04109B">
            <w:pPr>
              <w:keepNext w:val="0"/>
              <w:keepLines w:val="0"/>
              <w:pageBreakBefore w:val="0"/>
              <w:suppressLineNumbers w:val="0"/>
              <w:overflowPunct/>
              <w:topLinePunct w:val="0"/>
              <w:bidi w:val="0"/>
              <w:spacing w:before="0" w:beforeAutospacing="0" w:after="0" w:afterAutospacing="0" w:line="400" w:lineRule="exact"/>
              <w:ind w:left="0" w:right="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val="en-US" w:eastAsia="zh-CN"/>
              </w:rPr>
              <w:t>4</w:t>
            </w:r>
            <w:r>
              <w:rPr>
                <w:rFonts w:hint="eastAsia" w:ascii="宋体" w:hAnsi="宋体" w:eastAsia="宋体" w:cs="宋体"/>
                <w:color w:val="auto"/>
                <w:sz w:val="21"/>
                <w:szCs w:val="21"/>
                <w:highlight w:val="none"/>
              </w:rPr>
              <w:t>、验收产生的费用由中标人负责。</w:t>
            </w:r>
          </w:p>
          <w:p w14:paraId="7A6C3A86">
            <w:pPr>
              <w:keepNext w:val="0"/>
              <w:keepLines w:val="0"/>
              <w:pageBreakBefore w:val="0"/>
              <w:suppressLineNumbers w:val="0"/>
              <w:overflowPunct/>
              <w:topLinePunct w:val="0"/>
              <w:bidi w:val="0"/>
              <w:spacing w:before="0" w:beforeAutospacing="0" w:after="0" w:afterAutospacing="0" w:line="400" w:lineRule="exact"/>
              <w:ind w:left="0" w:right="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val="en-US" w:eastAsia="zh-CN"/>
              </w:rPr>
              <w:t>5</w:t>
            </w:r>
            <w:r>
              <w:rPr>
                <w:rFonts w:hint="eastAsia" w:ascii="宋体" w:hAnsi="宋体" w:eastAsia="宋体" w:cs="宋体"/>
                <w:color w:val="auto"/>
                <w:sz w:val="21"/>
                <w:szCs w:val="21"/>
                <w:highlight w:val="none"/>
              </w:rPr>
              <w:t>、验收条件及标准：</w:t>
            </w:r>
          </w:p>
          <w:p w14:paraId="3B1753FD">
            <w:pPr>
              <w:keepNext w:val="0"/>
              <w:keepLines w:val="0"/>
              <w:pageBreakBefore w:val="0"/>
              <w:suppressLineNumbers w:val="0"/>
              <w:overflowPunct/>
              <w:topLinePunct w:val="0"/>
              <w:bidi w:val="0"/>
              <w:spacing w:before="0" w:beforeAutospacing="0" w:after="0" w:afterAutospacing="0" w:line="400" w:lineRule="exact"/>
              <w:ind w:left="0" w:right="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（1）验收过程中所产生的一切费用均由中标人承担，报价时需考虑相关费用。</w:t>
            </w:r>
          </w:p>
          <w:p w14:paraId="63D6BE8B">
            <w:pPr>
              <w:keepNext w:val="0"/>
              <w:keepLines w:val="0"/>
              <w:pageBreakBefore w:val="0"/>
              <w:suppressLineNumbers w:val="0"/>
              <w:overflowPunct/>
              <w:topLinePunct w:val="0"/>
              <w:bidi w:val="0"/>
              <w:spacing w:before="0" w:beforeAutospacing="0" w:after="0" w:afterAutospacing="0" w:line="400" w:lineRule="exact"/>
              <w:ind w:left="0" w:right="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（2）验收标准：本项目采购标的需执行的国家相关标准、行业标准、地方标准或其他强制性标准、规范等要求。</w:t>
            </w:r>
          </w:p>
          <w:p w14:paraId="6BE967DD">
            <w:pPr>
              <w:keepNext w:val="0"/>
              <w:keepLines w:val="0"/>
              <w:pageBreakBefore w:val="0"/>
              <w:suppressLineNumbers w:val="0"/>
              <w:overflowPunct/>
              <w:topLinePunct w:val="0"/>
              <w:bidi w:val="0"/>
              <w:spacing w:before="0" w:beforeAutospacing="0" w:after="0" w:afterAutospacing="0" w:line="400" w:lineRule="exact"/>
              <w:ind w:left="0" w:right="0"/>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rPr>
              <w:t>（</w:t>
            </w:r>
            <w:r>
              <w:rPr>
                <w:rFonts w:hint="eastAsia" w:ascii="宋体" w:hAnsi="宋体" w:eastAsia="宋体" w:cs="宋体"/>
                <w:color w:val="auto"/>
                <w:sz w:val="21"/>
                <w:szCs w:val="21"/>
                <w:highlight w:val="none"/>
                <w:lang w:val="en-US" w:eastAsia="zh-CN"/>
              </w:rPr>
              <w:t>3</w:t>
            </w:r>
            <w:r>
              <w:rPr>
                <w:rFonts w:hint="eastAsia" w:ascii="宋体" w:hAnsi="宋体" w:eastAsia="宋体" w:cs="宋体"/>
                <w:color w:val="auto"/>
                <w:sz w:val="21"/>
                <w:szCs w:val="21"/>
                <w:highlight w:val="none"/>
              </w:rPr>
              <w:t>）</w:t>
            </w:r>
            <w:r>
              <w:rPr>
                <w:rFonts w:hint="eastAsia" w:ascii="宋体" w:hAnsi="宋体" w:eastAsia="宋体" w:cs="宋体"/>
                <w:color w:val="auto"/>
                <w:sz w:val="21"/>
                <w:szCs w:val="21"/>
                <w:highlight w:val="none"/>
                <w:lang w:val="en-US" w:eastAsia="zh-CN"/>
              </w:rPr>
              <w:t>验收要点：1.《可摘义齿修复工艺技术》、《口腔解剖与牙雕刻技术》、《固定义齿制作工艺》的知识图谱、目标图谱、能力图谱、知识地图、思政图谱；AI助教系统；三门课程的智慧课程门户升级。</w:t>
            </w:r>
          </w:p>
          <w:p w14:paraId="2465BE2C">
            <w:pPr>
              <w:keepNext w:val="0"/>
              <w:keepLines w:val="0"/>
              <w:pageBreakBefore w:val="0"/>
              <w:suppressLineNumbers w:val="0"/>
              <w:overflowPunct/>
              <w:topLinePunct w:val="0"/>
              <w:bidi w:val="0"/>
              <w:spacing w:before="0" w:beforeAutospacing="0" w:after="0" w:afterAutospacing="0" w:line="400" w:lineRule="exact"/>
              <w:ind w:left="0" w:right="0"/>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2.《口腔医学美学基础》、《口腔正畸技术》两门课程微课视频时长共不少于</w:t>
            </w:r>
            <w:r>
              <w:rPr>
                <w:rFonts w:hint="eastAsia" w:ascii="宋体" w:hAnsi="宋体" w:cs="宋体"/>
                <w:color w:val="auto"/>
                <w:sz w:val="21"/>
                <w:szCs w:val="21"/>
                <w:highlight w:val="none"/>
                <w:lang w:val="en-US" w:eastAsia="zh-CN"/>
              </w:rPr>
              <w:t>240</w:t>
            </w:r>
            <w:r>
              <w:rPr>
                <w:rFonts w:hint="eastAsia" w:ascii="宋体" w:hAnsi="宋体" w:eastAsia="宋体" w:cs="宋体"/>
                <w:color w:val="auto"/>
                <w:sz w:val="21"/>
                <w:szCs w:val="21"/>
                <w:highlight w:val="none"/>
                <w:lang w:val="en-US" w:eastAsia="zh-CN"/>
              </w:rPr>
              <w:t>分钟，微课视频不少于40个，平均每个视频时长要求6-10分钟左右，并提供无学校标识的微课版本。</w:t>
            </w:r>
          </w:p>
          <w:p w14:paraId="3CB3D808">
            <w:pPr>
              <w:keepNext w:val="0"/>
              <w:keepLines w:val="0"/>
              <w:pageBreakBefore w:val="0"/>
              <w:suppressLineNumbers w:val="0"/>
              <w:overflowPunct/>
              <w:topLinePunct w:val="0"/>
              <w:bidi w:val="0"/>
              <w:spacing w:before="0" w:beforeAutospacing="0" w:after="0" w:afterAutospacing="0" w:line="400" w:lineRule="exact"/>
              <w:ind w:left="0" w:right="0"/>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3.《口腔医学美学基础》、《口腔正畸技术》两门课程配套题库各1套，每门课程题库题量均不少于400题。</w:t>
            </w:r>
          </w:p>
          <w:p w14:paraId="3CBE97C4">
            <w:pPr>
              <w:keepNext w:val="0"/>
              <w:keepLines w:val="0"/>
              <w:pageBreakBefore w:val="0"/>
              <w:suppressLineNumbers w:val="0"/>
              <w:overflowPunct/>
              <w:topLinePunct w:val="0"/>
              <w:bidi w:val="0"/>
              <w:spacing w:before="0" w:beforeAutospacing="0" w:after="0" w:afterAutospacing="0" w:line="400" w:lineRule="exact"/>
              <w:ind w:left="0" w:right="0"/>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4.《3D义齿修复技术》时长不少于150分钟，中文微课和英文微课（含中文字幕）</w:t>
            </w:r>
            <w:r>
              <w:rPr>
                <w:rFonts w:hint="eastAsia" w:ascii="宋体" w:hAnsi="宋体" w:cs="宋体"/>
                <w:color w:val="auto"/>
                <w:sz w:val="21"/>
                <w:szCs w:val="21"/>
                <w:highlight w:val="none"/>
                <w:lang w:val="en-US" w:eastAsia="zh-CN"/>
              </w:rPr>
              <w:t>各不少于75分钟</w:t>
            </w:r>
            <w:r>
              <w:rPr>
                <w:rFonts w:hint="eastAsia" w:ascii="宋体" w:hAnsi="宋体" w:eastAsia="宋体" w:cs="宋体"/>
                <w:color w:val="auto"/>
                <w:sz w:val="21"/>
                <w:szCs w:val="21"/>
                <w:highlight w:val="none"/>
                <w:lang w:val="en-US" w:eastAsia="zh-CN"/>
              </w:rPr>
              <w:t>。</w:t>
            </w:r>
          </w:p>
          <w:p w14:paraId="554F16F2">
            <w:pPr>
              <w:keepNext w:val="0"/>
              <w:keepLines w:val="0"/>
              <w:pageBreakBefore w:val="0"/>
              <w:suppressLineNumbers w:val="0"/>
              <w:overflowPunct/>
              <w:topLinePunct w:val="0"/>
              <w:bidi w:val="0"/>
              <w:spacing w:before="0" w:beforeAutospacing="0" w:after="0" w:afterAutospacing="0" w:line="400" w:lineRule="exact"/>
              <w:ind w:left="0" w:right="0"/>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5.《口腔医学美学基础》、《口腔正畸技术》、《3D义齿修复技术》3门课程根据教师制作的素材进行PPT美化。</w:t>
            </w:r>
          </w:p>
          <w:p w14:paraId="6B0F18E2">
            <w:pPr>
              <w:keepNext w:val="0"/>
              <w:keepLines w:val="0"/>
              <w:pageBreakBefore w:val="0"/>
              <w:suppressLineNumbers w:val="0"/>
              <w:overflowPunct/>
              <w:topLinePunct w:val="0"/>
              <w:bidi w:val="0"/>
              <w:spacing w:before="0" w:beforeAutospacing="0" w:after="0" w:afterAutospacing="0" w:line="400" w:lineRule="exact"/>
              <w:ind w:left="0" w:right="0"/>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6.口腔修复专业资源库3D元宇宙虚拟展厅建设和固定义齿课程展厅。</w:t>
            </w:r>
          </w:p>
          <w:p w14:paraId="5F9378E8">
            <w:pPr>
              <w:keepNext w:val="0"/>
              <w:keepLines w:val="0"/>
              <w:pageBreakBefore w:val="0"/>
              <w:suppressLineNumbers w:val="0"/>
              <w:overflowPunct/>
              <w:topLinePunct w:val="0"/>
              <w:bidi w:val="0"/>
              <w:spacing w:before="0" w:beforeAutospacing="0" w:after="0" w:afterAutospacing="0" w:line="400" w:lineRule="exact"/>
              <w:ind w:left="0" w:right="0"/>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7.《可摘义齿》国际化课程30个中泰英三语翻译视频、25个PPT、配套试题库三语翻译。</w:t>
            </w:r>
          </w:p>
          <w:p w14:paraId="77A5E27D">
            <w:pPr>
              <w:keepNext w:val="0"/>
              <w:keepLines w:val="0"/>
              <w:pageBreakBefore w:val="0"/>
              <w:suppressLineNumbers w:val="0"/>
              <w:overflowPunct/>
              <w:topLinePunct w:val="0"/>
              <w:bidi w:val="0"/>
              <w:spacing w:before="0" w:beforeAutospacing="0" w:after="0" w:afterAutospacing="0" w:line="400" w:lineRule="exact"/>
              <w:ind w:left="0" w:right="0"/>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8.二维思政动画不少于30分钟，每个1-3分钟。</w:t>
            </w:r>
          </w:p>
          <w:p w14:paraId="6CA4FADD">
            <w:pPr>
              <w:keepNext w:val="0"/>
              <w:keepLines w:val="0"/>
              <w:pageBreakBefore w:val="0"/>
              <w:suppressLineNumbers w:val="0"/>
              <w:overflowPunct/>
              <w:topLinePunct w:val="0"/>
              <w:bidi w:val="0"/>
              <w:spacing w:before="0" w:beforeAutospacing="0" w:after="0" w:afterAutospacing="0" w:line="400" w:lineRule="exact"/>
              <w:ind w:left="0" w:right="0"/>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9.教师混合式教学比赛视频：录制3段课堂实录视频，课堂实录视频每段时长8-12分钟，总时长控制在24-36分钟。</w:t>
            </w:r>
          </w:p>
          <w:p w14:paraId="20580829">
            <w:pPr>
              <w:keepNext w:val="0"/>
              <w:keepLines w:val="0"/>
              <w:pageBreakBefore w:val="0"/>
              <w:suppressLineNumbers w:val="0"/>
              <w:overflowPunct/>
              <w:topLinePunct w:val="0"/>
              <w:bidi w:val="0"/>
              <w:spacing w:before="0" w:beforeAutospacing="0" w:after="0" w:afterAutospacing="0" w:line="400" w:lineRule="exact"/>
              <w:ind w:left="0" w:right="0"/>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10.搭建3个AI智能体。</w:t>
            </w:r>
          </w:p>
          <w:p w14:paraId="06A6541B">
            <w:pPr>
              <w:keepNext w:val="0"/>
              <w:keepLines w:val="0"/>
              <w:pageBreakBefore w:val="0"/>
              <w:suppressLineNumbers w:val="0"/>
              <w:overflowPunct/>
              <w:topLinePunct w:val="0"/>
              <w:bidi w:val="0"/>
              <w:spacing w:before="0" w:beforeAutospacing="0" w:after="0" w:afterAutospacing="0" w:line="400" w:lineRule="exact"/>
              <w:ind w:left="0" w:right="0"/>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11.微课比赛视频：6个比赛级微课视频，每段微课时长5-10分钟，配套PPT的美化。</w:t>
            </w:r>
          </w:p>
          <w:p w14:paraId="32D6E300">
            <w:pPr>
              <w:keepNext w:val="0"/>
              <w:keepLines w:val="0"/>
              <w:pageBreakBefore w:val="0"/>
              <w:suppressLineNumbers w:val="0"/>
              <w:overflowPunct/>
              <w:topLinePunct w:val="0"/>
              <w:bidi w:val="0"/>
              <w:spacing w:before="0" w:beforeAutospacing="0" w:after="0" w:afterAutospacing="0" w:line="400" w:lineRule="exact"/>
              <w:ind w:left="0" w:right="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val="en-US" w:eastAsia="zh-CN"/>
              </w:rPr>
              <w:t>12.合同约定的其他条款</w:t>
            </w:r>
          </w:p>
        </w:tc>
      </w:tr>
      <w:tr w14:paraId="1FB690DC">
        <w:tblPrEx>
          <w:tblBorders>
            <w:top w:val="single" w:color="000000" w:sz="8" w:space="0"/>
            <w:left w:val="single" w:color="000000" w:sz="8" w:space="0"/>
            <w:bottom w:val="single" w:color="000000" w:sz="8" w:space="0"/>
            <w:right w:val="single" w:color="000000" w:sz="8" w:space="0"/>
            <w:insideH w:val="single" w:color="000000" w:sz="6" w:space="0"/>
            <w:insideV w:val="single" w:color="000000" w:sz="6" w:space="0"/>
          </w:tblBorders>
          <w:tblCellMar>
            <w:top w:w="0" w:type="dxa"/>
            <w:left w:w="108" w:type="dxa"/>
            <w:bottom w:w="0" w:type="dxa"/>
            <w:right w:w="108" w:type="dxa"/>
          </w:tblCellMar>
        </w:tblPrEx>
        <w:trPr>
          <w:trHeight w:val="328" w:hRule="atLeast"/>
          <w:jc w:val="center"/>
        </w:trPr>
        <w:tc>
          <w:tcPr>
            <w:tcW w:w="887" w:type="pct"/>
            <w:gridSpan w:val="2"/>
            <w:tcBorders>
              <w:top w:val="single" w:color="000000" w:sz="6" w:space="0"/>
              <w:left w:val="single" w:color="000000" w:sz="8" w:space="0"/>
              <w:bottom w:val="single" w:color="000000" w:sz="6" w:space="0"/>
              <w:right w:val="single" w:color="000000" w:sz="6" w:space="0"/>
            </w:tcBorders>
            <w:shd w:val="clear" w:color="auto" w:fill="FFFFFF"/>
            <w:vAlign w:val="center"/>
          </w:tcPr>
          <w:p w14:paraId="3C92ECC7">
            <w:pPr>
              <w:keepNext w:val="0"/>
              <w:keepLines w:val="0"/>
              <w:pageBreakBefore w:val="0"/>
              <w:widowControl/>
              <w:suppressLineNumbers w:val="0"/>
              <w:shd w:val="clear" w:color="auto" w:fill="FFFFFF"/>
              <w:overflowPunct/>
              <w:topLinePunct w:val="0"/>
              <w:bidi w:val="0"/>
              <w:spacing w:before="0" w:beforeAutospacing="0" w:after="0" w:afterAutospacing="0" w:line="400" w:lineRule="exact"/>
              <w:ind w:left="0" w:right="0"/>
              <w:jc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其他要求</w:t>
            </w:r>
          </w:p>
        </w:tc>
        <w:tc>
          <w:tcPr>
            <w:tcW w:w="4112" w:type="pct"/>
            <w:gridSpan w:val="4"/>
            <w:tcBorders>
              <w:top w:val="single" w:color="000000" w:sz="6" w:space="0"/>
              <w:left w:val="single" w:color="000000" w:sz="6" w:space="0"/>
              <w:bottom w:val="single" w:color="000000" w:sz="6" w:space="0"/>
              <w:right w:val="single" w:color="000000" w:sz="8" w:space="0"/>
            </w:tcBorders>
            <w:shd w:val="clear" w:color="auto" w:fill="FFFFFF"/>
          </w:tcPr>
          <w:p w14:paraId="0B6A68DB">
            <w:pPr>
              <w:keepNext w:val="0"/>
              <w:keepLines w:val="0"/>
              <w:pageBreakBefore w:val="0"/>
              <w:suppressLineNumbers w:val="0"/>
              <w:overflowPunct/>
              <w:topLinePunct w:val="0"/>
              <w:bidi w:val="0"/>
              <w:spacing w:before="0" w:beforeAutospacing="0" w:after="0" w:afterAutospacing="0" w:line="400" w:lineRule="exact"/>
              <w:ind w:left="0" w:right="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投标人根据评分标准及其自身情况提供方案，内容包括但不限于：</w:t>
            </w:r>
          </w:p>
          <w:p w14:paraId="480FF888">
            <w:pPr>
              <w:keepNext w:val="0"/>
              <w:keepLines w:val="0"/>
              <w:pageBreakBefore w:val="0"/>
              <w:suppressLineNumbers w:val="0"/>
              <w:overflowPunct/>
              <w:topLinePunct w:val="0"/>
              <w:bidi w:val="0"/>
              <w:spacing w:before="0" w:beforeAutospacing="0" w:after="0" w:afterAutospacing="0" w:line="400" w:lineRule="exact"/>
              <w:ind w:left="0" w:right="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w:t>
            </w:r>
            <w:r>
              <w:rPr>
                <w:rFonts w:hint="eastAsia" w:ascii="宋体" w:hAnsi="宋体" w:eastAsia="宋体" w:cs="宋体"/>
                <w:color w:val="auto"/>
                <w:sz w:val="21"/>
                <w:szCs w:val="21"/>
                <w:highlight w:val="none"/>
                <w:lang w:eastAsia="zh-CN"/>
              </w:rPr>
              <w:t>.</w:t>
            </w:r>
            <w:r>
              <w:rPr>
                <w:rFonts w:hint="eastAsia" w:ascii="宋体" w:hAnsi="宋体" w:eastAsia="宋体" w:cs="宋体"/>
                <w:color w:val="auto"/>
                <w:sz w:val="21"/>
                <w:szCs w:val="21"/>
                <w:highlight w:val="none"/>
                <w:lang w:val="en-US" w:eastAsia="zh-CN"/>
              </w:rPr>
              <w:t>服务</w:t>
            </w:r>
            <w:r>
              <w:rPr>
                <w:rFonts w:hint="eastAsia" w:ascii="宋体" w:hAnsi="宋体" w:eastAsia="宋体" w:cs="宋体"/>
                <w:color w:val="auto"/>
                <w:sz w:val="21"/>
                <w:szCs w:val="21"/>
                <w:highlight w:val="none"/>
              </w:rPr>
              <w:t>方案：包括但不限于对项目背景、建设目标、功能模块、实现思路和关键技术</w:t>
            </w:r>
            <w:r>
              <w:rPr>
                <w:rFonts w:hint="eastAsia" w:ascii="宋体" w:hAnsi="宋体" w:eastAsia="宋体" w:cs="宋体"/>
                <w:color w:val="auto"/>
                <w:sz w:val="21"/>
                <w:szCs w:val="21"/>
                <w:highlight w:val="none"/>
                <w:lang w:val="en-US" w:eastAsia="zh-CN"/>
              </w:rPr>
              <w:t>的</w:t>
            </w:r>
            <w:r>
              <w:rPr>
                <w:rFonts w:hint="eastAsia" w:ascii="宋体" w:hAnsi="宋体" w:eastAsia="宋体" w:cs="宋体"/>
                <w:color w:val="auto"/>
                <w:sz w:val="21"/>
                <w:szCs w:val="21"/>
                <w:highlight w:val="none"/>
              </w:rPr>
              <w:t>阐述等；</w:t>
            </w:r>
          </w:p>
          <w:p w14:paraId="29D4727F">
            <w:pPr>
              <w:keepNext w:val="0"/>
              <w:keepLines w:val="0"/>
              <w:pageBreakBefore w:val="0"/>
              <w:suppressLineNumbers w:val="0"/>
              <w:overflowPunct/>
              <w:topLinePunct w:val="0"/>
              <w:bidi w:val="0"/>
              <w:spacing w:before="0" w:beforeAutospacing="0" w:after="0" w:afterAutospacing="0" w:line="400" w:lineRule="exact"/>
              <w:ind w:left="0" w:right="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2</w:t>
            </w:r>
            <w:r>
              <w:rPr>
                <w:rFonts w:hint="eastAsia" w:ascii="宋体" w:hAnsi="宋体" w:eastAsia="宋体" w:cs="宋体"/>
                <w:color w:val="auto"/>
                <w:sz w:val="21"/>
                <w:szCs w:val="21"/>
                <w:highlight w:val="none"/>
                <w:lang w:eastAsia="zh-CN"/>
              </w:rPr>
              <w:t>.</w:t>
            </w:r>
            <w:r>
              <w:rPr>
                <w:rFonts w:hint="eastAsia" w:ascii="宋体" w:hAnsi="宋体" w:eastAsia="宋体" w:cs="宋体"/>
                <w:color w:val="auto"/>
                <w:sz w:val="21"/>
                <w:szCs w:val="21"/>
                <w:highlight w:val="none"/>
                <w:lang w:val="en-US" w:eastAsia="zh-CN"/>
              </w:rPr>
              <w:t>售后服务</w:t>
            </w:r>
            <w:r>
              <w:rPr>
                <w:rFonts w:hint="eastAsia" w:ascii="宋体" w:hAnsi="宋体" w:eastAsia="宋体" w:cs="宋体"/>
                <w:color w:val="auto"/>
                <w:sz w:val="21"/>
                <w:szCs w:val="21"/>
                <w:highlight w:val="none"/>
              </w:rPr>
              <w:t>方案：包括但不限于</w:t>
            </w:r>
            <w:r>
              <w:rPr>
                <w:rFonts w:hint="eastAsia" w:ascii="宋体" w:hAnsi="宋体" w:eastAsia="宋体" w:cs="宋体"/>
                <w:color w:val="auto"/>
                <w:sz w:val="21"/>
                <w:szCs w:val="21"/>
                <w:highlight w:val="none"/>
                <w:lang w:val="en-US" w:eastAsia="zh-CN" w:bidi="ar"/>
              </w:rPr>
              <w:t>日常</w:t>
            </w:r>
            <w:r>
              <w:rPr>
                <w:rFonts w:hint="eastAsia" w:ascii="宋体" w:hAnsi="宋体" w:eastAsia="宋体" w:cs="宋体"/>
                <w:color w:val="auto"/>
                <w:sz w:val="21"/>
                <w:szCs w:val="21"/>
                <w:highlight w:val="none"/>
                <w:lang w:bidi="ar"/>
              </w:rPr>
              <w:t>运行运维、紧急故障处理、功能完善</w:t>
            </w:r>
            <w:r>
              <w:rPr>
                <w:rFonts w:hint="eastAsia" w:ascii="宋体" w:hAnsi="宋体" w:eastAsia="宋体" w:cs="宋体"/>
                <w:color w:val="auto"/>
                <w:sz w:val="21"/>
                <w:szCs w:val="21"/>
                <w:highlight w:val="none"/>
                <w:lang w:eastAsia="zh-CN" w:bidi="ar"/>
              </w:rPr>
              <w:t>、</w:t>
            </w:r>
            <w:r>
              <w:rPr>
                <w:rFonts w:hint="eastAsia" w:ascii="宋体" w:hAnsi="宋体" w:eastAsia="宋体" w:cs="宋体"/>
                <w:color w:val="auto"/>
                <w:sz w:val="21"/>
                <w:szCs w:val="21"/>
                <w:highlight w:val="none"/>
                <w:lang w:val="en-US" w:eastAsia="zh-CN" w:bidi="ar"/>
              </w:rPr>
              <w:t>功能升级、</w:t>
            </w:r>
            <w:r>
              <w:rPr>
                <w:rFonts w:hint="eastAsia" w:ascii="宋体" w:hAnsi="宋体" w:eastAsia="宋体" w:cs="宋体"/>
                <w:color w:val="auto"/>
                <w:sz w:val="21"/>
                <w:szCs w:val="21"/>
                <w:highlight w:val="none"/>
              </w:rPr>
              <w:t>等内容；</w:t>
            </w:r>
          </w:p>
          <w:p w14:paraId="54091798">
            <w:pPr>
              <w:keepNext w:val="0"/>
              <w:keepLines w:val="0"/>
              <w:pageBreakBefore w:val="0"/>
              <w:suppressLineNumbers w:val="0"/>
              <w:overflowPunct/>
              <w:topLinePunct w:val="0"/>
              <w:bidi w:val="0"/>
              <w:spacing w:before="0" w:beforeAutospacing="0" w:after="0" w:afterAutospacing="0" w:line="400" w:lineRule="exact"/>
              <w:ind w:left="0" w:right="0"/>
              <w:rPr>
                <w:rFonts w:hint="eastAsia" w:ascii="宋体" w:hAnsi="宋体" w:eastAsia="宋体" w:cs="宋体"/>
                <w:color w:val="auto"/>
                <w:sz w:val="21"/>
                <w:szCs w:val="21"/>
                <w:highlight w:val="none"/>
                <w:lang w:val="en-US" w:eastAsia="zh-CN"/>
              </w:rPr>
            </w:pPr>
            <w:r>
              <w:rPr>
                <w:rFonts w:hint="eastAsia" w:ascii="宋体" w:hAnsi="宋体" w:cs="宋体"/>
                <w:color w:val="auto"/>
                <w:sz w:val="21"/>
                <w:szCs w:val="21"/>
                <w:highlight w:val="none"/>
                <w:lang w:val="en-US" w:eastAsia="zh-CN"/>
              </w:rPr>
              <w:t>3</w:t>
            </w:r>
            <w:r>
              <w:rPr>
                <w:rFonts w:hint="eastAsia" w:ascii="宋体" w:hAnsi="宋体" w:eastAsia="宋体" w:cs="宋体"/>
                <w:color w:val="auto"/>
                <w:sz w:val="21"/>
                <w:szCs w:val="21"/>
                <w:highlight w:val="none"/>
                <w:lang w:val="en-US" w:eastAsia="zh-CN"/>
              </w:rPr>
              <w:t>.人员配置情况：</w:t>
            </w:r>
            <w:r>
              <w:rPr>
                <w:rFonts w:hint="eastAsia" w:ascii="宋体" w:hAnsi="宋体" w:eastAsia="宋体" w:cs="宋体"/>
                <w:color w:val="auto"/>
                <w:sz w:val="21"/>
                <w:szCs w:val="21"/>
                <w:highlight w:val="none"/>
              </w:rPr>
              <w:t>包括但不限于</w:t>
            </w:r>
            <w:r>
              <w:rPr>
                <w:rFonts w:hint="eastAsia" w:ascii="宋体" w:hAnsi="宋体" w:eastAsia="宋体" w:cs="宋体"/>
                <w:bCs/>
                <w:color w:val="auto"/>
                <w:sz w:val="21"/>
                <w:szCs w:val="21"/>
                <w:highlight w:val="none"/>
              </w:rPr>
              <w:t>拟投入本项目的实施团队人员名单</w:t>
            </w:r>
            <w:r>
              <w:rPr>
                <w:rFonts w:hint="eastAsia" w:ascii="宋体" w:hAnsi="宋体" w:eastAsia="宋体" w:cs="宋体"/>
                <w:bCs/>
                <w:color w:val="auto"/>
                <w:sz w:val="21"/>
                <w:szCs w:val="21"/>
                <w:highlight w:val="none"/>
                <w:lang w:eastAsia="zh-CN"/>
              </w:rPr>
              <w:t>、</w:t>
            </w:r>
            <w:r>
              <w:rPr>
                <w:rFonts w:hint="eastAsia" w:ascii="宋体" w:hAnsi="宋体" w:eastAsia="宋体" w:cs="宋体"/>
                <w:bCs/>
                <w:color w:val="auto"/>
                <w:sz w:val="21"/>
                <w:szCs w:val="21"/>
                <w:highlight w:val="none"/>
              </w:rPr>
              <w:t>组织措施</w:t>
            </w:r>
            <w:r>
              <w:rPr>
                <w:rFonts w:hint="eastAsia" w:ascii="宋体" w:hAnsi="宋体" w:eastAsia="宋体" w:cs="宋体"/>
                <w:bCs/>
                <w:color w:val="auto"/>
                <w:sz w:val="21"/>
                <w:szCs w:val="21"/>
                <w:highlight w:val="none"/>
                <w:lang w:val="en-US" w:eastAsia="zh-CN"/>
              </w:rPr>
              <w:t>及分工、指导专家的配备情况等</w:t>
            </w:r>
          </w:p>
          <w:p w14:paraId="61B52FA5">
            <w:pPr>
              <w:keepNext w:val="0"/>
              <w:keepLines w:val="0"/>
              <w:pageBreakBefore w:val="0"/>
              <w:suppressLineNumbers w:val="0"/>
              <w:overflowPunct/>
              <w:topLinePunct w:val="0"/>
              <w:bidi w:val="0"/>
              <w:spacing w:before="0" w:beforeAutospacing="0" w:after="0" w:afterAutospacing="0" w:line="400" w:lineRule="exact"/>
              <w:ind w:left="0" w:right="0"/>
              <w:rPr>
                <w:rFonts w:hint="eastAsia" w:ascii="宋体" w:hAnsi="宋体" w:eastAsia="宋体" w:cs="宋体"/>
                <w:color w:val="auto"/>
                <w:sz w:val="21"/>
                <w:szCs w:val="21"/>
                <w:highlight w:val="none"/>
              </w:rPr>
            </w:pPr>
            <w:r>
              <w:rPr>
                <w:rFonts w:hint="eastAsia" w:ascii="宋体" w:hAnsi="宋体" w:cs="宋体"/>
                <w:color w:val="auto"/>
                <w:sz w:val="21"/>
                <w:szCs w:val="21"/>
                <w:highlight w:val="none"/>
                <w:lang w:val="en-US" w:eastAsia="zh-CN"/>
              </w:rPr>
              <w:t>4</w:t>
            </w:r>
            <w:r>
              <w:rPr>
                <w:rFonts w:hint="eastAsia" w:ascii="宋体" w:hAnsi="宋体" w:eastAsia="宋体" w:cs="宋体"/>
                <w:color w:val="auto"/>
                <w:sz w:val="21"/>
                <w:szCs w:val="21"/>
                <w:highlight w:val="none"/>
                <w:lang w:val="en-US" w:eastAsia="zh-CN"/>
              </w:rPr>
              <w:t>.</w:t>
            </w:r>
            <w:r>
              <w:rPr>
                <w:rFonts w:hint="eastAsia" w:ascii="宋体" w:hAnsi="宋体" w:eastAsia="宋体" w:cs="宋体"/>
                <w:color w:val="auto"/>
                <w:sz w:val="21"/>
                <w:szCs w:val="21"/>
                <w:highlight w:val="none"/>
              </w:rPr>
              <w:t>证明投标人</w:t>
            </w:r>
            <w:r>
              <w:rPr>
                <w:rFonts w:hint="eastAsia" w:ascii="宋体" w:hAnsi="宋体" w:eastAsia="宋体" w:cs="宋体"/>
                <w:color w:val="auto"/>
                <w:sz w:val="21"/>
                <w:szCs w:val="21"/>
                <w:highlight w:val="none"/>
                <w:lang w:val="en-US" w:eastAsia="zh-CN"/>
              </w:rPr>
              <w:t>信誉、</w:t>
            </w:r>
            <w:r>
              <w:rPr>
                <w:rFonts w:hint="eastAsia" w:ascii="宋体" w:hAnsi="宋体" w:eastAsia="宋体" w:cs="宋体"/>
                <w:color w:val="auto"/>
                <w:sz w:val="21"/>
                <w:szCs w:val="21"/>
                <w:highlight w:val="none"/>
              </w:rPr>
              <w:t xml:space="preserve">业绩等相关证明材料。 </w:t>
            </w:r>
          </w:p>
        </w:tc>
      </w:tr>
      <w:tr w14:paraId="074A9B31">
        <w:tblPrEx>
          <w:tblBorders>
            <w:top w:val="single" w:color="000000" w:sz="8" w:space="0"/>
            <w:left w:val="single" w:color="000000" w:sz="8" w:space="0"/>
            <w:bottom w:val="single" w:color="000000" w:sz="8" w:space="0"/>
            <w:right w:val="single" w:color="000000" w:sz="8" w:space="0"/>
            <w:insideH w:val="single" w:color="000000" w:sz="6" w:space="0"/>
            <w:insideV w:val="single" w:color="000000" w:sz="6" w:space="0"/>
          </w:tblBorders>
          <w:tblCellMar>
            <w:top w:w="0" w:type="dxa"/>
            <w:left w:w="108" w:type="dxa"/>
            <w:bottom w:w="0" w:type="dxa"/>
            <w:right w:w="108" w:type="dxa"/>
          </w:tblCellMar>
        </w:tblPrEx>
        <w:trPr>
          <w:trHeight w:val="328" w:hRule="atLeast"/>
          <w:jc w:val="center"/>
        </w:trPr>
        <w:tc>
          <w:tcPr>
            <w:tcW w:w="887" w:type="pct"/>
            <w:gridSpan w:val="2"/>
            <w:tcBorders>
              <w:top w:val="single" w:color="000000" w:sz="6" w:space="0"/>
              <w:left w:val="single" w:color="000000" w:sz="8" w:space="0"/>
              <w:bottom w:val="single" w:color="000000" w:sz="6" w:space="0"/>
              <w:right w:val="single" w:color="000000" w:sz="6" w:space="0"/>
            </w:tcBorders>
            <w:shd w:val="clear" w:color="auto" w:fill="FFFFFF"/>
            <w:vAlign w:val="center"/>
          </w:tcPr>
          <w:p w14:paraId="43708B17">
            <w:pPr>
              <w:keepNext w:val="0"/>
              <w:keepLines w:val="0"/>
              <w:pageBreakBefore w:val="0"/>
              <w:widowControl/>
              <w:suppressLineNumbers w:val="0"/>
              <w:shd w:val="clear" w:color="auto" w:fill="FFFFFF"/>
              <w:overflowPunct/>
              <w:topLinePunct w:val="0"/>
              <w:bidi w:val="0"/>
              <w:spacing w:before="0" w:beforeAutospacing="0" w:after="0" w:afterAutospacing="0" w:line="400" w:lineRule="exact"/>
              <w:ind w:left="0" w:right="0"/>
              <w:jc w:val="center"/>
              <w:rPr>
                <w:rFonts w:hint="default" w:ascii="宋体" w:hAnsi="宋体" w:eastAsia="宋体" w:cs="宋体"/>
                <w:color w:val="auto"/>
                <w:sz w:val="21"/>
                <w:szCs w:val="21"/>
                <w:highlight w:val="none"/>
                <w:lang w:val="en-US" w:eastAsia="zh-CN"/>
              </w:rPr>
            </w:pPr>
            <w:r>
              <w:rPr>
                <w:rFonts w:hint="eastAsia" w:ascii="宋体" w:hAnsi="宋体"/>
                <w:b/>
                <w:color w:val="auto"/>
                <w:szCs w:val="21"/>
                <w:highlight w:val="none"/>
              </w:rPr>
              <w:t>演示要求</w:t>
            </w:r>
          </w:p>
        </w:tc>
        <w:tc>
          <w:tcPr>
            <w:tcW w:w="4112" w:type="pct"/>
            <w:gridSpan w:val="4"/>
            <w:tcBorders>
              <w:top w:val="single" w:color="000000" w:sz="6" w:space="0"/>
              <w:left w:val="single" w:color="000000" w:sz="6" w:space="0"/>
              <w:bottom w:val="single" w:color="000000" w:sz="6" w:space="0"/>
              <w:right w:val="single" w:color="000000" w:sz="8" w:space="0"/>
            </w:tcBorders>
            <w:shd w:val="clear" w:color="auto" w:fill="FFFFFF"/>
          </w:tcPr>
          <w:p w14:paraId="3D3C9562">
            <w:pPr>
              <w:keepNext w:val="0"/>
              <w:keepLines w:val="0"/>
              <w:suppressLineNumbers w:val="0"/>
              <w:spacing w:before="0" w:beforeAutospacing="0" w:after="0" w:afterAutospacing="0" w:line="360" w:lineRule="auto"/>
              <w:ind w:left="0" w:right="0" w:firstLine="396" w:firstLineChars="200"/>
              <w:rPr>
                <w:rFonts w:hint="eastAsia" w:ascii="宋体" w:hAnsi="宋体" w:eastAsia="宋体"/>
                <w:color w:val="auto"/>
                <w:spacing w:val="-6"/>
                <w:szCs w:val="21"/>
                <w:highlight w:val="none"/>
                <w:lang w:val="en-US" w:eastAsia="zh-CN"/>
              </w:rPr>
            </w:pPr>
            <w:r>
              <w:rPr>
                <w:rFonts w:hint="eastAsia" w:ascii="宋体" w:hAnsi="宋体"/>
                <w:color w:val="auto"/>
                <w:spacing w:val="-6"/>
                <w:szCs w:val="21"/>
                <w:highlight w:val="none"/>
                <w:lang w:val="en-US" w:eastAsia="zh-CN"/>
              </w:rPr>
              <w:t>投标人</w:t>
            </w:r>
            <w:r>
              <w:rPr>
                <w:rFonts w:hint="eastAsia" w:ascii="宋体" w:hAnsi="宋体" w:eastAsia="宋体" w:cs="宋体"/>
                <w:snapToGrid w:val="0"/>
                <w:color w:val="auto"/>
                <w:spacing w:val="-1"/>
                <w:kern w:val="0"/>
                <w:sz w:val="21"/>
                <w:szCs w:val="21"/>
                <w:highlight w:val="none"/>
              </w:rPr>
              <w:t>可根据评分标准对相关功能进行演示</w:t>
            </w:r>
            <w:r>
              <w:rPr>
                <w:rFonts w:hint="eastAsia" w:ascii="宋体" w:hAnsi="宋体" w:eastAsia="宋体" w:cs="宋体"/>
                <w:snapToGrid w:val="0"/>
                <w:color w:val="auto"/>
                <w:spacing w:val="-1"/>
                <w:kern w:val="0"/>
                <w:sz w:val="21"/>
                <w:szCs w:val="21"/>
                <w:highlight w:val="none"/>
                <w:lang w:eastAsia="zh-CN"/>
              </w:rPr>
              <w:t>，</w:t>
            </w:r>
            <w:r>
              <w:rPr>
                <w:rFonts w:hint="eastAsia" w:ascii="宋体" w:hAnsi="宋体"/>
                <w:color w:val="auto"/>
                <w:spacing w:val="-6"/>
                <w:szCs w:val="21"/>
                <w:highlight w:val="none"/>
              </w:rPr>
              <w:t>不能提供演示的则演示分为0分</w:t>
            </w:r>
            <w:r>
              <w:rPr>
                <w:rFonts w:hint="eastAsia" w:ascii="宋体" w:hAnsi="宋体" w:eastAsia="宋体" w:cs="宋体"/>
                <w:snapToGrid w:val="0"/>
                <w:color w:val="auto"/>
                <w:spacing w:val="-1"/>
                <w:kern w:val="0"/>
                <w:sz w:val="21"/>
                <w:szCs w:val="21"/>
                <w:highlight w:val="none"/>
                <w:lang w:eastAsia="zh-CN"/>
              </w:rPr>
              <w:t>：</w:t>
            </w:r>
          </w:p>
          <w:p w14:paraId="6FE6CD70">
            <w:pPr>
              <w:keepNext w:val="0"/>
              <w:keepLines w:val="0"/>
              <w:suppressLineNumbers w:val="0"/>
              <w:spacing w:before="0" w:beforeAutospacing="0" w:after="0" w:afterAutospacing="0" w:line="360" w:lineRule="auto"/>
              <w:ind w:left="0" w:right="0" w:firstLine="396" w:firstLineChars="200"/>
              <w:rPr>
                <w:rFonts w:hint="eastAsia" w:ascii="宋体" w:hAnsi="宋体" w:eastAsia="宋体"/>
                <w:color w:val="auto"/>
                <w:spacing w:val="-6"/>
                <w:szCs w:val="21"/>
                <w:highlight w:val="none"/>
                <w:lang w:eastAsia="zh-CN"/>
              </w:rPr>
            </w:pPr>
            <w:r>
              <w:rPr>
                <w:rFonts w:hint="eastAsia" w:ascii="宋体" w:hAnsi="宋体"/>
                <w:color w:val="auto"/>
                <w:spacing w:val="-6"/>
                <w:szCs w:val="21"/>
                <w:highlight w:val="none"/>
                <w:lang w:val="en-US" w:eastAsia="zh-CN"/>
              </w:rPr>
              <w:t>1、演示方式：</w:t>
            </w:r>
            <w:r>
              <w:rPr>
                <w:rFonts w:hint="eastAsia" w:ascii="宋体" w:hAnsi="宋体"/>
                <w:color w:val="auto"/>
                <w:spacing w:val="-6"/>
                <w:szCs w:val="21"/>
                <w:highlight w:val="none"/>
              </w:rPr>
              <w:t>演示必须是在原型系统上的操作演示，不接受视频动画、PPT、图像、图片的演示</w:t>
            </w:r>
            <w:r>
              <w:rPr>
                <w:rFonts w:hint="eastAsia" w:ascii="宋体" w:hAnsi="宋体"/>
                <w:color w:val="auto"/>
                <w:spacing w:val="-6"/>
                <w:szCs w:val="21"/>
                <w:highlight w:val="none"/>
                <w:lang w:eastAsia="zh-CN"/>
              </w:rPr>
              <w:t>；</w:t>
            </w:r>
          </w:p>
          <w:p w14:paraId="6A556C6C">
            <w:pPr>
              <w:keepNext w:val="0"/>
              <w:keepLines w:val="0"/>
              <w:suppressLineNumbers w:val="0"/>
              <w:spacing w:before="0" w:beforeAutospacing="0" w:after="0" w:afterAutospacing="0" w:line="360" w:lineRule="auto"/>
              <w:ind w:left="0" w:right="0" w:firstLine="396" w:firstLineChars="200"/>
              <w:rPr>
                <w:rFonts w:hint="default" w:ascii="宋体" w:hAnsi="宋体"/>
                <w:color w:val="auto"/>
                <w:spacing w:val="-6"/>
                <w:szCs w:val="21"/>
                <w:highlight w:val="none"/>
              </w:rPr>
            </w:pPr>
            <w:r>
              <w:rPr>
                <w:rFonts w:hint="eastAsia" w:ascii="宋体" w:hAnsi="宋体"/>
                <w:color w:val="auto"/>
                <w:spacing w:val="-6"/>
                <w:szCs w:val="21"/>
                <w:highlight w:val="none"/>
              </w:rPr>
              <w:t>2、演示时间：</w:t>
            </w:r>
            <w:r>
              <w:rPr>
                <w:rFonts w:hint="eastAsia" w:ascii="宋体" w:hAnsi="宋体"/>
                <w:color w:val="auto"/>
                <w:spacing w:val="-6"/>
                <w:szCs w:val="21"/>
                <w:highlight w:val="none"/>
                <w:lang w:val="en-US" w:eastAsia="zh-CN"/>
              </w:rPr>
              <w:t>投标</w:t>
            </w:r>
            <w:r>
              <w:rPr>
                <w:rFonts w:hint="eastAsia" w:ascii="宋体" w:hAnsi="宋体"/>
                <w:color w:val="auto"/>
                <w:spacing w:val="-6"/>
                <w:szCs w:val="21"/>
                <w:highlight w:val="none"/>
              </w:rPr>
              <w:t>文件提交截止时间后，具体时间另行通知。</w:t>
            </w:r>
            <w:r>
              <w:rPr>
                <w:rFonts w:hint="eastAsia" w:ascii="宋体" w:hAnsi="宋体" w:eastAsia="宋体" w:cs="宋体"/>
                <w:color w:val="auto"/>
                <w:kern w:val="2"/>
                <w:sz w:val="21"/>
                <w:szCs w:val="21"/>
                <w:highlight w:val="none"/>
                <w:lang w:val="en-US" w:eastAsia="zh-CN" w:bidi="ar"/>
              </w:rPr>
              <w:t>每家供应商对功能演示时间不得超过25分钟（</w:t>
            </w:r>
            <w:r>
              <w:rPr>
                <w:rFonts w:hint="eastAsia" w:ascii="宋体" w:hAnsi="宋体"/>
                <w:color w:val="auto"/>
                <w:spacing w:val="-6"/>
                <w:szCs w:val="21"/>
                <w:highlight w:val="none"/>
              </w:rPr>
              <w:t>含调试、讲解、演示</w:t>
            </w:r>
            <w:r>
              <w:rPr>
                <w:rFonts w:hint="eastAsia" w:ascii="宋体" w:hAnsi="宋体" w:eastAsia="宋体" w:cs="宋体"/>
                <w:color w:val="auto"/>
                <w:kern w:val="2"/>
                <w:sz w:val="21"/>
                <w:szCs w:val="21"/>
                <w:highlight w:val="none"/>
                <w:lang w:val="en-US" w:eastAsia="zh-CN" w:bidi="ar"/>
              </w:rPr>
              <w:t>，供应商需提前做好系统调试）；</w:t>
            </w:r>
          </w:p>
          <w:p w14:paraId="47DD543B">
            <w:pPr>
              <w:keepNext w:val="0"/>
              <w:keepLines w:val="0"/>
              <w:pageBreakBefore w:val="0"/>
              <w:suppressLineNumbers w:val="0"/>
              <w:overflowPunct/>
              <w:topLinePunct w:val="0"/>
              <w:bidi w:val="0"/>
              <w:spacing w:before="0" w:beforeAutospacing="0" w:after="0" w:afterAutospacing="0" w:line="360" w:lineRule="auto"/>
              <w:ind w:left="0" w:right="0" w:firstLine="396" w:firstLineChars="200"/>
              <w:rPr>
                <w:rFonts w:hint="eastAsia" w:ascii="宋体" w:hAnsi="宋体" w:eastAsia="宋体" w:cs="宋体"/>
                <w:color w:val="auto"/>
                <w:sz w:val="21"/>
                <w:szCs w:val="21"/>
                <w:highlight w:val="none"/>
                <w:lang w:val="en-US" w:eastAsia="zh-CN"/>
              </w:rPr>
            </w:pPr>
            <w:r>
              <w:rPr>
                <w:rFonts w:hint="eastAsia" w:ascii="宋体" w:hAnsi="宋体"/>
                <w:color w:val="auto"/>
                <w:spacing w:val="-6"/>
                <w:szCs w:val="21"/>
                <w:highlight w:val="none"/>
              </w:rPr>
              <w:t>3、演示地点：广西政府采购云平台（通过共享屏幕方式进行演示，供应商自行准备好网络环境，演示所需的电脑，摄像头，麦克风）</w:t>
            </w:r>
            <w:r>
              <w:rPr>
                <w:rFonts w:hint="eastAsia" w:ascii="宋体" w:hAnsi="宋体"/>
                <w:color w:val="auto"/>
                <w:spacing w:val="-6"/>
                <w:szCs w:val="21"/>
                <w:highlight w:val="none"/>
                <w:lang w:eastAsia="zh-CN"/>
              </w:rPr>
              <w:t>。</w:t>
            </w:r>
          </w:p>
        </w:tc>
      </w:tr>
    </w:tbl>
    <w:p w14:paraId="50FD3C00">
      <w:pPr>
        <w:rPr>
          <w:rFonts w:ascii="微软雅黑" w:hAnsi="微软雅黑" w:eastAsia="微软雅黑" w:cs="微软雅黑"/>
          <w:color w:val="auto"/>
          <w:sz w:val="32"/>
          <w:szCs w:val="32"/>
          <w:highlight w:val="none"/>
        </w:rPr>
      </w:pPr>
    </w:p>
    <w:p w14:paraId="7A153C04">
      <w:pPr>
        <w:rPr>
          <w:rFonts w:ascii="微软雅黑" w:hAnsi="微软雅黑" w:eastAsia="微软雅黑" w:cs="微软雅黑"/>
          <w:color w:val="auto"/>
          <w:sz w:val="32"/>
          <w:szCs w:val="32"/>
          <w:highlight w:val="none"/>
        </w:rPr>
      </w:pPr>
      <w:r>
        <w:rPr>
          <w:rFonts w:ascii="微软雅黑" w:hAnsi="微软雅黑" w:eastAsia="微软雅黑" w:cs="微软雅黑"/>
          <w:color w:val="auto"/>
          <w:sz w:val="32"/>
          <w:szCs w:val="32"/>
          <w:highlight w:val="none"/>
        </w:rPr>
        <w:br w:type="page"/>
      </w:r>
    </w:p>
    <w:p w14:paraId="18082973">
      <w:pPr>
        <w:pStyle w:val="2"/>
        <w:ind w:firstLine="404"/>
        <w:rPr>
          <w:color w:val="auto"/>
          <w:highlight w:val="none"/>
        </w:rPr>
      </w:pPr>
    </w:p>
    <w:p w14:paraId="2F4A1A7A">
      <w:pPr>
        <w:spacing w:line="428" w:lineRule="exact"/>
        <w:ind w:left="119"/>
        <w:rPr>
          <w:rFonts w:ascii="Arial Unicode MS" w:hAnsi="Arial Unicode MS" w:eastAsia="Arial Unicode MS" w:cs="Arial Unicode MS"/>
          <w:color w:val="auto"/>
          <w:sz w:val="32"/>
          <w:szCs w:val="32"/>
          <w:highlight w:val="none"/>
        </w:rPr>
      </w:pPr>
      <w:r>
        <w:rPr>
          <w:rFonts w:hint="eastAsia" w:ascii="微软雅黑" w:hAnsi="微软雅黑" w:eastAsia="微软雅黑" w:cs="微软雅黑"/>
          <w:color w:val="auto"/>
          <w:sz w:val="32"/>
          <w:szCs w:val="32"/>
          <w:highlight w:val="none"/>
        </w:rPr>
        <w:t>附件</w:t>
      </w:r>
      <w:r>
        <w:rPr>
          <w:rFonts w:ascii="Arial Unicode MS" w:hAnsi="Arial Unicode MS" w:eastAsia="Arial Unicode MS" w:cs="Arial Unicode MS"/>
          <w:color w:val="auto"/>
          <w:sz w:val="32"/>
          <w:szCs w:val="32"/>
          <w:highlight w:val="none"/>
        </w:rPr>
        <w:t>1</w:t>
      </w:r>
      <w:r>
        <w:rPr>
          <w:rFonts w:hint="eastAsia" w:ascii="微软雅黑" w:hAnsi="微软雅黑" w:eastAsia="微软雅黑" w:cs="微软雅黑"/>
          <w:color w:val="auto"/>
          <w:sz w:val="32"/>
          <w:szCs w:val="32"/>
          <w:highlight w:val="none"/>
        </w:rPr>
        <w:t>：</w:t>
      </w:r>
    </w:p>
    <w:p w14:paraId="7D41E913">
      <w:pPr>
        <w:spacing w:before="7"/>
        <w:rPr>
          <w:rFonts w:ascii="Arial Unicode MS" w:hAnsi="Arial Unicode MS" w:eastAsia="Arial Unicode MS" w:cs="Arial Unicode MS"/>
          <w:color w:val="auto"/>
          <w:sz w:val="17"/>
          <w:szCs w:val="17"/>
          <w:highlight w:val="none"/>
        </w:rPr>
      </w:pPr>
    </w:p>
    <w:p w14:paraId="52EBFC57">
      <w:pPr>
        <w:spacing w:line="528" w:lineRule="exact"/>
        <w:ind w:left="1871"/>
        <w:rPr>
          <w:rFonts w:ascii="Arial Unicode MS" w:hAnsi="Arial Unicode MS" w:eastAsia="Arial Unicode MS" w:cs="Arial Unicode MS"/>
          <w:color w:val="auto"/>
          <w:sz w:val="40"/>
          <w:szCs w:val="40"/>
          <w:highlight w:val="none"/>
        </w:rPr>
      </w:pPr>
      <w:r>
        <w:rPr>
          <w:rFonts w:hint="eastAsia" w:ascii="方正小标宋简体" w:hAnsi="方正小标宋简体" w:eastAsia="方正小标宋简体" w:cs="方正小标宋简体"/>
          <w:color w:val="auto"/>
          <w:sz w:val="44"/>
          <w:szCs w:val="44"/>
          <w:highlight w:val="none"/>
        </w:rPr>
        <w:t>节能产品政府采购品目清单</w:t>
      </w:r>
    </w:p>
    <w:tbl>
      <w:tblPr>
        <w:tblStyle w:val="37"/>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71"/>
        <w:gridCol w:w="1422"/>
        <w:gridCol w:w="1496"/>
        <w:gridCol w:w="1481"/>
        <w:gridCol w:w="4388"/>
      </w:tblGrid>
      <w:tr w14:paraId="71C7C509">
        <w:tc>
          <w:tcPr>
            <w:tcW w:w="671" w:type="dxa"/>
            <w:tcBorders>
              <w:top w:val="single" w:color="000000" w:sz="4" w:space="0"/>
              <w:left w:val="single" w:color="000000" w:sz="4" w:space="0"/>
              <w:bottom w:val="single" w:color="000000" w:sz="4" w:space="0"/>
              <w:right w:val="single" w:color="000000" w:sz="4" w:space="0"/>
            </w:tcBorders>
            <w:vAlign w:val="center"/>
          </w:tcPr>
          <w:p w14:paraId="31194C50">
            <w:pPr>
              <w:keepNext w:val="0"/>
              <w:keepLines w:val="0"/>
              <w:suppressLineNumbers w:val="0"/>
              <w:spacing w:before="0" w:beforeAutospacing="0" w:after="0" w:afterAutospacing="0"/>
              <w:ind w:left="0" w:right="0"/>
              <w:jc w:val="center"/>
              <w:rPr>
                <w:rFonts w:hint="default" w:ascii="Calibri" w:hAnsi="Calibri"/>
                <w:color w:val="auto"/>
                <w:szCs w:val="22"/>
                <w:highlight w:val="none"/>
              </w:rPr>
            </w:pPr>
            <w:r>
              <w:rPr>
                <w:rFonts w:hint="eastAsia" w:ascii="宋体" w:hAnsi="宋体" w:cs="宋体"/>
                <w:b/>
                <w:bCs/>
                <w:color w:val="auto"/>
                <w:w w:val="99"/>
                <w:highlight w:val="none"/>
              </w:rPr>
              <w:t>品目序号</w:t>
            </w:r>
          </w:p>
        </w:tc>
        <w:tc>
          <w:tcPr>
            <w:tcW w:w="4399" w:type="dxa"/>
            <w:gridSpan w:val="3"/>
            <w:tcBorders>
              <w:top w:val="single" w:color="000000" w:sz="4" w:space="0"/>
              <w:left w:val="single" w:color="000000" w:sz="4" w:space="0"/>
              <w:bottom w:val="single" w:color="000000" w:sz="4" w:space="0"/>
              <w:right w:val="single" w:color="000000" w:sz="4" w:space="0"/>
            </w:tcBorders>
            <w:vAlign w:val="center"/>
          </w:tcPr>
          <w:p w14:paraId="14DC27C8">
            <w:pPr>
              <w:keepNext w:val="0"/>
              <w:keepLines w:val="0"/>
              <w:suppressLineNumbers w:val="0"/>
              <w:spacing w:before="0" w:beforeAutospacing="0" w:after="0" w:afterAutospacing="0"/>
              <w:ind w:left="0" w:right="0"/>
              <w:jc w:val="center"/>
              <w:rPr>
                <w:rFonts w:hint="default" w:ascii="Calibri" w:hAnsi="Calibri"/>
                <w:color w:val="auto"/>
                <w:szCs w:val="22"/>
                <w:highlight w:val="none"/>
              </w:rPr>
            </w:pPr>
            <w:r>
              <w:rPr>
                <w:rFonts w:hint="eastAsia" w:ascii="宋体" w:hAnsi="宋体" w:cs="宋体"/>
                <w:b/>
                <w:bCs/>
                <w:color w:val="auto"/>
                <w:w w:val="99"/>
                <w:highlight w:val="none"/>
              </w:rPr>
              <w:t>名称</w:t>
            </w:r>
          </w:p>
        </w:tc>
        <w:tc>
          <w:tcPr>
            <w:tcW w:w="4388" w:type="dxa"/>
            <w:tcBorders>
              <w:top w:val="single" w:color="000000" w:sz="4" w:space="0"/>
              <w:left w:val="single" w:color="000000" w:sz="4" w:space="0"/>
              <w:bottom w:val="single" w:color="000000" w:sz="4" w:space="0"/>
              <w:right w:val="single" w:color="000000" w:sz="4" w:space="0"/>
            </w:tcBorders>
            <w:vAlign w:val="center"/>
          </w:tcPr>
          <w:p w14:paraId="3E1DF351">
            <w:pPr>
              <w:keepNext w:val="0"/>
              <w:keepLines w:val="0"/>
              <w:suppressLineNumbers w:val="0"/>
              <w:spacing w:before="0" w:beforeAutospacing="0" w:after="0" w:afterAutospacing="0"/>
              <w:ind w:left="0" w:right="0"/>
              <w:jc w:val="center"/>
              <w:rPr>
                <w:rFonts w:hint="default" w:ascii="Calibri" w:hAnsi="Calibri"/>
                <w:color w:val="auto"/>
                <w:szCs w:val="22"/>
                <w:highlight w:val="none"/>
              </w:rPr>
            </w:pPr>
            <w:r>
              <w:rPr>
                <w:rFonts w:hint="eastAsia" w:ascii="宋体" w:hAnsi="宋体" w:cs="宋体"/>
                <w:b/>
                <w:bCs/>
                <w:color w:val="auto"/>
                <w:w w:val="99"/>
                <w:highlight w:val="none"/>
              </w:rPr>
              <w:t>依据的标准</w:t>
            </w:r>
          </w:p>
        </w:tc>
      </w:tr>
      <w:tr w14:paraId="42273B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71" w:type="dxa"/>
            <w:vMerge w:val="restart"/>
            <w:tcBorders>
              <w:top w:val="single" w:color="000000" w:sz="4" w:space="0"/>
              <w:left w:val="single" w:color="000000" w:sz="4" w:space="0"/>
              <w:bottom w:val="single" w:color="000000" w:sz="4" w:space="0"/>
              <w:right w:val="single" w:color="000000" w:sz="4" w:space="0"/>
            </w:tcBorders>
            <w:vAlign w:val="center"/>
          </w:tcPr>
          <w:p w14:paraId="682D9D07">
            <w:pPr>
              <w:keepNext w:val="0"/>
              <w:keepLines w:val="0"/>
              <w:suppressLineNumbers w:val="0"/>
              <w:spacing w:before="0" w:beforeAutospacing="0" w:after="0" w:afterAutospacing="0"/>
              <w:ind w:left="0" w:right="0"/>
              <w:jc w:val="center"/>
              <w:rPr>
                <w:rFonts w:hint="default" w:ascii="宋体" w:hAnsi="宋体"/>
                <w:color w:val="auto"/>
                <w:szCs w:val="21"/>
                <w:highlight w:val="none"/>
              </w:rPr>
            </w:pPr>
            <w:r>
              <w:rPr>
                <w:rFonts w:hint="eastAsia" w:ascii="宋体" w:hAnsi="宋体"/>
                <w:color w:val="auto"/>
                <w:szCs w:val="21"/>
                <w:highlight w:val="none"/>
              </w:rPr>
              <w:t>1</w:t>
            </w:r>
          </w:p>
        </w:tc>
        <w:tc>
          <w:tcPr>
            <w:tcW w:w="1422" w:type="dxa"/>
            <w:vMerge w:val="restart"/>
            <w:tcBorders>
              <w:top w:val="single" w:color="000000" w:sz="4" w:space="0"/>
              <w:left w:val="single" w:color="000000" w:sz="4" w:space="0"/>
              <w:bottom w:val="single" w:color="000000" w:sz="4" w:space="0"/>
              <w:right w:val="single" w:color="000000" w:sz="4" w:space="0"/>
            </w:tcBorders>
            <w:vAlign w:val="center"/>
          </w:tcPr>
          <w:p w14:paraId="4FB6074D">
            <w:pPr>
              <w:keepNext w:val="0"/>
              <w:keepLines w:val="0"/>
              <w:suppressLineNumbers w:val="0"/>
              <w:spacing w:before="0" w:beforeAutospacing="0" w:after="0" w:afterAutospacing="0"/>
              <w:ind w:left="0" w:right="0"/>
              <w:jc w:val="center"/>
              <w:rPr>
                <w:rFonts w:hint="default" w:ascii="宋体" w:hAnsi="宋体"/>
                <w:color w:val="auto"/>
                <w:szCs w:val="21"/>
                <w:highlight w:val="none"/>
              </w:rPr>
            </w:pPr>
            <w:r>
              <w:rPr>
                <w:rFonts w:hint="eastAsia" w:ascii="宋体" w:hAnsi="宋体" w:cs="方正仿宋_GB2312"/>
                <w:color w:val="auto"/>
                <w:szCs w:val="21"/>
                <w:highlight w:val="none"/>
              </w:rPr>
              <w:t>A02010100</w:t>
            </w:r>
            <w:r>
              <w:rPr>
                <w:rFonts w:hint="eastAsia" w:ascii="宋体" w:hAnsi="宋体" w:cs="宋体"/>
                <w:color w:val="auto"/>
                <w:w w:val="99"/>
                <w:szCs w:val="21"/>
                <w:highlight w:val="none"/>
              </w:rPr>
              <w:t>计算机</w:t>
            </w:r>
          </w:p>
        </w:tc>
        <w:tc>
          <w:tcPr>
            <w:tcW w:w="1496" w:type="dxa"/>
            <w:tcBorders>
              <w:top w:val="single" w:color="000000" w:sz="4" w:space="0"/>
              <w:left w:val="single" w:color="000000" w:sz="4" w:space="0"/>
              <w:bottom w:val="single" w:color="000000" w:sz="4" w:space="0"/>
              <w:right w:val="single" w:color="000000" w:sz="4" w:space="0"/>
            </w:tcBorders>
            <w:vAlign w:val="center"/>
          </w:tcPr>
          <w:p w14:paraId="7B9FA3C6">
            <w:pPr>
              <w:pStyle w:val="88"/>
              <w:keepNext w:val="0"/>
              <w:keepLines w:val="0"/>
              <w:suppressLineNumbers w:val="0"/>
              <w:spacing w:before="93" w:beforeAutospacing="0" w:after="0" w:afterAutospacing="0"/>
              <w:ind w:left="7" w:right="5"/>
              <w:jc w:val="center"/>
              <w:rPr>
                <w:rFonts w:hint="default" w:ascii="宋体" w:hAnsi="宋体" w:cs="宋体"/>
                <w:color w:val="auto"/>
                <w:kern w:val="2"/>
                <w:sz w:val="21"/>
                <w:szCs w:val="21"/>
                <w:highlight w:val="none"/>
              </w:rPr>
            </w:pPr>
            <w:r>
              <w:rPr>
                <w:rFonts w:hint="eastAsia" w:ascii="宋体" w:hAnsi="宋体" w:cs="宋体"/>
                <w:color w:val="auto"/>
                <w:w w:val="99"/>
                <w:kern w:val="2"/>
                <w:sz w:val="21"/>
                <w:szCs w:val="21"/>
                <w:highlight w:val="none"/>
              </w:rPr>
              <w:t>★</w:t>
            </w:r>
            <w:r>
              <w:rPr>
                <w:rFonts w:hint="eastAsia" w:ascii="宋体" w:hAnsi="宋体" w:cs="方正仿宋_GB2312"/>
                <w:color w:val="auto"/>
                <w:kern w:val="2"/>
                <w:sz w:val="21"/>
                <w:szCs w:val="21"/>
                <w:highlight w:val="none"/>
              </w:rPr>
              <w:t>A02010105</w:t>
            </w:r>
            <w:r>
              <w:rPr>
                <w:rFonts w:hint="eastAsia" w:ascii="宋体" w:hAnsi="宋体" w:cs="宋体"/>
                <w:color w:val="auto"/>
                <w:w w:val="99"/>
                <w:kern w:val="2"/>
                <w:sz w:val="21"/>
                <w:szCs w:val="21"/>
                <w:highlight w:val="none"/>
              </w:rPr>
              <w:t>台式计算机</w:t>
            </w:r>
          </w:p>
        </w:tc>
        <w:tc>
          <w:tcPr>
            <w:tcW w:w="1481" w:type="dxa"/>
            <w:tcBorders>
              <w:top w:val="single" w:color="000000" w:sz="4" w:space="0"/>
              <w:left w:val="single" w:color="000000" w:sz="4" w:space="0"/>
              <w:bottom w:val="single" w:color="000000" w:sz="4" w:space="0"/>
              <w:right w:val="single" w:color="000000" w:sz="4" w:space="0"/>
            </w:tcBorders>
            <w:vAlign w:val="center"/>
          </w:tcPr>
          <w:p w14:paraId="0885054C">
            <w:pPr>
              <w:keepNext w:val="0"/>
              <w:keepLines w:val="0"/>
              <w:suppressLineNumbers w:val="0"/>
              <w:spacing w:before="0" w:beforeAutospacing="0" w:after="0" w:afterAutospacing="0"/>
              <w:ind w:left="0" w:right="0"/>
              <w:jc w:val="center"/>
              <w:rPr>
                <w:rFonts w:hint="default" w:ascii="宋体" w:hAnsi="宋体"/>
                <w:color w:val="auto"/>
                <w:szCs w:val="21"/>
                <w:highlight w:val="none"/>
              </w:rPr>
            </w:pPr>
          </w:p>
        </w:tc>
        <w:tc>
          <w:tcPr>
            <w:tcW w:w="4388" w:type="dxa"/>
            <w:tcBorders>
              <w:top w:val="single" w:color="000000" w:sz="4" w:space="0"/>
              <w:left w:val="single" w:color="000000" w:sz="4" w:space="0"/>
              <w:bottom w:val="single" w:color="000000" w:sz="4" w:space="0"/>
              <w:right w:val="single" w:color="000000" w:sz="4" w:space="0"/>
            </w:tcBorders>
          </w:tcPr>
          <w:p w14:paraId="0D1D4BEA">
            <w:pPr>
              <w:pStyle w:val="88"/>
              <w:keepNext w:val="0"/>
              <w:keepLines w:val="0"/>
              <w:suppressLineNumbers w:val="0"/>
              <w:spacing w:before="131" w:beforeAutospacing="0" w:after="0" w:afterAutospacing="0" w:line="276" w:lineRule="auto"/>
              <w:ind w:left="7" w:right="4"/>
              <w:rPr>
                <w:rFonts w:hint="default" w:ascii="宋体" w:hAnsi="宋体" w:cs="宋体"/>
                <w:color w:val="auto"/>
                <w:spacing w:val="10"/>
                <w:kern w:val="2"/>
                <w:sz w:val="21"/>
                <w:szCs w:val="21"/>
                <w:highlight w:val="none"/>
                <w:lang w:eastAsia="zh-CN"/>
              </w:rPr>
            </w:pPr>
            <w:r>
              <w:rPr>
                <w:rFonts w:hint="eastAsia" w:ascii="宋体" w:hAnsi="宋体" w:cs="宋体"/>
                <w:color w:val="auto"/>
                <w:spacing w:val="10"/>
                <w:kern w:val="2"/>
                <w:sz w:val="21"/>
                <w:szCs w:val="21"/>
                <w:highlight w:val="none"/>
                <w:lang w:eastAsia="zh-CN"/>
              </w:rPr>
              <w:t>《微型计算机能效限定值及能效等级》（GB28380）</w:t>
            </w:r>
          </w:p>
        </w:tc>
      </w:tr>
      <w:tr w14:paraId="1FAFFD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0" w:type="auto"/>
            <w:vMerge w:val="continue"/>
            <w:tcBorders>
              <w:top w:val="single" w:color="000000" w:sz="4" w:space="0"/>
              <w:left w:val="single" w:color="000000" w:sz="4" w:space="0"/>
              <w:bottom w:val="single" w:color="000000" w:sz="4" w:space="0"/>
              <w:right w:val="single" w:color="000000" w:sz="4" w:space="0"/>
            </w:tcBorders>
            <w:vAlign w:val="center"/>
          </w:tcPr>
          <w:p w14:paraId="461EEC61">
            <w:pPr>
              <w:keepNext w:val="0"/>
              <w:keepLines w:val="0"/>
              <w:widowControl/>
              <w:suppressLineNumbers w:val="0"/>
              <w:spacing w:before="0" w:beforeAutospacing="0" w:after="0" w:afterAutospacing="0"/>
              <w:ind w:left="0" w:right="0"/>
              <w:jc w:val="left"/>
              <w:rPr>
                <w:rFonts w:hint="default" w:ascii="宋体" w:hAnsi="宋体"/>
                <w:color w:val="auto"/>
                <w:szCs w:val="21"/>
                <w:highlight w:val="none"/>
              </w:rPr>
            </w:pPr>
          </w:p>
        </w:tc>
        <w:tc>
          <w:tcPr>
            <w:tcW w:w="0" w:type="auto"/>
            <w:vMerge w:val="continue"/>
            <w:tcBorders>
              <w:top w:val="single" w:color="000000" w:sz="4" w:space="0"/>
              <w:left w:val="single" w:color="000000" w:sz="4" w:space="0"/>
              <w:bottom w:val="single" w:color="000000" w:sz="4" w:space="0"/>
              <w:right w:val="single" w:color="000000" w:sz="4" w:space="0"/>
            </w:tcBorders>
            <w:vAlign w:val="center"/>
          </w:tcPr>
          <w:p w14:paraId="2FE40A8A">
            <w:pPr>
              <w:keepNext w:val="0"/>
              <w:keepLines w:val="0"/>
              <w:widowControl/>
              <w:suppressLineNumbers w:val="0"/>
              <w:spacing w:before="0" w:beforeAutospacing="0" w:after="0" w:afterAutospacing="0"/>
              <w:ind w:left="0" w:right="0"/>
              <w:jc w:val="left"/>
              <w:rPr>
                <w:rFonts w:hint="default" w:ascii="宋体" w:hAnsi="宋体"/>
                <w:color w:val="auto"/>
                <w:szCs w:val="21"/>
                <w:highlight w:val="none"/>
              </w:rPr>
            </w:pPr>
          </w:p>
        </w:tc>
        <w:tc>
          <w:tcPr>
            <w:tcW w:w="1496" w:type="dxa"/>
            <w:tcBorders>
              <w:top w:val="single" w:color="000000" w:sz="4" w:space="0"/>
              <w:left w:val="single" w:color="000000" w:sz="4" w:space="0"/>
              <w:bottom w:val="single" w:color="000000" w:sz="4" w:space="0"/>
              <w:right w:val="single" w:color="000000" w:sz="4" w:space="0"/>
            </w:tcBorders>
            <w:vAlign w:val="center"/>
          </w:tcPr>
          <w:p w14:paraId="06B63325">
            <w:pPr>
              <w:pStyle w:val="88"/>
              <w:keepNext w:val="0"/>
              <w:keepLines w:val="0"/>
              <w:suppressLineNumbers w:val="0"/>
              <w:spacing w:before="44" w:beforeAutospacing="0" w:after="0" w:afterAutospacing="0"/>
              <w:ind w:left="7" w:right="5"/>
              <w:jc w:val="center"/>
              <w:rPr>
                <w:rFonts w:hint="default" w:ascii="宋体" w:hAnsi="宋体" w:cs="宋体"/>
                <w:color w:val="auto"/>
                <w:kern w:val="2"/>
                <w:sz w:val="21"/>
                <w:szCs w:val="21"/>
                <w:highlight w:val="none"/>
              </w:rPr>
            </w:pPr>
            <w:r>
              <w:rPr>
                <w:rFonts w:hint="eastAsia" w:ascii="宋体" w:hAnsi="宋体" w:cs="宋体"/>
                <w:color w:val="auto"/>
                <w:w w:val="99"/>
                <w:kern w:val="2"/>
                <w:sz w:val="21"/>
                <w:szCs w:val="21"/>
                <w:highlight w:val="none"/>
              </w:rPr>
              <w:t>★</w:t>
            </w:r>
            <w:r>
              <w:rPr>
                <w:rFonts w:hint="eastAsia" w:ascii="宋体" w:hAnsi="宋体" w:cs="方正仿宋_GB2312"/>
                <w:color w:val="auto"/>
                <w:kern w:val="2"/>
                <w:sz w:val="21"/>
                <w:szCs w:val="21"/>
                <w:highlight w:val="none"/>
              </w:rPr>
              <w:t>A02010108</w:t>
            </w:r>
            <w:r>
              <w:rPr>
                <w:rFonts w:hint="eastAsia" w:ascii="宋体" w:hAnsi="宋体" w:cs="宋体"/>
                <w:color w:val="auto"/>
                <w:w w:val="99"/>
                <w:kern w:val="2"/>
                <w:sz w:val="21"/>
                <w:szCs w:val="21"/>
                <w:highlight w:val="none"/>
              </w:rPr>
              <w:t>便携式计算机</w:t>
            </w:r>
          </w:p>
        </w:tc>
        <w:tc>
          <w:tcPr>
            <w:tcW w:w="1481" w:type="dxa"/>
            <w:tcBorders>
              <w:top w:val="single" w:color="000000" w:sz="4" w:space="0"/>
              <w:left w:val="single" w:color="000000" w:sz="4" w:space="0"/>
              <w:bottom w:val="single" w:color="000000" w:sz="4" w:space="0"/>
              <w:right w:val="single" w:color="000000" w:sz="4" w:space="0"/>
            </w:tcBorders>
            <w:vAlign w:val="center"/>
          </w:tcPr>
          <w:p w14:paraId="47CB537F">
            <w:pPr>
              <w:keepNext w:val="0"/>
              <w:keepLines w:val="0"/>
              <w:suppressLineNumbers w:val="0"/>
              <w:spacing w:before="0" w:beforeAutospacing="0" w:after="0" w:afterAutospacing="0"/>
              <w:ind w:left="0" w:right="0"/>
              <w:jc w:val="center"/>
              <w:rPr>
                <w:rFonts w:hint="default" w:ascii="宋体" w:hAnsi="宋体"/>
                <w:color w:val="auto"/>
                <w:szCs w:val="21"/>
                <w:highlight w:val="none"/>
              </w:rPr>
            </w:pPr>
          </w:p>
        </w:tc>
        <w:tc>
          <w:tcPr>
            <w:tcW w:w="4388" w:type="dxa"/>
            <w:tcBorders>
              <w:top w:val="single" w:color="000000" w:sz="4" w:space="0"/>
              <w:left w:val="single" w:color="000000" w:sz="4" w:space="0"/>
              <w:bottom w:val="single" w:color="000000" w:sz="4" w:space="0"/>
              <w:right w:val="single" w:color="000000" w:sz="4" w:space="0"/>
            </w:tcBorders>
          </w:tcPr>
          <w:p w14:paraId="108D0CC5">
            <w:pPr>
              <w:pStyle w:val="88"/>
              <w:keepNext w:val="0"/>
              <w:keepLines w:val="0"/>
              <w:suppressLineNumbers w:val="0"/>
              <w:spacing w:before="131" w:beforeAutospacing="0" w:after="0" w:afterAutospacing="0" w:line="276" w:lineRule="auto"/>
              <w:ind w:left="7" w:right="4"/>
              <w:rPr>
                <w:rFonts w:hint="default" w:ascii="宋体" w:hAnsi="宋体" w:cs="宋体"/>
                <w:color w:val="auto"/>
                <w:spacing w:val="10"/>
                <w:kern w:val="2"/>
                <w:sz w:val="21"/>
                <w:szCs w:val="21"/>
                <w:highlight w:val="none"/>
                <w:lang w:eastAsia="zh-CN"/>
              </w:rPr>
            </w:pPr>
            <w:r>
              <w:rPr>
                <w:rFonts w:hint="eastAsia" w:ascii="宋体" w:hAnsi="宋体" w:cs="宋体"/>
                <w:color w:val="auto"/>
                <w:spacing w:val="10"/>
                <w:kern w:val="2"/>
                <w:sz w:val="21"/>
                <w:szCs w:val="21"/>
                <w:highlight w:val="none"/>
                <w:lang w:eastAsia="zh-CN"/>
              </w:rPr>
              <w:t>《微型计算机能效限定值及能效等级》（GB28380）</w:t>
            </w:r>
          </w:p>
        </w:tc>
      </w:tr>
      <w:tr w14:paraId="7C3500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0" w:type="auto"/>
            <w:vMerge w:val="continue"/>
            <w:tcBorders>
              <w:top w:val="single" w:color="000000" w:sz="4" w:space="0"/>
              <w:left w:val="single" w:color="000000" w:sz="4" w:space="0"/>
              <w:bottom w:val="single" w:color="000000" w:sz="4" w:space="0"/>
              <w:right w:val="single" w:color="000000" w:sz="4" w:space="0"/>
            </w:tcBorders>
            <w:vAlign w:val="center"/>
          </w:tcPr>
          <w:p w14:paraId="3F5AF745">
            <w:pPr>
              <w:keepNext w:val="0"/>
              <w:keepLines w:val="0"/>
              <w:widowControl/>
              <w:suppressLineNumbers w:val="0"/>
              <w:spacing w:before="0" w:beforeAutospacing="0" w:after="0" w:afterAutospacing="0"/>
              <w:ind w:left="0" w:right="0"/>
              <w:jc w:val="left"/>
              <w:rPr>
                <w:rFonts w:hint="default" w:ascii="宋体" w:hAnsi="宋体"/>
                <w:color w:val="auto"/>
                <w:szCs w:val="21"/>
                <w:highlight w:val="none"/>
              </w:rPr>
            </w:pPr>
          </w:p>
        </w:tc>
        <w:tc>
          <w:tcPr>
            <w:tcW w:w="0" w:type="auto"/>
            <w:vMerge w:val="continue"/>
            <w:tcBorders>
              <w:top w:val="single" w:color="000000" w:sz="4" w:space="0"/>
              <w:left w:val="single" w:color="000000" w:sz="4" w:space="0"/>
              <w:bottom w:val="single" w:color="000000" w:sz="4" w:space="0"/>
              <w:right w:val="single" w:color="000000" w:sz="4" w:space="0"/>
            </w:tcBorders>
            <w:vAlign w:val="center"/>
          </w:tcPr>
          <w:p w14:paraId="789C2FE0">
            <w:pPr>
              <w:keepNext w:val="0"/>
              <w:keepLines w:val="0"/>
              <w:widowControl/>
              <w:suppressLineNumbers w:val="0"/>
              <w:spacing w:before="0" w:beforeAutospacing="0" w:after="0" w:afterAutospacing="0"/>
              <w:ind w:left="0" w:right="0"/>
              <w:jc w:val="left"/>
              <w:rPr>
                <w:rFonts w:hint="default" w:ascii="宋体" w:hAnsi="宋体"/>
                <w:color w:val="auto"/>
                <w:szCs w:val="21"/>
                <w:highlight w:val="none"/>
              </w:rPr>
            </w:pPr>
          </w:p>
        </w:tc>
        <w:tc>
          <w:tcPr>
            <w:tcW w:w="1496" w:type="dxa"/>
            <w:tcBorders>
              <w:top w:val="single" w:color="000000" w:sz="4" w:space="0"/>
              <w:left w:val="single" w:color="000000" w:sz="4" w:space="0"/>
              <w:bottom w:val="single" w:color="000000" w:sz="4" w:space="0"/>
              <w:right w:val="single" w:color="000000" w:sz="4" w:space="0"/>
            </w:tcBorders>
            <w:vAlign w:val="center"/>
          </w:tcPr>
          <w:p w14:paraId="42D6A4B5">
            <w:pPr>
              <w:pStyle w:val="88"/>
              <w:keepNext w:val="0"/>
              <w:keepLines w:val="0"/>
              <w:suppressLineNumbers w:val="0"/>
              <w:spacing w:before="64" w:beforeAutospacing="0" w:after="0" w:afterAutospacing="0"/>
              <w:ind w:left="7" w:right="5"/>
              <w:jc w:val="center"/>
              <w:rPr>
                <w:rFonts w:hint="default" w:ascii="宋体" w:hAnsi="宋体" w:cs="宋体"/>
                <w:color w:val="auto"/>
                <w:kern w:val="2"/>
                <w:sz w:val="21"/>
                <w:szCs w:val="21"/>
                <w:highlight w:val="none"/>
                <w:lang w:eastAsia="zh-CN"/>
              </w:rPr>
            </w:pPr>
            <w:r>
              <w:rPr>
                <w:rFonts w:hint="eastAsia" w:ascii="宋体" w:hAnsi="宋体" w:cs="宋体"/>
                <w:color w:val="auto"/>
                <w:w w:val="99"/>
                <w:kern w:val="2"/>
                <w:sz w:val="21"/>
                <w:szCs w:val="21"/>
                <w:highlight w:val="none"/>
                <w:lang w:eastAsia="zh-CN"/>
              </w:rPr>
              <w:t>★</w:t>
            </w:r>
            <w:r>
              <w:rPr>
                <w:rFonts w:hint="eastAsia" w:ascii="宋体" w:hAnsi="宋体" w:cs="方正仿宋_GB2312"/>
                <w:color w:val="auto"/>
                <w:kern w:val="2"/>
                <w:sz w:val="21"/>
                <w:szCs w:val="21"/>
                <w:highlight w:val="none"/>
                <w:lang w:eastAsia="zh-CN"/>
              </w:rPr>
              <w:t>A02010109平板式计算机</w:t>
            </w:r>
          </w:p>
        </w:tc>
        <w:tc>
          <w:tcPr>
            <w:tcW w:w="1481" w:type="dxa"/>
            <w:tcBorders>
              <w:top w:val="single" w:color="000000" w:sz="4" w:space="0"/>
              <w:left w:val="single" w:color="000000" w:sz="4" w:space="0"/>
              <w:bottom w:val="single" w:color="000000" w:sz="4" w:space="0"/>
              <w:right w:val="single" w:color="000000" w:sz="4" w:space="0"/>
            </w:tcBorders>
            <w:vAlign w:val="center"/>
          </w:tcPr>
          <w:p w14:paraId="70399F19">
            <w:pPr>
              <w:keepNext w:val="0"/>
              <w:keepLines w:val="0"/>
              <w:suppressLineNumbers w:val="0"/>
              <w:spacing w:before="0" w:beforeAutospacing="0" w:after="0" w:afterAutospacing="0"/>
              <w:ind w:left="0" w:right="0"/>
              <w:jc w:val="center"/>
              <w:rPr>
                <w:rFonts w:hint="default" w:ascii="宋体" w:hAnsi="宋体"/>
                <w:color w:val="auto"/>
                <w:szCs w:val="21"/>
                <w:highlight w:val="none"/>
              </w:rPr>
            </w:pPr>
          </w:p>
        </w:tc>
        <w:tc>
          <w:tcPr>
            <w:tcW w:w="4388" w:type="dxa"/>
            <w:tcBorders>
              <w:top w:val="single" w:color="000000" w:sz="4" w:space="0"/>
              <w:left w:val="single" w:color="000000" w:sz="4" w:space="0"/>
              <w:bottom w:val="single" w:color="000000" w:sz="4" w:space="0"/>
              <w:right w:val="single" w:color="000000" w:sz="4" w:space="0"/>
            </w:tcBorders>
          </w:tcPr>
          <w:p w14:paraId="44EA68E2">
            <w:pPr>
              <w:pStyle w:val="88"/>
              <w:keepNext w:val="0"/>
              <w:keepLines w:val="0"/>
              <w:suppressLineNumbers w:val="0"/>
              <w:spacing w:before="131" w:beforeAutospacing="0" w:after="0" w:afterAutospacing="0" w:line="276" w:lineRule="auto"/>
              <w:ind w:left="7" w:right="4"/>
              <w:rPr>
                <w:rFonts w:hint="default" w:ascii="宋体" w:hAnsi="宋体" w:cs="宋体"/>
                <w:color w:val="auto"/>
                <w:spacing w:val="10"/>
                <w:kern w:val="2"/>
                <w:sz w:val="21"/>
                <w:szCs w:val="21"/>
                <w:highlight w:val="none"/>
                <w:lang w:eastAsia="zh-CN"/>
              </w:rPr>
            </w:pPr>
            <w:r>
              <w:rPr>
                <w:rFonts w:hint="eastAsia" w:ascii="宋体" w:hAnsi="宋体" w:cs="宋体"/>
                <w:color w:val="auto"/>
                <w:spacing w:val="10"/>
                <w:kern w:val="2"/>
                <w:sz w:val="21"/>
                <w:szCs w:val="21"/>
                <w:highlight w:val="none"/>
                <w:lang w:eastAsia="zh-CN"/>
              </w:rPr>
              <w:t>《微型计算机能效限定值及能效等级》（GB28380）</w:t>
            </w:r>
          </w:p>
        </w:tc>
      </w:tr>
      <w:tr w14:paraId="70EC70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71" w:type="dxa"/>
            <w:vMerge w:val="restart"/>
            <w:tcBorders>
              <w:top w:val="single" w:color="000000" w:sz="4" w:space="0"/>
              <w:left w:val="single" w:color="000000" w:sz="4" w:space="0"/>
              <w:bottom w:val="single" w:color="000000" w:sz="4" w:space="0"/>
              <w:right w:val="single" w:color="000000" w:sz="4" w:space="0"/>
            </w:tcBorders>
            <w:vAlign w:val="center"/>
          </w:tcPr>
          <w:p w14:paraId="092AD17F">
            <w:pPr>
              <w:keepNext w:val="0"/>
              <w:keepLines w:val="0"/>
              <w:suppressLineNumbers w:val="0"/>
              <w:spacing w:before="0" w:beforeAutospacing="0" w:after="0" w:afterAutospacing="0"/>
              <w:ind w:left="0" w:right="0"/>
              <w:jc w:val="center"/>
              <w:rPr>
                <w:rFonts w:hint="default" w:ascii="宋体" w:hAnsi="宋体"/>
                <w:color w:val="auto"/>
                <w:szCs w:val="21"/>
                <w:highlight w:val="none"/>
              </w:rPr>
            </w:pPr>
            <w:r>
              <w:rPr>
                <w:rFonts w:hint="eastAsia" w:ascii="宋体" w:hAnsi="宋体"/>
                <w:color w:val="auto"/>
                <w:szCs w:val="21"/>
                <w:highlight w:val="none"/>
              </w:rPr>
              <w:t>2</w:t>
            </w:r>
          </w:p>
        </w:tc>
        <w:tc>
          <w:tcPr>
            <w:tcW w:w="1422" w:type="dxa"/>
            <w:vMerge w:val="restart"/>
            <w:tcBorders>
              <w:top w:val="single" w:color="000000" w:sz="4" w:space="0"/>
              <w:left w:val="single" w:color="000000" w:sz="4" w:space="0"/>
              <w:bottom w:val="single" w:color="000000" w:sz="4" w:space="0"/>
              <w:right w:val="single" w:color="000000" w:sz="4" w:space="0"/>
            </w:tcBorders>
            <w:vAlign w:val="center"/>
          </w:tcPr>
          <w:p w14:paraId="50BCDE4E">
            <w:pPr>
              <w:pStyle w:val="88"/>
              <w:keepNext w:val="0"/>
              <w:keepLines w:val="0"/>
              <w:suppressLineNumbers w:val="0"/>
              <w:spacing w:before="0" w:beforeAutospacing="0" w:after="0" w:afterAutospacing="0"/>
              <w:ind w:left="7" w:right="0"/>
              <w:jc w:val="center"/>
              <w:rPr>
                <w:rFonts w:hint="default" w:ascii="宋体" w:hAnsi="宋体" w:cs="宋体"/>
                <w:color w:val="auto"/>
                <w:kern w:val="2"/>
                <w:sz w:val="21"/>
                <w:szCs w:val="21"/>
                <w:highlight w:val="none"/>
              </w:rPr>
            </w:pPr>
            <w:r>
              <w:rPr>
                <w:rFonts w:hint="eastAsia" w:ascii="宋体" w:hAnsi="宋体" w:cs="方正仿宋_GB2312"/>
                <w:color w:val="auto"/>
                <w:kern w:val="2"/>
                <w:sz w:val="21"/>
                <w:szCs w:val="21"/>
                <w:highlight w:val="none"/>
              </w:rPr>
              <w:t>A02020000</w:t>
            </w:r>
            <w:r>
              <w:rPr>
                <w:rFonts w:hint="eastAsia" w:ascii="宋体" w:hAnsi="宋体" w:cs="宋体"/>
                <w:color w:val="auto"/>
                <w:w w:val="99"/>
                <w:kern w:val="2"/>
                <w:sz w:val="21"/>
                <w:szCs w:val="21"/>
                <w:highlight w:val="none"/>
              </w:rPr>
              <w:t>办公设备</w:t>
            </w:r>
          </w:p>
        </w:tc>
        <w:tc>
          <w:tcPr>
            <w:tcW w:w="1496" w:type="dxa"/>
            <w:vMerge w:val="restart"/>
            <w:tcBorders>
              <w:top w:val="single" w:color="000000" w:sz="4" w:space="0"/>
              <w:left w:val="single" w:color="000000" w:sz="4" w:space="0"/>
              <w:bottom w:val="single" w:color="000000" w:sz="4" w:space="0"/>
              <w:right w:val="single" w:color="000000" w:sz="4" w:space="0"/>
            </w:tcBorders>
            <w:vAlign w:val="center"/>
          </w:tcPr>
          <w:p w14:paraId="6839FE5E">
            <w:pPr>
              <w:keepNext w:val="0"/>
              <w:keepLines w:val="0"/>
              <w:suppressLineNumbers w:val="0"/>
              <w:spacing w:before="0" w:beforeAutospacing="0" w:after="0" w:afterAutospacing="0"/>
              <w:ind w:left="0" w:right="0"/>
              <w:jc w:val="center"/>
              <w:rPr>
                <w:rFonts w:hint="default" w:ascii="宋体" w:hAnsi="宋体"/>
                <w:color w:val="auto"/>
                <w:szCs w:val="21"/>
                <w:highlight w:val="none"/>
              </w:rPr>
            </w:pPr>
            <w:r>
              <w:rPr>
                <w:rFonts w:hint="eastAsia" w:ascii="宋体" w:hAnsi="宋体" w:cs="宋体"/>
                <w:color w:val="auto"/>
                <w:spacing w:val="1"/>
                <w:w w:val="99"/>
                <w:szCs w:val="21"/>
                <w:highlight w:val="none"/>
              </w:rPr>
              <w:t>A02021000</w:t>
            </w:r>
            <w:r>
              <w:rPr>
                <w:rFonts w:hint="eastAsia" w:ascii="宋体" w:hAnsi="宋体" w:cs="Arial"/>
                <w:color w:val="auto"/>
                <w:szCs w:val="21"/>
                <w:highlight w:val="none"/>
                <w:shd w:val="clear" w:color="auto" w:fill="FFFFFF"/>
              </w:rPr>
              <w:t>打印机</w:t>
            </w:r>
          </w:p>
        </w:tc>
        <w:tc>
          <w:tcPr>
            <w:tcW w:w="1481" w:type="dxa"/>
            <w:tcBorders>
              <w:top w:val="single" w:color="000000" w:sz="4" w:space="0"/>
              <w:left w:val="single" w:color="000000" w:sz="4" w:space="0"/>
              <w:bottom w:val="single" w:color="000000" w:sz="4" w:space="0"/>
              <w:right w:val="single" w:color="000000" w:sz="4" w:space="0"/>
            </w:tcBorders>
            <w:vAlign w:val="center"/>
          </w:tcPr>
          <w:p w14:paraId="4FE2452B">
            <w:pPr>
              <w:keepNext w:val="0"/>
              <w:keepLines w:val="0"/>
              <w:suppressLineNumbers w:val="0"/>
              <w:spacing w:before="0" w:beforeAutospacing="0" w:after="0" w:afterAutospacing="0"/>
              <w:ind w:left="0" w:right="0"/>
              <w:jc w:val="center"/>
              <w:rPr>
                <w:rFonts w:hint="default" w:ascii="宋体" w:hAnsi="宋体"/>
                <w:color w:val="auto"/>
                <w:szCs w:val="21"/>
                <w:highlight w:val="none"/>
              </w:rPr>
            </w:pPr>
            <w:r>
              <w:rPr>
                <w:rFonts w:hint="eastAsia" w:ascii="宋体" w:hAnsi="宋体"/>
                <w:color w:val="auto"/>
                <w:szCs w:val="21"/>
                <w:highlight w:val="none"/>
              </w:rPr>
              <w:t>A02021001 A3黑白打印机</w:t>
            </w:r>
          </w:p>
        </w:tc>
        <w:tc>
          <w:tcPr>
            <w:tcW w:w="4388" w:type="dxa"/>
            <w:tcBorders>
              <w:top w:val="single" w:color="000000" w:sz="4" w:space="0"/>
              <w:left w:val="single" w:color="000000" w:sz="4" w:space="0"/>
              <w:bottom w:val="single" w:color="000000" w:sz="4" w:space="0"/>
              <w:right w:val="single" w:color="000000" w:sz="4" w:space="0"/>
            </w:tcBorders>
          </w:tcPr>
          <w:p w14:paraId="3EDBBDA7">
            <w:pPr>
              <w:pStyle w:val="88"/>
              <w:keepNext w:val="0"/>
              <w:keepLines w:val="0"/>
              <w:suppressLineNumbers w:val="0"/>
              <w:spacing w:before="131" w:beforeAutospacing="0" w:after="0" w:afterAutospacing="0" w:line="276" w:lineRule="auto"/>
              <w:ind w:left="7" w:right="4"/>
              <w:rPr>
                <w:rFonts w:hint="default" w:ascii="宋体" w:hAnsi="宋体" w:cs="宋体"/>
                <w:color w:val="auto"/>
                <w:spacing w:val="10"/>
                <w:kern w:val="2"/>
                <w:sz w:val="21"/>
                <w:szCs w:val="21"/>
                <w:highlight w:val="none"/>
                <w:lang w:eastAsia="zh-CN"/>
              </w:rPr>
            </w:pPr>
            <w:r>
              <w:rPr>
                <w:rFonts w:hint="eastAsia" w:ascii="宋体" w:hAnsi="宋体" w:cs="宋体"/>
                <w:color w:val="auto"/>
                <w:spacing w:val="10"/>
                <w:kern w:val="2"/>
                <w:sz w:val="21"/>
                <w:szCs w:val="21"/>
                <w:highlight w:val="none"/>
                <w:lang w:eastAsia="zh-CN"/>
              </w:rPr>
              <w:t>《复印机、打印机和传真机能效限定值及能效等级》（GB21521）</w:t>
            </w:r>
          </w:p>
        </w:tc>
      </w:tr>
      <w:tr w14:paraId="08C1F9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0" w:type="auto"/>
            <w:vMerge w:val="continue"/>
            <w:tcBorders>
              <w:top w:val="single" w:color="000000" w:sz="4" w:space="0"/>
              <w:left w:val="single" w:color="000000" w:sz="4" w:space="0"/>
              <w:bottom w:val="single" w:color="000000" w:sz="4" w:space="0"/>
              <w:right w:val="single" w:color="000000" w:sz="4" w:space="0"/>
            </w:tcBorders>
            <w:vAlign w:val="center"/>
          </w:tcPr>
          <w:p w14:paraId="5FE56C5D">
            <w:pPr>
              <w:keepNext w:val="0"/>
              <w:keepLines w:val="0"/>
              <w:widowControl/>
              <w:suppressLineNumbers w:val="0"/>
              <w:spacing w:before="0" w:beforeAutospacing="0" w:after="0" w:afterAutospacing="0"/>
              <w:ind w:left="0" w:right="0"/>
              <w:jc w:val="left"/>
              <w:rPr>
                <w:rFonts w:hint="default" w:ascii="宋体" w:hAnsi="宋体"/>
                <w:color w:val="auto"/>
                <w:szCs w:val="21"/>
                <w:highlight w:val="none"/>
              </w:rPr>
            </w:pPr>
          </w:p>
        </w:tc>
        <w:tc>
          <w:tcPr>
            <w:tcW w:w="0" w:type="auto"/>
            <w:vMerge w:val="continue"/>
            <w:tcBorders>
              <w:top w:val="single" w:color="000000" w:sz="4" w:space="0"/>
              <w:left w:val="single" w:color="000000" w:sz="4" w:space="0"/>
              <w:bottom w:val="single" w:color="000000" w:sz="4" w:space="0"/>
              <w:right w:val="single" w:color="000000" w:sz="4" w:space="0"/>
            </w:tcBorders>
            <w:vAlign w:val="center"/>
          </w:tcPr>
          <w:p w14:paraId="1EE7D36C">
            <w:pPr>
              <w:keepNext w:val="0"/>
              <w:keepLines w:val="0"/>
              <w:widowControl/>
              <w:suppressLineNumbers w:val="0"/>
              <w:spacing w:before="0" w:beforeAutospacing="0" w:after="0" w:afterAutospacing="0"/>
              <w:ind w:left="0" w:right="0"/>
              <w:jc w:val="left"/>
              <w:rPr>
                <w:rFonts w:hint="default" w:ascii="宋体" w:hAnsi="宋体" w:cs="宋体"/>
                <w:color w:val="auto"/>
                <w:szCs w:val="21"/>
                <w:highlight w:val="none"/>
              </w:rPr>
            </w:pPr>
          </w:p>
        </w:tc>
        <w:tc>
          <w:tcPr>
            <w:tcW w:w="0" w:type="auto"/>
            <w:vMerge w:val="continue"/>
            <w:tcBorders>
              <w:top w:val="single" w:color="000000" w:sz="4" w:space="0"/>
              <w:left w:val="single" w:color="000000" w:sz="4" w:space="0"/>
              <w:bottom w:val="single" w:color="000000" w:sz="4" w:space="0"/>
              <w:right w:val="single" w:color="000000" w:sz="4" w:space="0"/>
            </w:tcBorders>
            <w:vAlign w:val="center"/>
          </w:tcPr>
          <w:p w14:paraId="71AE0902">
            <w:pPr>
              <w:keepNext w:val="0"/>
              <w:keepLines w:val="0"/>
              <w:widowControl/>
              <w:suppressLineNumbers w:val="0"/>
              <w:spacing w:before="0" w:beforeAutospacing="0" w:after="0" w:afterAutospacing="0"/>
              <w:ind w:left="0" w:right="0"/>
              <w:jc w:val="left"/>
              <w:rPr>
                <w:rFonts w:hint="default" w:ascii="宋体" w:hAnsi="宋体"/>
                <w:color w:val="auto"/>
                <w:szCs w:val="21"/>
                <w:highlight w:val="none"/>
              </w:rPr>
            </w:pPr>
          </w:p>
        </w:tc>
        <w:tc>
          <w:tcPr>
            <w:tcW w:w="1481" w:type="dxa"/>
            <w:tcBorders>
              <w:top w:val="single" w:color="000000" w:sz="4" w:space="0"/>
              <w:left w:val="single" w:color="000000" w:sz="4" w:space="0"/>
              <w:bottom w:val="single" w:color="000000" w:sz="4" w:space="0"/>
              <w:right w:val="single" w:color="000000" w:sz="4" w:space="0"/>
            </w:tcBorders>
            <w:vAlign w:val="center"/>
          </w:tcPr>
          <w:p w14:paraId="435F9323">
            <w:pPr>
              <w:keepNext w:val="0"/>
              <w:keepLines w:val="0"/>
              <w:suppressLineNumbers w:val="0"/>
              <w:spacing w:before="0" w:beforeAutospacing="0" w:after="0" w:afterAutospacing="0"/>
              <w:ind w:left="0" w:right="0"/>
              <w:jc w:val="center"/>
              <w:rPr>
                <w:rFonts w:hint="default" w:ascii="宋体" w:hAnsi="宋体"/>
                <w:color w:val="auto"/>
                <w:szCs w:val="21"/>
                <w:highlight w:val="none"/>
              </w:rPr>
            </w:pPr>
            <w:r>
              <w:rPr>
                <w:rFonts w:hint="eastAsia" w:ascii="宋体" w:hAnsi="宋体"/>
                <w:color w:val="auto"/>
                <w:szCs w:val="21"/>
                <w:highlight w:val="none"/>
              </w:rPr>
              <w:t>A02021002 A3彩色打印机</w:t>
            </w:r>
          </w:p>
        </w:tc>
        <w:tc>
          <w:tcPr>
            <w:tcW w:w="4388" w:type="dxa"/>
            <w:tcBorders>
              <w:top w:val="single" w:color="000000" w:sz="4" w:space="0"/>
              <w:left w:val="single" w:color="000000" w:sz="4" w:space="0"/>
              <w:bottom w:val="single" w:color="000000" w:sz="4" w:space="0"/>
              <w:right w:val="single" w:color="000000" w:sz="4" w:space="0"/>
            </w:tcBorders>
          </w:tcPr>
          <w:p w14:paraId="761652E3">
            <w:pPr>
              <w:pStyle w:val="88"/>
              <w:keepNext w:val="0"/>
              <w:keepLines w:val="0"/>
              <w:suppressLineNumbers w:val="0"/>
              <w:spacing w:before="131" w:beforeAutospacing="0" w:after="0" w:afterAutospacing="0" w:line="276" w:lineRule="auto"/>
              <w:ind w:left="7" w:right="4"/>
              <w:rPr>
                <w:rFonts w:hint="default" w:ascii="宋体" w:hAnsi="宋体" w:cs="宋体"/>
                <w:color w:val="auto"/>
                <w:spacing w:val="10"/>
                <w:kern w:val="2"/>
                <w:sz w:val="21"/>
                <w:szCs w:val="21"/>
                <w:highlight w:val="none"/>
                <w:lang w:eastAsia="zh-CN"/>
              </w:rPr>
            </w:pPr>
            <w:r>
              <w:rPr>
                <w:rFonts w:hint="eastAsia" w:ascii="宋体" w:hAnsi="宋体" w:cs="宋体"/>
                <w:color w:val="auto"/>
                <w:spacing w:val="10"/>
                <w:kern w:val="2"/>
                <w:sz w:val="21"/>
                <w:szCs w:val="21"/>
                <w:highlight w:val="none"/>
                <w:lang w:eastAsia="zh-CN"/>
              </w:rPr>
              <w:t>《复印机、打印机和传真机能效限定值及能效等级》（GB21521）</w:t>
            </w:r>
          </w:p>
        </w:tc>
      </w:tr>
      <w:tr w14:paraId="23D943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0" w:type="auto"/>
            <w:vMerge w:val="continue"/>
            <w:tcBorders>
              <w:top w:val="single" w:color="000000" w:sz="4" w:space="0"/>
              <w:left w:val="single" w:color="000000" w:sz="4" w:space="0"/>
              <w:bottom w:val="single" w:color="000000" w:sz="4" w:space="0"/>
              <w:right w:val="single" w:color="000000" w:sz="4" w:space="0"/>
            </w:tcBorders>
            <w:vAlign w:val="center"/>
          </w:tcPr>
          <w:p w14:paraId="53977D9F">
            <w:pPr>
              <w:keepNext w:val="0"/>
              <w:keepLines w:val="0"/>
              <w:widowControl/>
              <w:suppressLineNumbers w:val="0"/>
              <w:spacing w:before="0" w:beforeAutospacing="0" w:after="0" w:afterAutospacing="0"/>
              <w:ind w:left="0" w:right="0"/>
              <w:jc w:val="left"/>
              <w:rPr>
                <w:rFonts w:hint="default" w:ascii="宋体" w:hAnsi="宋体"/>
                <w:color w:val="auto"/>
                <w:szCs w:val="21"/>
                <w:highlight w:val="none"/>
              </w:rPr>
            </w:pPr>
          </w:p>
        </w:tc>
        <w:tc>
          <w:tcPr>
            <w:tcW w:w="0" w:type="auto"/>
            <w:vMerge w:val="continue"/>
            <w:tcBorders>
              <w:top w:val="single" w:color="000000" w:sz="4" w:space="0"/>
              <w:left w:val="single" w:color="000000" w:sz="4" w:space="0"/>
              <w:bottom w:val="single" w:color="000000" w:sz="4" w:space="0"/>
              <w:right w:val="single" w:color="000000" w:sz="4" w:space="0"/>
            </w:tcBorders>
            <w:vAlign w:val="center"/>
          </w:tcPr>
          <w:p w14:paraId="0A811087">
            <w:pPr>
              <w:keepNext w:val="0"/>
              <w:keepLines w:val="0"/>
              <w:widowControl/>
              <w:suppressLineNumbers w:val="0"/>
              <w:spacing w:before="0" w:beforeAutospacing="0" w:after="0" w:afterAutospacing="0"/>
              <w:ind w:left="0" w:right="0"/>
              <w:jc w:val="left"/>
              <w:rPr>
                <w:rFonts w:hint="default" w:ascii="宋体" w:hAnsi="宋体" w:cs="宋体"/>
                <w:color w:val="auto"/>
                <w:szCs w:val="21"/>
                <w:highlight w:val="none"/>
              </w:rPr>
            </w:pPr>
          </w:p>
        </w:tc>
        <w:tc>
          <w:tcPr>
            <w:tcW w:w="0" w:type="auto"/>
            <w:vMerge w:val="continue"/>
            <w:tcBorders>
              <w:top w:val="single" w:color="000000" w:sz="4" w:space="0"/>
              <w:left w:val="single" w:color="000000" w:sz="4" w:space="0"/>
              <w:bottom w:val="single" w:color="000000" w:sz="4" w:space="0"/>
              <w:right w:val="single" w:color="000000" w:sz="4" w:space="0"/>
            </w:tcBorders>
            <w:vAlign w:val="center"/>
          </w:tcPr>
          <w:p w14:paraId="2F7D6297">
            <w:pPr>
              <w:keepNext w:val="0"/>
              <w:keepLines w:val="0"/>
              <w:widowControl/>
              <w:suppressLineNumbers w:val="0"/>
              <w:spacing w:before="0" w:beforeAutospacing="0" w:after="0" w:afterAutospacing="0"/>
              <w:ind w:left="0" w:right="0"/>
              <w:jc w:val="left"/>
              <w:rPr>
                <w:rFonts w:hint="default" w:ascii="宋体" w:hAnsi="宋体"/>
                <w:color w:val="auto"/>
                <w:szCs w:val="21"/>
                <w:highlight w:val="none"/>
              </w:rPr>
            </w:pPr>
          </w:p>
        </w:tc>
        <w:tc>
          <w:tcPr>
            <w:tcW w:w="1481" w:type="dxa"/>
            <w:tcBorders>
              <w:top w:val="single" w:color="000000" w:sz="4" w:space="0"/>
              <w:left w:val="single" w:color="000000" w:sz="4" w:space="0"/>
              <w:bottom w:val="single" w:color="000000" w:sz="4" w:space="0"/>
              <w:right w:val="single" w:color="000000" w:sz="4" w:space="0"/>
            </w:tcBorders>
            <w:vAlign w:val="center"/>
          </w:tcPr>
          <w:p w14:paraId="5896E793">
            <w:pPr>
              <w:keepNext w:val="0"/>
              <w:keepLines w:val="0"/>
              <w:suppressLineNumbers w:val="0"/>
              <w:spacing w:before="0" w:beforeAutospacing="0" w:after="0" w:afterAutospacing="0"/>
              <w:ind w:left="0" w:right="0"/>
              <w:jc w:val="center"/>
              <w:rPr>
                <w:rFonts w:hint="default" w:ascii="宋体" w:hAnsi="宋体"/>
                <w:color w:val="auto"/>
                <w:szCs w:val="21"/>
                <w:highlight w:val="none"/>
              </w:rPr>
            </w:pPr>
            <w:r>
              <w:rPr>
                <w:rFonts w:hint="eastAsia" w:ascii="宋体" w:hAnsi="宋体"/>
                <w:color w:val="auto"/>
                <w:szCs w:val="21"/>
                <w:highlight w:val="none"/>
              </w:rPr>
              <w:t>A02021003 A4黑白打印机</w:t>
            </w:r>
          </w:p>
        </w:tc>
        <w:tc>
          <w:tcPr>
            <w:tcW w:w="4388" w:type="dxa"/>
            <w:tcBorders>
              <w:top w:val="single" w:color="000000" w:sz="4" w:space="0"/>
              <w:left w:val="single" w:color="000000" w:sz="4" w:space="0"/>
              <w:bottom w:val="single" w:color="000000" w:sz="4" w:space="0"/>
              <w:right w:val="single" w:color="000000" w:sz="4" w:space="0"/>
            </w:tcBorders>
          </w:tcPr>
          <w:p w14:paraId="35B299B8">
            <w:pPr>
              <w:pStyle w:val="88"/>
              <w:keepNext w:val="0"/>
              <w:keepLines w:val="0"/>
              <w:suppressLineNumbers w:val="0"/>
              <w:spacing w:before="131" w:beforeAutospacing="0" w:after="0" w:afterAutospacing="0" w:line="276" w:lineRule="auto"/>
              <w:ind w:left="7" w:right="4"/>
              <w:rPr>
                <w:rFonts w:hint="default" w:ascii="宋体" w:hAnsi="宋体" w:cs="宋体"/>
                <w:color w:val="auto"/>
                <w:spacing w:val="10"/>
                <w:kern w:val="2"/>
                <w:sz w:val="21"/>
                <w:szCs w:val="21"/>
                <w:highlight w:val="none"/>
                <w:lang w:eastAsia="zh-CN"/>
              </w:rPr>
            </w:pPr>
            <w:r>
              <w:rPr>
                <w:rFonts w:hint="eastAsia" w:ascii="宋体" w:hAnsi="宋体" w:cs="宋体"/>
                <w:color w:val="auto"/>
                <w:spacing w:val="10"/>
                <w:kern w:val="2"/>
                <w:sz w:val="21"/>
                <w:szCs w:val="21"/>
                <w:highlight w:val="none"/>
                <w:lang w:eastAsia="zh-CN"/>
              </w:rPr>
              <w:t>《复印机、打印机和传真机能效限定值及能效等级》（GB21521）</w:t>
            </w:r>
          </w:p>
        </w:tc>
      </w:tr>
      <w:tr w14:paraId="6F3096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0" w:type="auto"/>
            <w:vMerge w:val="continue"/>
            <w:tcBorders>
              <w:top w:val="single" w:color="000000" w:sz="4" w:space="0"/>
              <w:left w:val="single" w:color="000000" w:sz="4" w:space="0"/>
              <w:bottom w:val="single" w:color="000000" w:sz="4" w:space="0"/>
              <w:right w:val="single" w:color="000000" w:sz="4" w:space="0"/>
            </w:tcBorders>
            <w:vAlign w:val="center"/>
          </w:tcPr>
          <w:p w14:paraId="54ABE6BE">
            <w:pPr>
              <w:keepNext w:val="0"/>
              <w:keepLines w:val="0"/>
              <w:widowControl/>
              <w:suppressLineNumbers w:val="0"/>
              <w:spacing w:before="0" w:beforeAutospacing="0" w:after="0" w:afterAutospacing="0"/>
              <w:ind w:left="0" w:right="0"/>
              <w:jc w:val="left"/>
              <w:rPr>
                <w:rFonts w:hint="default" w:ascii="宋体" w:hAnsi="宋体"/>
                <w:color w:val="auto"/>
                <w:szCs w:val="21"/>
                <w:highlight w:val="none"/>
              </w:rPr>
            </w:pPr>
          </w:p>
        </w:tc>
        <w:tc>
          <w:tcPr>
            <w:tcW w:w="0" w:type="auto"/>
            <w:vMerge w:val="continue"/>
            <w:tcBorders>
              <w:top w:val="single" w:color="000000" w:sz="4" w:space="0"/>
              <w:left w:val="single" w:color="000000" w:sz="4" w:space="0"/>
              <w:bottom w:val="single" w:color="000000" w:sz="4" w:space="0"/>
              <w:right w:val="single" w:color="000000" w:sz="4" w:space="0"/>
            </w:tcBorders>
            <w:vAlign w:val="center"/>
          </w:tcPr>
          <w:p w14:paraId="352D90AA">
            <w:pPr>
              <w:keepNext w:val="0"/>
              <w:keepLines w:val="0"/>
              <w:widowControl/>
              <w:suppressLineNumbers w:val="0"/>
              <w:spacing w:before="0" w:beforeAutospacing="0" w:after="0" w:afterAutospacing="0"/>
              <w:ind w:left="0" w:right="0"/>
              <w:jc w:val="left"/>
              <w:rPr>
                <w:rFonts w:hint="default" w:ascii="宋体" w:hAnsi="宋体" w:cs="宋体"/>
                <w:color w:val="auto"/>
                <w:szCs w:val="21"/>
                <w:highlight w:val="none"/>
              </w:rPr>
            </w:pPr>
          </w:p>
        </w:tc>
        <w:tc>
          <w:tcPr>
            <w:tcW w:w="0" w:type="auto"/>
            <w:vMerge w:val="continue"/>
            <w:tcBorders>
              <w:top w:val="single" w:color="000000" w:sz="4" w:space="0"/>
              <w:left w:val="single" w:color="000000" w:sz="4" w:space="0"/>
              <w:bottom w:val="single" w:color="000000" w:sz="4" w:space="0"/>
              <w:right w:val="single" w:color="000000" w:sz="4" w:space="0"/>
            </w:tcBorders>
            <w:vAlign w:val="center"/>
          </w:tcPr>
          <w:p w14:paraId="203F8ABE">
            <w:pPr>
              <w:keepNext w:val="0"/>
              <w:keepLines w:val="0"/>
              <w:widowControl/>
              <w:suppressLineNumbers w:val="0"/>
              <w:spacing w:before="0" w:beforeAutospacing="0" w:after="0" w:afterAutospacing="0"/>
              <w:ind w:left="0" w:right="0"/>
              <w:jc w:val="left"/>
              <w:rPr>
                <w:rFonts w:hint="default" w:ascii="宋体" w:hAnsi="宋体"/>
                <w:color w:val="auto"/>
                <w:szCs w:val="21"/>
                <w:highlight w:val="none"/>
              </w:rPr>
            </w:pPr>
          </w:p>
        </w:tc>
        <w:tc>
          <w:tcPr>
            <w:tcW w:w="1481" w:type="dxa"/>
            <w:tcBorders>
              <w:top w:val="single" w:color="000000" w:sz="4" w:space="0"/>
              <w:left w:val="single" w:color="000000" w:sz="4" w:space="0"/>
              <w:bottom w:val="single" w:color="000000" w:sz="4" w:space="0"/>
              <w:right w:val="single" w:color="000000" w:sz="4" w:space="0"/>
            </w:tcBorders>
            <w:vAlign w:val="center"/>
          </w:tcPr>
          <w:p w14:paraId="23D14D8B">
            <w:pPr>
              <w:keepNext w:val="0"/>
              <w:keepLines w:val="0"/>
              <w:suppressLineNumbers w:val="0"/>
              <w:spacing w:before="0" w:beforeAutospacing="0" w:after="0" w:afterAutospacing="0"/>
              <w:ind w:left="0" w:right="0"/>
              <w:jc w:val="center"/>
              <w:rPr>
                <w:rFonts w:hint="default" w:ascii="宋体" w:hAnsi="宋体"/>
                <w:color w:val="auto"/>
                <w:szCs w:val="21"/>
                <w:highlight w:val="none"/>
              </w:rPr>
            </w:pPr>
            <w:r>
              <w:rPr>
                <w:rFonts w:hint="eastAsia" w:ascii="宋体" w:hAnsi="宋体"/>
                <w:color w:val="auto"/>
                <w:szCs w:val="21"/>
                <w:highlight w:val="none"/>
              </w:rPr>
              <w:t>A02021004 A4彩色打印机</w:t>
            </w:r>
          </w:p>
        </w:tc>
        <w:tc>
          <w:tcPr>
            <w:tcW w:w="4388" w:type="dxa"/>
            <w:tcBorders>
              <w:top w:val="single" w:color="000000" w:sz="4" w:space="0"/>
              <w:left w:val="single" w:color="000000" w:sz="4" w:space="0"/>
              <w:bottom w:val="single" w:color="000000" w:sz="4" w:space="0"/>
              <w:right w:val="single" w:color="000000" w:sz="4" w:space="0"/>
            </w:tcBorders>
          </w:tcPr>
          <w:p w14:paraId="7340B372">
            <w:pPr>
              <w:pStyle w:val="88"/>
              <w:keepNext w:val="0"/>
              <w:keepLines w:val="0"/>
              <w:suppressLineNumbers w:val="0"/>
              <w:spacing w:before="131" w:beforeAutospacing="0" w:after="0" w:afterAutospacing="0" w:line="276" w:lineRule="auto"/>
              <w:ind w:left="7" w:right="4"/>
              <w:rPr>
                <w:rFonts w:hint="default" w:ascii="宋体" w:hAnsi="宋体" w:cs="宋体"/>
                <w:color w:val="auto"/>
                <w:spacing w:val="10"/>
                <w:kern w:val="2"/>
                <w:sz w:val="21"/>
                <w:szCs w:val="21"/>
                <w:highlight w:val="none"/>
                <w:lang w:eastAsia="zh-CN"/>
              </w:rPr>
            </w:pPr>
            <w:r>
              <w:rPr>
                <w:rFonts w:hint="eastAsia" w:ascii="宋体" w:hAnsi="宋体" w:cs="宋体"/>
                <w:color w:val="auto"/>
                <w:spacing w:val="10"/>
                <w:kern w:val="2"/>
                <w:sz w:val="21"/>
                <w:szCs w:val="21"/>
                <w:highlight w:val="none"/>
                <w:lang w:eastAsia="zh-CN"/>
              </w:rPr>
              <w:t>《复印机、打印机和传真机能效限定值及能效等级》（GB21521）</w:t>
            </w:r>
          </w:p>
        </w:tc>
      </w:tr>
      <w:tr w14:paraId="18DE59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0" w:type="auto"/>
            <w:vMerge w:val="continue"/>
            <w:tcBorders>
              <w:top w:val="single" w:color="000000" w:sz="4" w:space="0"/>
              <w:left w:val="single" w:color="000000" w:sz="4" w:space="0"/>
              <w:bottom w:val="single" w:color="000000" w:sz="4" w:space="0"/>
              <w:right w:val="single" w:color="000000" w:sz="4" w:space="0"/>
            </w:tcBorders>
            <w:vAlign w:val="center"/>
          </w:tcPr>
          <w:p w14:paraId="4D7E7367">
            <w:pPr>
              <w:keepNext w:val="0"/>
              <w:keepLines w:val="0"/>
              <w:widowControl/>
              <w:suppressLineNumbers w:val="0"/>
              <w:spacing w:before="0" w:beforeAutospacing="0" w:after="0" w:afterAutospacing="0"/>
              <w:ind w:left="0" w:right="0"/>
              <w:jc w:val="left"/>
              <w:rPr>
                <w:rFonts w:hint="default" w:ascii="宋体" w:hAnsi="宋体"/>
                <w:color w:val="auto"/>
                <w:szCs w:val="21"/>
                <w:highlight w:val="none"/>
              </w:rPr>
            </w:pPr>
          </w:p>
        </w:tc>
        <w:tc>
          <w:tcPr>
            <w:tcW w:w="0" w:type="auto"/>
            <w:vMerge w:val="continue"/>
            <w:tcBorders>
              <w:top w:val="single" w:color="000000" w:sz="4" w:space="0"/>
              <w:left w:val="single" w:color="000000" w:sz="4" w:space="0"/>
              <w:bottom w:val="single" w:color="000000" w:sz="4" w:space="0"/>
              <w:right w:val="single" w:color="000000" w:sz="4" w:space="0"/>
            </w:tcBorders>
            <w:vAlign w:val="center"/>
          </w:tcPr>
          <w:p w14:paraId="783BC498">
            <w:pPr>
              <w:keepNext w:val="0"/>
              <w:keepLines w:val="0"/>
              <w:widowControl/>
              <w:suppressLineNumbers w:val="0"/>
              <w:spacing w:before="0" w:beforeAutospacing="0" w:after="0" w:afterAutospacing="0"/>
              <w:ind w:left="0" w:right="0"/>
              <w:jc w:val="left"/>
              <w:rPr>
                <w:rFonts w:hint="default" w:ascii="宋体" w:hAnsi="宋体" w:cs="宋体"/>
                <w:color w:val="auto"/>
                <w:szCs w:val="21"/>
                <w:highlight w:val="none"/>
              </w:rPr>
            </w:pPr>
          </w:p>
        </w:tc>
        <w:tc>
          <w:tcPr>
            <w:tcW w:w="0" w:type="auto"/>
            <w:vMerge w:val="continue"/>
            <w:tcBorders>
              <w:top w:val="single" w:color="000000" w:sz="4" w:space="0"/>
              <w:left w:val="single" w:color="000000" w:sz="4" w:space="0"/>
              <w:bottom w:val="single" w:color="000000" w:sz="4" w:space="0"/>
              <w:right w:val="single" w:color="000000" w:sz="4" w:space="0"/>
            </w:tcBorders>
            <w:vAlign w:val="center"/>
          </w:tcPr>
          <w:p w14:paraId="6E1AB3A5">
            <w:pPr>
              <w:keepNext w:val="0"/>
              <w:keepLines w:val="0"/>
              <w:widowControl/>
              <w:suppressLineNumbers w:val="0"/>
              <w:spacing w:before="0" w:beforeAutospacing="0" w:after="0" w:afterAutospacing="0"/>
              <w:ind w:left="0" w:right="0"/>
              <w:jc w:val="left"/>
              <w:rPr>
                <w:rFonts w:hint="default" w:ascii="宋体" w:hAnsi="宋体"/>
                <w:color w:val="auto"/>
                <w:szCs w:val="21"/>
                <w:highlight w:val="none"/>
              </w:rPr>
            </w:pPr>
          </w:p>
        </w:tc>
        <w:tc>
          <w:tcPr>
            <w:tcW w:w="1481" w:type="dxa"/>
            <w:tcBorders>
              <w:top w:val="single" w:color="000000" w:sz="4" w:space="0"/>
              <w:left w:val="single" w:color="000000" w:sz="4" w:space="0"/>
              <w:bottom w:val="single" w:color="000000" w:sz="4" w:space="0"/>
              <w:right w:val="single" w:color="000000" w:sz="4" w:space="0"/>
            </w:tcBorders>
            <w:vAlign w:val="center"/>
          </w:tcPr>
          <w:p w14:paraId="1F415F78">
            <w:pPr>
              <w:keepNext w:val="0"/>
              <w:keepLines w:val="0"/>
              <w:suppressLineNumbers w:val="0"/>
              <w:spacing w:before="0" w:beforeAutospacing="0" w:after="0" w:afterAutospacing="0"/>
              <w:ind w:left="0" w:right="0"/>
              <w:jc w:val="center"/>
              <w:rPr>
                <w:rFonts w:hint="default" w:ascii="宋体" w:hAnsi="宋体"/>
                <w:color w:val="auto"/>
                <w:szCs w:val="21"/>
                <w:highlight w:val="none"/>
              </w:rPr>
            </w:pPr>
            <w:r>
              <w:rPr>
                <w:rFonts w:hint="eastAsia" w:ascii="宋体" w:hAnsi="宋体"/>
                <w:color w:val="auto"/>
                <w:szCs w:val="21"/>
                <w:highlight w:val="none"/>
              </w:rPr>
              <w:t>A02021005 3D打印机</w:t>
            </w:r>
          </w:p>
        </w:tc>
        <w:tc>
          <w:tcPr>
            <w:tcW w:w="4388" w:type="dxa"/>
            <w:tcBorders>
              <w:top w:val="single" w:color="000000" w:sz="4" w:space="0"/>
              <w:left w:val="single" w:color="000000" w:sz="4" w:space="0"/>
              <w:bottom w:val="single" w:color="000000" w:sz="4" w:space="0"/>
              <w:right w:val="single" w:color="000000" w:sz="4" w:space="0"/>
            </w:tcBorders>
          </w:tcPr>
          <w:p w14:paraId="104D5994">
            <w:pPr>
              <w:pStyle w:val="88"/>
              <w:keepNext w:val="0"/>
              <w:keepLines w:val="0"/>
              <w:suppressLineNumbers w:val="0"/>
              <w:spacing w:before="131" w:beforeAutospacing="0" w:after="0" w:afterAutospacing="0" w:line="276" w:lineRule="auto"/>
              <w:ind w:left="7" w:right="4"/>
              <w:rPr>
                <w:rFonts w:hint="default" w:ascii="宋体" w:hAnsi="宋体" w:cs="宋体"/>
                <w:color w:val="auto"/>
                <w:spacing w:val="10"/>
                <w:kern w:val="2"/>
                <w:sz w:val="21"/>
                <w:szCs w:val="21"/>
                <w:highlight w:val="none"/>
                <w:lang w:eastAsia="zh-CN"/>
              </w:rPr>
            </w:pPr>
            <w:r>
              <w:rPr>
                <w:rFonts w:hint="eastAsia" w:ascii="宋体" w:hAnsi="宋体" w:cs="宋体"/>
                <w:color w:val="auto"/>
                <w:spacing w:val="10"/>
                <w:kern w:val="2"/>
                <w:sz w:val="21"/>
                <w:szCs w:val="21"/>
                <w:highlight w:val="none"/>
                <w:lang w:eastAsia="zh-CN"/>
              </w:rPr>
              <w:t>《复印机、打印机和传真机能效限定值及能效等级》（GB21521）</w:t>
            </w:r>
          </w:p>
        </w:tc>
      </w:tr>
      <w:tr w14:paraId="4B1D6B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0" w:type="auto"/>
            <w:vMerge w:val="continue"/>
            <w:tcBorders>
              <w:top w:val="single" w:color="000000" w:sz="4" w:space="0"/>
              <w:left w:val="single" w:color="000000" w:sz="4" w:space="0"/>
              <w:bottom w:val="single" w:color="000000" w:sz="4" w:space="0"/>
              <w:right w:val="single" w:color="000000" w:sz="4" w:space="0"/>
            </w:tcBorders>
            <w:vAlign w:val="center"/>
          </w:tcPr>
          <w:p w14:paraId="10B3A607">
            <w:pPr>
              <w:keepNext w:val="0"/>
              <w:keepLines w:val="0"/>
              <w:widowControl/>
              <w:suppressLineNumbers w:val="0"/>
              <w:spacing w:before="0" w:beforeAutospacing="0" w:after="0" w:afterAutospacing="0"/>
              <w:ind w:left="0" w:right="0"/>
              <w:jc w:val="left"/>
              <w:rPr>
                <w:rFonts w:hint="default" w:ascii="宋体" w:hAnsi="宋体"/>
                <w:color w:val="auto"/>
                <w:szCs w:val="21"/>
                <w:highlight w:val="none"/>
              </w:rPr>
            </w:pPr>
          </w:p>
        </w:tc>
        <w:tc>
          <w:tcPr>
            <w:tcW w:w="0" w:type="auto"/>
            <w:vMerge w:val="continue"/>
            <w:tcBorders>
              <w:top w:val="single" w:color="000000" w:sz="4" w:space="0"/>
              <w:left w:val="single" w:color="000000" w:sz="4" w:space="0"/>
              <w:bottom w:val="single" w:color="000000" w:sz="4" w:space="0"/>
              <w:right w:val="single" w:color="000000" w:sz="4" w:space="0"/>
            </w:tcBorders>
            <w:vAlign w:val="center"/>
          </w:tcPr>
          <w:p w14:paraId="5F8DBEF0">
            <w:pPr>
              <w:keepNext w:val="0"/>
              <w:keepLines w:val="0"/>
              <w:widowControl/>
              <w:suppressLineNumbers w:val="0"/>
              <w:spacing w:before="0" w:beforeAutospacing="0" w:after="0" w:afterAutospacing="0"/>
              <w:ind w:left="0" w:right="0"/>
              <w:jc w:val="left"/>
              <w:rPr>
                <w:rFonts w:hint="default" w:ascii="宋体" w:hAnsi="宋体" w:cs="宋体"/>
                <w:color w:val="auto"/>
                <w:szCs w:val="21"/>
                <w:highlight w:val="none"/>
              </w:rPr>
            </w:pPr>
          </w:p>
        </w:tc>
        <w:tc>
          <w:tcPr>
            <w:tcW w:w="0" w:type="auto"/>
            <w:vMerge w:val="continue"/>
            <w:tcBorders>
              <w:top w:val="single" w:color="000000" w:sz="4" w:space="0"/>
              <w:left w:val="single" w:color="000000" w:sz="4" w:space="0"/>
              <w:bottom w:val="single" w:color="000000" w:sz="4" w:space="0"/>
              <w:right w:val="single" w:color="000000" w:sz="4" w:space="0"/>
            </w:tcBorders>
            <w:vAlign w:val="center"/>
          </w:tcPr>
          <w:p w14:paraId="0033A1F5">
            <w:pPr>
              <w:keepNext w:val="0"/>
              <w:keepLines w:val="0"/>
              <w:widowControl/>
              <w:suppressLineNumbers w:val="0"/>
              <w:spacing w:before="0" w:beforeAutospacing="0" w:after="0" w:afterAutospacing="0"/>
              <w:ind w:left="0" w:right="0"/>
              <w:jc w:val="left"/>
              <w:rPr>
                <w:rFonts w:hint="default" w:ascii="宋体" w:hAnsi="宋体"/>
                <w:color w:val="auto"/>
                <w:szCs w:val="21"/>
                <w:highlight w:val="none"/>
              </w:rPr>
            </w:pPr>
          </w:p>
        </w:tc>
        <w:tc>
          <w:tcPr>
            <w:tcW w:w="1481" w:type="dxa"/>
            <w:tcBorders>
              <w:top w:val="single" w:color="000000" w:sz="4" w:space="0"/>
              <w:left w:val="single" w:color="000000" w:sz="4" w:space="0"/>
              <w:bottom w:val="single" w:color="000000" w:sz="4" w:space="0"/>
              <w:right w:val="single" w:color="000000" w:sz="4" w:space="0"/>
            </w:tcBorders>
            <w:vAlign w:val="center"/>
          </w:tcPr>
          <w:p w14:paraId="59FA2E43">
            <w:pPr>
              <w:keepNext w:val="0"/>
              <w:keepLines w:val="0"/>
              <w:suppressLineNumbers w:val="0"/>
              <w:spacing w:before="0" w:beforeAutospacing="0" w:after="0" w:afterAutospacing="0"/>
              <w:ind w:left="0" w:right="0"/>
              <w:jc w:val="center"/>
              <w:rPr>
                <w:rFonts w:hint="default" w:ascii="宋体" w:hAnsi="宋体"/>
                <w:color w:val="auto"/>
                <w:szCs w:val="21"/>
                <w:highlight w:val="none"/>
              </w:rPr>
            </w:pPr>
            <w:r>
              <w:rPr>
                <w:rFonts w:hint="eastAsia" w:ascii="宋体" w:hAnsi="宋体"/>
                <w:color w:val="auto"/>
                <w:szCs w:val="21"/>
                <w:highlight w:val="none"/>
              </w:rPr>
              <w:t>A02021006票据打印机</w:t>
            </w:r>
          </w:p>
        </w:tc>
        <w:tc>
          <w:tcPr>
            <w:tcW w:w="4388" w:type="dxa"/>
            <w:tcBorders>
              <w:top w:val="single" w:color="000000" w:sz="4" w:space="0"/>
              <w:left w:val="single" w:color="000000" w:sz="4" w:space="0"/>
              <w:bottom w:val="single" w:color="000000" w:sz="4" w:space="0"/>
              <w:right w:val="single" w:color="000000" w:sz="4" w:space="0"/>
            </w:tcBorders>
          </w:tcPr>
          <w:p w14:paraId="418490B2">
            <w:pPr>
              <w:pStyle w:val="88"/>
              <w:keepNext w:val="0"/>
              <w:keepLines w:val="0"/>
              <w:suppressLineNumbers w:val="0"/>
              <w:spacing w:before="131" w:beforeAutospacing="0" w:after="0" w:afterAutospacing="0" w:line="276" w:lineRule="auto"/>
              <w:ind w:left="7" w:right="4"/>
              <w:rPr>
                <w:rFonts w:hint="default" w:ascii="宋体" w:hAnsi="宋体" w:cs="宋体"/>
                <w:color w:val="auto"/>
                <w:spacing w:val="10"/>
                <w:kern w:val="2"/>
                <w:sz w:val="21"/>
                <w:szCs w:val="21"/>
                <w:highlight w:val="none"/>
                <w:lang w:eastAsia="zh-CN"/>
              </w:rPr>
            </w:pPr>
            <w:r>
              <w:rPr>
                <w:rFonts w:hint="eastAsia" w:ascii="宋体" w:hAnsi="宋体" w:cs="宋体"/>
                <w:color w:val="auto"/>
                <w:spacing w:val="10"/>
                <w:kern w:val="2"/>
                <w:sz w:val="21"/>
                <w:szCs w:val="21"/>
                <w:highlight w:val="none"/>
                <w:lang w:eastAsia="zh-CN"/>
              </w:rPr>
              <w:t>《复印机、打印机和传真机能效限定值及能效等级》（GB21521）</w:t>
            </w:r>
          </w:p>
        </w:tc>
      </w:tr>
      <w:tr w14:paraId="2CF249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0" w:type="auto"/>
            <w:vMerge w:val="continue"/>
            <w:tcBorders>
              <w:top w:val="single" w:color="000000" w:sz="4" w:space="0"/>
              <w:left w:val="single" w:color="000000" w:sz="4" w:space="0"/>
              <w:bottom w:val="single" w:color="000000" w:sz="4" w:space="0"/>
              <w:right w:val="single" w:color="000000" w:sz="4" w:space="0"/>
            </w:tcBorders>
            <w:vAlign w:val="center"/>
          </w:tcPr>
          <w:p w14:paraId="22F05F83">
            <w:pPr>
              <w:keepNext w:val="0"/>
              <w:keepLines w:val="0"/>
              <w:widowControl/>
              <w:suppressLineNumbers w:val="0"/>
              <w:spacing w:before="0" w:beforeAutospacing="0" w:after="0" w:afterAutospacing="0"/>
              <w:ind w:left="0" w:right="0"/>
              <w:jc w:val="left"/>
              <w:rPr>
                <w:rFonts w:hint="default" w:ascii="宋体" w:hAnsi="宋体"/>
                <w:color w:val="auto"/>
                <w:szCs w:val="21"/>
                <w:highlight w:val="none"/>
              </w:rPr>
            </w:pPr>
          </w:p>
        </w:tc>
        <w:tc>
          <w:tcPr>
            <w:tcW w:w="0" w:type="auto"/>
            <w:vMerge w:val="continue"/>
            <w:tcBorders>
              <w:top w:val="single" w:color="000000" w:sz="4" w:space="0"/>
              <w:left w:val="single" w:color="000000" w:sz="4" w:space="0"/>
              <w:bottom w:val="single" w:color="000000" w:sz="4" w:space="0"/>
              <w:right w:val="single" w:color="000000" w:sz="4" w:space="0"/>
            </w:tcBorders>
            <w:vAlign w:val="center"/>
          </w:tcPr>
          <w:p w14:paraId="4D56F409">
            <w:pPr>
              <w:keepNext w:val="0"/>
              <w:keepLines w:val="0"/>
              <w:widowControl/>
              <w:suppressLineNumbers w:val="0"/>
              <w:spacing w:before="0" w:beforeAutospacing="0" w:after="0" w:afterAutospacing="0"/>
              <w:ind w:left="0" w:right="0"/>
              <w:jc w:val="left"/>
              <w:rPr>
                <w:rFonts w:hint="default" w:ascii="宋体" w:hAnsi="宋体" w:cs="宋体"/>
                <w:color w:val="auto"/>
                <w:szCs w:val="21"/>
                <w:highlight w:val="none"/>
              </w:rPr>
            </w:pPr>
          </w:p>
        </w:tc>
        <w:tc>
          <w:tcPr>
            <w:tcW w:w="0" w:type="auto"/>
            <w:vMerge w:val="continue"/>
            <w:tcBorders>
              <w:top w:val="single" w:color="000000" w:sz="4" w:space="0"/>
              <w:left w:val="single" w:color="000000" w:sz="4" w:space="0"/>
              <w:bottom w:val="single" w:color="000000" w:sz="4" w:space="0"/>
              <w:right w:val="single" w:color="000000" w:sz="4" w:space="0"/>
            </w:tcBorders>
            <w:vAlign w:val="center"/>
          </w:tcPr>
          <w:p w14:paraId="6BCB7539">
            <w:pPr>
              <w:keepNext w:val="0"/>
              <w:keepLines w:val="0"/>
              <w:widowControl/>
              <w:suppressLineNumbers w:val="0"/>
              <w:spacing w:before="0" w:beforeAutospacing="0" w:after="0" w:afterAutospacing="0"/>
              <w:ind w:left="0" w:right="0"/>
              <w:jc w:val="left"/>
              <w:rPr>
                <w:rFonts w:hint="default" w:ascii="宋体" w:hAnsi="宋体"/>
                <w:color w:val="auto"/>
                <w:szCs w:val="21"/>
                <w:highlight w:val="none"/>
              </w:rPr>
            </w:pPr>
          </w:p>
        </w:tc>
        <w:tc>
          <w:tcPr>
            <w:tcW w:w="1481" w:type="dxa"/>
            <w:tcBorders>
              <w:top w:val="single" w:color="000000" w:sz="4" w:space="0"/>
              <w:left w:val="single" w:color="000000" w:sz="4" w:space="0"/>
              <w:bottom w:val="single" w:color="000000" w:sz="4" w:space="0"/>
              <w:right w:val="single" w:color="000000" w:sz="4" w:space="0"/>
            </w:tcBorders>
            <w:vAlign w:val="center"/>
          </w:tcPr>
          <w:p w14:paraId="44089961">
            <w:pPr>
              <w:keepNext w:val="0"/>
              <w:keepLines w:val="0"/>
              <w:suppressLineNumbers w:val="0"/>
              <w:spacing w:before="0" w:beforeAutospacing="0" w:after="0" w:afterAutospacing="0"/>
              <w:ind w:left="0" w:right="0"/>
              <w:jc w:val="center"/>
              <w:rPr>
                <w:rFonts w:hint="default" w:ascii="宋体" w:hAnsi="宋体"/>
                <w:color w:val="auto"/>
                <w:szCs w:val="21"/>
                <w:highlight w:val="none"/>
              </w:rPr>
            </w:pPr>
            <w:r>
              <w:rPr>
                <w:rFonts w:hint="eastAsia" w:ascii="宋体" w:hAnsi="宋体"/>
                <w:color w:val="auto"/>
                <w:szCs w:val="21"/>
                <w:highlight w:val="none"/>
              </w:rPr>
              <w:t>A02021007条码打印机</w:t>
            </w:r>
          </w:p>
        </w:tc>
        <w:tc>
          <w:tcPr>
            <w:tcW w:w="4388" w:type="dxa"/>
            <w:tcBorders>
              <w:top w:val="single" w:color="000000" w:sz="4" w:space="0"/>
              <w:left w:val="single" w:color="000000" w:sz="4" w:space="0"/>
              <w:bottom w:val="single" w:color="000000" w:sz="4" w:space="0"/>
              <w:right w:val="single" w:color="000000" w:sz="4" w:space="0"/>
            </w:tcBorders>
          </w:tcPr>
          <w:p w14:paraId="133237BD">
            <w:pPr>
              <w:pStyle w:val="88"/>
              <w:keepNext w:val="0"/>
              <w:keepLines w:val="0"/>
              <w:suppressLineNumbers w:val="0"/>
              <w:spacing w:before="131" w:beforeAutospacing="0" w:after="0" w:afterAutospacing="0" w:line="276" w:lineRule="auto"/>
              <w:ind w:left="7" w:right="4"/>
              <w:rPr>
                <w:rFonts w:hint="default" w:ascii="宋体" w:hAnsi="宋体" w:cs="宋体"/>
                <w:color w:val="auto"/>
                <w:spacing w:val="10"/>
                <w:kern w:val="2"/>
                <w:sz w:val="21"/>
                <w:szCs w:val="21"/>
                <w:highlight w:val="none"/>
                <w:lang w:eastAsia="zh-CN"/>
              </w:rPr>
            </w:pPr>
            <w:r>
              <w:rPr>
                <w:rFonts w:hint="eastAsia" w:ascii="宋体" w:hAnsi="宋体" w:cs="宋体"/>
                <w:color w:val="auto"/>
                <w:spacing w:val="10"/>
                <w:kern w:val="2"/>
                <w:sz w:val="21"/>
                <w:szCs w:val="21"/>
                <w:highlight w:val="none"/>
                <w:lang w:eastAsia="zh-CN"/>
              </w:rPr>
              <w:t>《复印机、打印机和传真机能效限定值及能效等级》（GB21521）</w:t>
            </w:r>
          </w:p>
        </w:tc>
      </w:tr>
      <w:tr w14:paraId="407943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0" w:type="auto"/>
            <w:vMerge w:val="continue"/>
            <w:tcBorders>
              <w:top w:val="single" w:color="000000" w:sz="4" w:space="0"/>
              <w:left w:val="single" w:color="000000" w:sz="4" w:space="0"/>
              <w:bottom w:val="single" w:color="000000" w:sz="4" w:space="0"/>
              <w:right w:val="single" w:color="000000" w:sz="4" w:space="0"/>
            </w:tcBorders>
            <w:vAlign w:val="center"/>
          </w:tcPr>
          <w:p w14:paraId="4C77867E">
            <w:pPr>
              <w:keepNext w:val="0"/>
              <w:keepLines w:val="0"/>
              <w:widowControl/>
              <w:suppressLineNumbers w:val="0"/>
              <w:spacing w:before="0" w:beforeAutospacing="0" w:after="0" w:afterAutospacing="0"/>
              <w:ind w:left="0" w:right="0"/>
              <w:jc w:val="left"/>
              <w:rPr>
                <w:rFonts w:hint="default" w:ascii="宋体" w:hAnsi="宋体"/>
                <w:color w:val="auto"/>
                <w:szCs w:val="21"/>
                <w:highlight w:val="none"/>
              </w:rPr>
            </w:pPr>
          </w:p>
        </w:tc>
        <w:tc>
          <w:tcPr>
            <w:tcW w:w="0" w:type="auto"/>
            <w:vMerge w:val="continue"/>
            <w:tcBorders>
              <w:top w:val="single" w:color="000000" w:sz="4" w:space="0"/>
              <w:left w:val="single" w:color="000000" w:sz="4" w:space="0"/>
              <w:bottom w:val="single" w:color="000000" w:sz="4" w:space="0"/>
              <w:right w:val="single" w:color="000000" w:sz="4" w:space="0"/>
            </w:tcBorders>
            <w:vAlign w:val="center"/>
          </w:tcPr>
          <w:p w14:paraId="213822CB">
            <w:pPr>
              <w:keepNext w:val="0"/>
              <w:keepLines w:val="0"/>
              <w:widowControl/>
              <w:suppressLineNumbers w:val="0"/>
              <w:spacing w:before="0" w:beforeAutospacing="0" w:after="0" w:afterAutospacing="0"/>
              <w:ind w:left="0" w:right="0"/>
              <w:jc w:val="left"/>
              <w:rPr>
                <w:rFonts w:hint="default" w:ascii="宋体" w:hAnsi="宋体" w:cs="宋体"/>
                <w:color w:val="auto"/>
                <w:szCs w:val="21"/>
                <w:highlight w:val="none"/>
              </w:rPr>
            </w:pPr>
          </w:p>
        </w:tc>
        <w:tc>
          <w:tcPr>
            <w:tcW w:w="0" w:type="auto"/>
            <w:vMerge w:val="continue"/>
            <w:tcBorders>
              <w:top w:val="single" w:color="000000" w:sz="4" w:space="0"/>
              <w:left w:val="single" w:color="000000" w:sz="4" w:space="0"/>
              <w:bottom w:val="single" w:color="000000" w:sz="4" w:space="0"/>
              <w:right w:val="single" w:color="000000" w:sz="4" w:space="0"/>
            </w:tcBorders>
            <w:vAlign w:val="center"/>
          </w:tcPr>
          <w:p w14:paraId="75B3ECE0">
            <w:pPr>
              <w:keepNext w:val="0"/>
              <w:keepLines w:val="0"/>
              <w:widowControl/>
              <w:suppressLineNumbers w:val="0"/>
              <w:spacing w:before="0" w:beforeAutospacing="0" w:after="0" w:afterAutospacing="0"/>
              <w:ind w:left="0" w:right="0"/>
              <w:jc w:val="left"/>
              <w:rPr>
                <w:rFonts w:hint="default" w:ascii="宋体" w:hAnsi="宋体"/>
                <w:color w:val="auto"/>
                <w:szCs w:val="21"/>
                <w:highlight w:val="none"/>
              </w:rPr>
            </w:pPr>
          </w:p>
        </w:tc>
        <w:tc>
          <w:tcPr>
            <w:tcW w:w="1481" w:type="dxa"/>
            <w:tcBorders>
              <w:top w:val="single" w:color="000000" w:sz="4" w:space="0"/>
              <w:left w:val="single" w:color="000000" w:sz="4" w:space="0"/>
              <w:bottom w:val="single" w:color="000000" w:sz="4" w:space="0"/>
              <w:right w:val="single" w:color="000000" w:sz="4" w:space="0"/>
            </w:tcBorders>
            <w:vAlign w:val="center"/>
          </w:tcPr>
          <w:p w14:paraId="397E19E0">
            <w:pPr>
              <w:keepNext w:val="0"/>
              <w:keepLines w:val="0"/>
              <w:suppressLineNumbers w:val="0"/>
              <w:spacing w:before="0" w:beforeAutospacing="0" w:after="0" w:afterAutospacing="0"/>
              <w:ind w:left="0" w:right="0"/>
              <w:jc w:val="center"/>
              <w:rPr>
                <w:rFonts w:hint="default" w:ascii="宋体" w:hAnsi="宋体"/>
                <w:color w:val="auto"/>
                <w:szCs w:val="21"/>
                <w:highlight w:val="none"/>
              </w:rPr>
            </w:pPr>
            <w:r>
              <w:rPr>
                <w:rFonts w:hint="eastAsia" w:ascii="宋体" w:hAnsi="宋体"/>
                <w:color w:val="auto"/>
                <w:szCs w:val="21"/>
                <w:highlight w:val="none"/>
              </w:rPr>
              <w:t>A02021008地址打印机</w:t>
            </w:r>
          </w:p>
        </w:tc>
        <w:tc>
          <w:tcPr>
            <w:tcW w:w="4388" w:type="dxa"/>
            <w:tcBorders>
              <w:top w:val="single" w:color="000000" w:sz="4" w:space="0"/>
              <w:left w:val="single" w:color="000000" w:sz="4" w:space="0"/>
              <w:bottom w:val="single" w:color="000000" w:sz="4" w:space="0"/>
              <w:right w:val="single" w:color="000000" w:sz="4" w:space="0"/>
            </w:tcBorders>
          </w:tcPr>
          <w:p w14:paraId="4D7F8809">
            <w:pPr>
              <w:pStyle w:val="88"/>
              <w:keepNext w:val="0"/>
              <w:keepLines w:val="0"/>
              <w:suppressLineNumbers w:val="0"/>
              <w:spacing w:before="131" w:beforeAutospacing="0" w:after="0" w:afterAutospacing="0" w:line="276" w:lineRule="auto"/>
              <w:ind w:left="7" w:right="4"/>
              <w:rPr>
                <w:rFonts w:hint="default" w:ascii="宋体" w:hAnsi="宋体" w:cs="宋体"/>
                <w:color w:val="auto"/>
                <w:spacing w:val="10"/>
                <w:kern w:val="2"/>
                <w:sz w:val="21"/>
                <w:szCs w:val="21"/>
                <w:highlight w:val="none"/>
                <w:lang w:eastAsia="zh-CN"/>
              </w:rPr>
            </w:pPr>
            <w:r>
              <w:rPr>
                <w:rFonts w:hint="eastAsia" w:ascii="宋体" w:hAnsi="宋体" w:cs="宋体"/>
                <w:color w:val="auto"/>
                <w:spacing w:val="10"/>
                <w:kern w:val="2"/>
                <w:sz w:val="21"/>
                <w:szCs w:val="21"/>
                <w:highlight w:val="none"/>
                <w:lang w:eastAsia="zh-CN"/>
              </w:rPr>
              <w:t>《复印机、打印机和传真机能效限定值及能效等级》（GB21521）</w:t>
            </w:r>
          </w:p>
        </w:tc>
      </w:tr>
      <w:tr w14:paraId="0F2EE5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0" w:type="auto"/>
            <w:vMerge w:val="continue"/>
            <w:tcBorders>
              <w:top w:val="single" w:color="000000" w:sz="4" w:space="0"/>
              <w:left w:val="single" w:color="000000" w:sz="4" w:space="0"/>
              <w:bottom w:val="single" w:color="000000" w:sz="4" w:space="0"/>
              <w:right w:val="single" w:color="000000" w:sz="4" w:space="0"/>
            </w:tcBorders>
            <w:vAlign w:val="center"/>
          </w:tcPr>
          <w:p w14:paraId="3DCF41DE">
            <w:pPr>
              <w:keepNext w:val="0"/>
              <w:keepLines w:val="0"/>
              <w:widowControl/>
              <w:suppressLineNumbers w:val="0"/>
              <w:spacing w:before="0" w:beforeAutospacing="0" w:after="0" w:afterAutospacing="0"/>
              <w:ind w:left="0" w:right="0"/>
              <w:jc w:val="left"/>
              <w:rPr>
                <w:rFonts w:hint="default" w:ascii="宋体" w:hAnsi="宋体"/>
                <w:color w:val="auto"/>
                <w:szCs w:val="21"/>
                <w:highlight w:val="none"/>
              </w:rPr>
            </w:pPr>
          </w:p>
        </w:tc>
        <w:tc>
          <w:tcPr>
            <w:tcW w:w="0" w:type="auto"/>
            <w:vMerge w:val="continue"/>
            <w:tcBorders>
              <w:top w:val="single" w:color="000000" w:sz="4" w:space="0"/>
              <w:left w:val="single" w:color="000000" w:sz="4" w:space="0"/>
              <w:bottom w:val="single" w:color="000000" w:sz="4" w:space="0"/>
              <w:right w:val="single" w:color="000000" w:sz="4" w:space="0"/>
            </w:tcBorders>
            <w:vAlign w:val="center"/>
          </w:tcPr>
          <w:p w14:paraId="5545013C">
            <w:pPr>
              <w:keepNext w:val="0"/>
              <w:keepLines w:val="0"/>
              <w:widowControl/>
              <w:suppressLineNumbers w:val="0"/>
              <w:spacing w:before="0" w:beforeAutospacing="0" w:after="0" w:afterAutospacing="0"/>
              <w:ind w:left="0" w:right="0"/>
              <w:jc w:val="left"/>
              <w:rPr>
                <w:rFonts w:hint="default" w:ascii="宋体" w:hAnsi="宋体" w:cs="宋体"/>
                <w:color w:val="auto"/>
                <w:szCs w:val="21"/>
                <w:highlight w:val="none"/>
              </w:rPr>
            </w:pPr>
          </w:p>
        </w:tc>
        <w:tc>
          <w:tcPr>
            <w:tcW w:w="0" w:type="auto"/>
            <w:vMerge w:val="continue"/>
            <w:tcBorders>
              <w:top w:val="single" w:color="000000" w:sz="4" w:space="0"/>
              <w:left w:val="single" w:color="000000" w:sz="4" w:space="0"/>
              <w:bottom w:val="single" w:color="000000" w:sz="4" w:space="0"/>
              <w:right w:val="single" w:color="000000" w:sz="4" w:space="0"/>
            </w:tcBorders>
            <w:vAlign w:val="center"/>
          </w:tcPr>
          <w:p w14:paraId="6A8C6A30">
            <w:pPr>
              <w:keepNext w:val="0"/>
              <w:keepLines w:val="0"/>
              <w:widowControl/>
              <w:suppressLineNumbers w:val="0"/>
              <w:spacing w:before="0" w:beforeAutospacing="0" w:after="0" w:afterAutospacing="0"/>
              <w:ind w:left="0" w:right="0"/>
              <w:jc w:val="left"/>
              <w:rPr>
                <w:rFonts w:hint="default" w:ascii="宋体" w:hAnsi="宋体"/>
                <w:color w:val="auto"/>
                <w:szCs w:val="21"/>
                <w:highlight w:val="none"/>
              </w:rPr>
            </w:pPr>
          </w:p>
        </w:tc>
        <w:tc>
          <w:tcPr>
            <w:tcW w:w="1481" w:type="dxa"/>
            <w:tcBorders>
              <w:top w:val="single" w:color="000000" w:sz="4" w:space="0"/>
              <w:left w:val="single" w:color="000000" w:sz="4" w:space="0"/>
              <w:bottom w:val="single" w:color="000000" w:sz="4" w:space="0"/>
              <w:right w:val="single" w:color="000000" w:sz="4" w:space="0"/>
            </w:tcBorders>
            <w:vAlign w:val="center"/>
          </w:tcPr>
          <w:p w14:paraId="05533332">
            <w:pPr>
              <w:keepNext w:val="0"/>
              <w:keepLines w:val="0"/>
              <w:suppressLineNumbers w:val="0"/>
              <w:spacing w:before="0" w:beforeAutospacing="0" w:after="0" w:afterAutospacing="0"/>
              <w:ind w:left="0" w:right="0"/>
              <w:jc w:val="center"/>
              <w:rPr>
                <w:rFonts w:hint="default" w:ascii="宋体" w:hAnsi="宋体"/>
                <w:color w:val="auto"/>
                <w:szCs w:val="21"/>
                <w:highlight w:val="none"/>
              </w:rPr>
            </w:pPr>
            <w:r>
              <w:rPr>
                <w:rFonts w:hint="eastAsia" w:ascii="宋体" w:hAnsi="宋体"/>
                <w:color w:val="auto"/>
                <w:szCs w:val="21"/>
                <w:highlight w:val="none"/>
              </w:rPr>
              <w:t>A02021099其他打印机</w:t>
            </w:r>
          </w:p>
        </w:tc>
        <w:tc>
          <w:tcPr>
            <w:tcW w:w="4388" w:type="dxa"/>
            <w:tcBorders>
              <w:top w:val="single" w:color="000000" w:sz="4" w:space="0"/>
              <w:left w:val="single" w:color="000000" w:sz="4" w:space="0"/>
              <w:bottom w:val="single" w:color="000000" w:sz="4" w:space="0"/>
              <w:right w:val="single" w:color="000000" w:sz="4" w:space="0"/>
            </w:tcBorders>
          </w:tcPr>
          <w:p w14:paraId="5BD24334">
            <w:pPr>
              <w:pStyle w:val="88"/>
              <w:keepNext w:val="0"/>
              <w:keepLines w:val="0"/>
              <w:suppressLineNumbers w:val="0"/>
              <w:spacing w:before="131" w:beforeAutospacing="0" w:after="0" w:afterAutospacing="0" w:line="276" w:lineRule="auto"/>
              <w:ind w:left="7" w:right="4"/>
              <w:rPr>
                <w:rFonts w:hint="default" w:ascii="宋体" w:hAnsi="宋体" w:cs="宋体"/>
                <w:color w:val="auto"/>
                <w:spacing w:val="10"/>
                <w:kern w:val="2"/>
                <w:sz w:val="21"/>
                <w:szCs w:val="21"/>
                <w:highlight w:val="none"/>
                <w:lang w:eastAsia="zh-CN"/>
              </w:rPr>
            </w:pPr>
            <w:r>
              <w:rPr>
                <w:rFonts w:hint="eastAsia" w:ascii="宋体" w:hAnsi="宋体" w:cs="宋体"/>
                <w:color w:val="auto"/>
                <w:spacing w:val="10"/>
                <w:kern w:val="2"/>
                <w:sz w:val="21"/>
                <w:szCs w:val="21"/>
                <w:highlight w:val="none"/>
                <w:lang w:eastAsia="zh-CN"/>
              </w:rPr>
              <w:t>《复印机、打印机和传真机能效限定值及能效等级》（GB21521）</w:t>
            </w:r>
          </w:p>
        </w:tc>
      </w:tr>
      <w:tr w14:paraId="7D1323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0" w:type="auto"/>
            <w:vMerge w:val="continue"/>
            <w:tcBorders>
              <w:top w:val="single" w:color="000000" w:sz="4" w:space="0"/>
              <w:left w:val="single" w:color="000000" w:sz="4" w:space="0"/>
              <w:bottom w:val="single" w:color="000000" w:sz="4" w:space="0"/>
              <w:right w:val="single" w:color="000000" w:sz="4" w:space="0"/>
            </w:tcBorders>
            <w:vAlign w:val="center"/>
          </w:tcPr>
          <w:p w14:paraId="4380FB93">
            <w:pPr>
              <w:keepNext w:val="0"/>
              <w:keepLines w:val="0"/>
              <w:widowControl/>
              <w:suppressLineNumbers w:val="0"/>
              <w:spacing w:before="0" w:beforeAutospacing="0" w:after="0" w:afterAutospacing="0"/>
              <w:ind w:left="0" w:right="0"/>
              <w:jc w:val="left"/>
              <w:rPr>
                <w:rFonts w:hint="default" w:ascii="宋体" w:hAnsi="宋体"/>
                <w:color w:val="auto"/>
                <w:szCs w:val="21"/>
                <w:highlight w:val="none"/>
              </w:rPr>
            </w:pPr>
          </w:p>
        </w:tc>
        <w:tc>
          <w:tcPr>
            <w:tcW w:w="0" w:type="auto"/>
            <w:vMerge w:val="continue"/>
            <w:tcBorders>
              <w:top w:val="single" w:color="000000" w:sz="4" w:space="0"/>
              <w:left w:val="single" w:color="000000" w:sz="4" w:space="0"/>
              <w:bottom w:val="single" w:color="000000" w:sz="4" w:space="0"/>
              <w:right w:val="single" w:color="000000" w:sz="4" w:space="0"/>
            </w:tcBorders>
            <w:vAlign w:val="center"/>
          </w:tcPr>
          <w:p w14:paraId="2E739CF7">
            <w:pPr>
              <w:keepNext w:val="0"/>
              <w:keepLines w:val="0"/>
              <w:widowControl/>
              <w:suppressLineNumbers w:val="0"/>
              <w:spacing w:before="0" w:beforeAutospacing="0" w:after="0" w:afterAutospacing="0"/>
              <w:ind w:left="0" w:right="0"/>
              <w:jc w:val="left"/>
              <w:rPr>
                <w:rFonts w:hint="default" w:ascii="宋体" w:hAnsi="宋体" w:cs="宋体"/>
                <w:color w:val="auto"/>
                <w:szCs w:val="21"/>
                <w:highlight w:val="none"/>
              </w:rPr>
            </w:pPr>
          </w:p>
        </w:tc>
        <w:tc>
          <w:tcPr>
            <w:tcW w:w="1496" w:type="dxa"/>
            <w:vMerge w:val="restart"/>
            <w:tcBorders>
              <w:top w:val="single" w:color="000000" w:sz="4" w:space="0"/>
              <w:left w:val="single" w:color="000000" w:sz="4" w:space="0"/>
              <w:bottom w:val="single" w:color="000000" w:sz="4" w:space="0"/>
              <w:right w:val="single" w:color="000000" w:sz="4" w:space="0"/>
            </w:tcBorders>
            <w:vAlign w:val="center"/>
          </w:tcPr>
          <w:p w14:paraId="242DA348">
            <w:pPr>
              <w:keepNext w:val="0"/>
              <w:keepLines w:val="0"/>
              <w:suppressLineNumbers w:val="0"/>
              <w:spacing w:before="0" w:beforeAutospacing="0" w:after="0" w:afterAutospacing="0"/>
              <w:ind w:left="0" w:right="0"/>
              <w:jc w:val="center"/>
              <w:rPr>
                <w:rFonts w:hint="default" w:ascii="宋体" w:hAnsi="宋体"/>
                <w:color w:val="auto"/>
                <w:szCs w:val="21"/>
                <w:highlight w:val="none"/>
              </w:rPr>
            </w:pPr>
            <w:r>
              <w:rPr>
                <w:rFonts w:hint="eastAsia" w:ascii="宋体" w:hAnsi="宋体"/>
                <w:color w:val="auto"/>
                <w:szCs w:val="21"/>
                <w:highlight w:val="none"/>
              </w:rPr>
              <w:t>A02021100输入输出设备</w:t>
            </w:r>
          </w:p>
        </w:tc>
        <w:tc>
          <w:tcPr>
            <w:tcW w:w="1481" w:type="dxa"/>
            <w:tcBorders>
              <w:top w:val="single" w:color="000000" w:sz="4" w:space="0"/>
              <w:left w:val="single" w:color="000000" w:sz="4" w:space="0"/>
              <w:bottom w:val="single" w:color="000000" w:sz="4" w:space="0"/>
              <w:right w:val="single" w:color="000000" w:sz="4" w:space="0"/>
            </w:tcBorders>
            <w:vAlign w:val="center"/>
          </w:tcPr>
          <w:p w14:paraId="0F9151B2">
            <w:pPr>
              <w:keepNext w:val="0"/>
              <w:keepLines w:val="0"/>
              <w:suppressLineNumbers w:val="0"/>
              <w:spacing w:before="0" w:beforeAutospacing="0" w:after="0" w:afterAutospacing="0"/>
              <w:ind w:left="0" w:right="0"/>
              <w:jc w:val="center"/>
              <w:rPr>
                <w:rFonts w:hint="default" w:ascii="宋体" w:hAnsi="宋体"/>
                <w:color w:val="auto"/>
                <w:szCs w:val="21"/>
                <w:highlight w:val="none"/>
              </w:rPr>
            </w:pPr>
            <w:r>
              <w:rPr>
                <w:rFonts w:hint="eastAsia" w:ascii="宋体" w:hAnsi="宋体" w:cs="宋体"/>
                <w:color w:val="auto"/>
                <w:w w:val="99"/>
                <w:szCs w:val="21"/>
                <w:highlight w:val="none"/>
              </w:rPr>
              <w:t>★</w:t>
            </w:r>
            <w:r>
              <w:rPr>
                <w:rFonts w:hint="eastAsia" w:ascii="宋体" w:hAnsi="宋体"/>
                <w:color w:val="auto"/>
                <w:szCs w:val="21"/>
                <w:highlight w:val="none"/>
              </w:rPr>
              <w:t>A02021104液晶显示器</w:t>
            </w:r>
          </w:p>
        </w:tc>
        <w:tc>
          <w:tcPr>
            <w:tcW w:w="4388" w:type="dxa"/>
            <w:tcBorders>
              <w:top w:val="single" w:color="000000" w:sz="4" w:space="0"/>
              <w:left w:val="single" w:color="000000" w:sz="4" w:space="0"/>
              <w:bottom w:val="single" w:color="000000" w:sz="4" w:space="0"/>
              <w:right w:val="single" w:color="000000" w:sz="4" w:space="0"/>
            </w:tcBorders>
            <w:vAlign w:val="center"/>
          </w:tcPr>
          <w:p w14:paraId="583DF556">
            <w:pPr>
              <w:pStyle w:val="88"/>
              <w:keepNext w:val="0"/>
              <w:keepLines w:val="0"/>
              <w:suppressLineNumbers w:val="0"/>
              <w:spacing w:before="131" w:beforeAutospacing="0" w:after="0" w:afterAutospacing="0" w:line="276" w:lineRule="auto"/>
              <w:ind w:left="7" w:right="4"/>
              <w:rPr>
                <w:rFonts w:hint="default" w:ascii="宋体" w:hAnsi="宋体" w:cs="宋体"/>
                <w:color w:val="auto"/>
                <w:spacing w:val="10"/>
                <w:kern w:val="2"/>
                <w:sz w:val="21"/>
                <w:szCs w:val="21"/>
                <w:highlight w:val="none"/>
                <w:lang w:eastAsia="zh-CN"/>
              </w:rPr>
            </w:pPr>
            <w:r>
              <w:rPr>
                <w:rFonts w:hint="eastAsia" w:ascii="宋体" w:hAnsi="宋体" w:cs="宋体"/>
                <w:color w:val="auto"/>
                <w:spacing w:val="10"/>
                <w:kern w:val="2"/>
                <w:sz w:val="21"/>
                <w:szCs w:val="21"/>
                <w:highlight w:val="none"/>
                <w:lang w:eastAsia="zh-CN"/>
              </w:rPr>
              <w:t>《计算机显示器能效限定值及能效等级》（GB21520）</w:t>
            </w:r>
          </w:p>
        </w:tc>
      </w:tr>
      <w:tr w14:paraId="3A203D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0" w:type="auto"/>
            <w:vMerge w:val="continue"/>
            <w:tcBorders>
              <w:top w:val="single" w:color="000000" w:sz="4" w:space="0"/>
              <w:left w:val="single" w:color="000000" w:sz="4" w:space="0"/>
              <w:bottom w:val="single" w:color="000000" w:sz="4" w:space="0"/>
              <w:right w:val="single" w:color="000000" w:sz="4" w:space="0"/>
            </w:tcBorders>
            <w:vAlign w:val="center"/>
          </w:tcPr>
          <w:p w14:paraId="2DE352D4">
            <w:pPr>
              <w:keepNext w:val="0"/>
              <w:keepLines w:val="0"/>
              <w:widowControl/>
              <w:suppressLineNumbers w:val="0"/>
              <w:spacing w:before="0" w:beforeAutospacing="0" w:after="0" w:afterAutospacing="0"/>
              <w:ind w:left="0" w:right="0"/>
              <w:jc w:val="left"/>
              <w:rPr>
                <w:rFonts w:hint="default" w:ascii="宋体" w:hAnsi="宋体"/>
                <w:color w:val="auto"/>
                <w:szCs w:val="21"/>
                <w:highlight w:val="none"/>
              </w:rPr>
            </w:pPr>
          </w:p>
        </w:tc>
        <w:tc>
          <w:tcPr>
            <w:tcW w:w="0" w:type="auto"/>
            <w:vMerge w:val="continue"/>
            <w:tcBorders>
              <w:top w:val="single" w:color="000000" w:sz="4" w:space="0"/>
              <w:left w:val="single" w:color="000000" w:sz="4" w:space="0"/>
              <w:bottom w:val="single" w:color="000000" w:sz="4" w:space="0"/>
              <w:right w:val="single" w:color="000000" w:sz="4" w:space="0"/>
            </w:tcBorders>
            <w:vAlign w:val="center"/>
          </w:tcPr>
          <w:p w14:paraId="0B4D3D1E">
            <w:pPr>
              <w:keepNext w:val="0"/>
              <w:keepLines w:val="0"/>
              <w:widowControl/>
              <w:suppressLineNumbers w:val="0"/>
              <w:spacing w:before="0" w:beforeAutospacing="0" w:after="0" w:afterAutospacing="0"/>
              <w:ind w:left="0" w:right="0"/>
              <w:jc w:val="left"/>
              <w:rPr>
                <w:rFonts w:hint="default" w:ascii="宋体" w:hAnsi="宋体" w:cs="宋体"/>
                <w:color w:val="auto"/>
                <w:szCs w:val="21"/>
                <w:highlight w:val="none"/>
              </w:rPr>
            </w:pPr>
          </w:p>
        </w:tc>
        <w:tc>
          <w:tcPr>
            <w:tcW w:w="0" w:type="auto"/>
            <w:vMerge w:val="continue"/>
            <w:tcBorders>
              <w:top w:val="single" w:color="000000" w:sz="4" w:space="0"/>
              <w:left w:val="single" w:color="000000" w:sz="4" w:space="0"/>
              <w:bottom w:val="single" w:color="000000" w:sz="4" w:space="0"/>
              <w:right w:val="single" w:color="000000" w:sz="4" w:space="0"/>
            </w:tcBorders>
            <w:vAlign w:val="center"/>
          </w:tcPr>
          <w:p w14:paraId="5BCC2732">
            <w:pPr>
              <w:keepNext w:val="0"/>
              <w:keepLines w:val="0"/>
              <w:widowControl/>
              <w:suppressLineNumbers w:val="0"/>
              <w:spacing w:before="0" w:beforeAutospacing="0" w:after="0" w:afterAutospacing="0"/>
              <w:ind w:left="0" w:right="0"/>
              <w:jc w:val="left"/>
              <w:rPr>
                <w:rFonts w:hint="default" w:ascii="宋体" w:hAnsi="宋体"/>
                <w:color w:val="auto"/>
                <w:szCs w:val="21"/>
                <w:highlight w:val="none"/>
              </w:rPr>
            </w:pPr>
          </w:p>
        </w:tc>
        <w:tc>
          <w:tcPr>
            <w:tcW w:w="1481" w:type="dxa"/>
            <w:tcBorders>
              <w:top w:val="single" w:color="000000" w:sz="4" w:space="0"/>
              <w:left w:val="single" w:color="000000" w:sz="4" w:space="0"/>
              <w:bottom w:val="single" w:color="000000" w:sz="4" w:space="0"/>
              <w:right w:val="single" w:color="000000" w:sz="4" w:space="0"/>
            </w:tcBorders>
            <w:vAlign w:val="center"/>
          </w:tcPr>
          <w:p w14:paraId="10E8D9ED">
            <w:pPr>
              <w:keepNext w:val="0"/>
              <w:keepLines w:val="0"/>
              <w:suppressLineNumbers w:val="0"/>
              <w:spacing w:before="0" w:beforeAutospacing="0" w:after="0" w:afterAutospacing="0"/>
              <w:ind w:left="0" w:right="0"/>
              <w:jc w:val="center"/>
              <w:rPr>
                <w:rFonts w:hint="default" w:ascii="宋体" w:hAnsi="宋体"/>
                <w:color w:val="auto"/>
                <w:szCs w:val="21"/>
                <w:highlight w:val="none"/>
              </w:rPr>
            </w:pPr>
            <w:r>
              <w:rPr>
                <w:rFonts w:hint="eastAsia" w:ascii="宋体" w:hAnsi="宋体"/>
                <w:color w:val="auto"/>
                <w:szCs w:val="21"/>
                <w:highlight w:val="none"/>
              </w:rPr>
              <w:t>A02021118扫描仪</w:t>
            </w:r>
          </w:p>
        </w:tc>
        <w:tc>
          <w:tcPr>
            <w:tcW w:w="4388" w:type="dxa"/>
            <w:tcBorders>
              <w:top w:val="single" w:color="000000" w:sz="4" w:space="0"/>
              <w:left w:val="single" w:color="000000" w:sz="4" w:space="0"/>
              <w:bottom w:val="single" w:color="000000" w:sz="4" w:space="0"/>
              <w:right w:val="single" w:color="000000" w:sz="4" w:space="0"/>
            </w:tcBorders>
            <w:vAlign w:val="center"/>
          </w:tcPr>
          <w:p w14:paraId="08F6621C">
            <w:pPr>
              <w:pStyle w:val="88"/>
              <w:keepNext w:val="0"/>
              <w:keepLines w:val="0"/>
              <w:suppressLineNumbers w:val="0"/>
              <w:spacing w:before="131" w:beforeAutospacing="0" w:after="0" w:afterAutospacing="0" w:line="276" w:lineRule="auto"/>
              <w:ind w:left="7" w:right="4"/>
              <w:rPr>
                <w:rFonts w:hint="default" w:ascii="宋体" w:hAnsi="宋体" w:cs="宋体"/>
                <w:color w:val="auto"/>
                <w:spacing w:val="10"/>
                <w:kern w:val="2"/>
                <w:sz w:val="21"/>
                <w:szCs w:val="21"/>
                <w:highlight w:val="none"/>
                <w:lang w:eastAsia="zh-CN"/>
              </w:rPr>
            </w:pPr>
            <w:r>
              <w:rPr>
                <w:rFonts w:hint="eastAsia" w:ascii="宋体" w:hAnsi="宋体" w:cs="宋体"/>
                <w:color w:val="auto"/>
                <w:spacing w:val="10"/>
                <w:kern w:val="2"/>
                <w:sz w:val="21"/>
                <w:szCs w:val="21"/>
                <w:highlight w:val="none"/>
                <w:lang w:eastAsia="zh-CN"/>
              </w:rPr>
              <w:t>参照《复印机、打印机和传真机能效限定值及能效等级》（GB21521）中打印速度为15页/分的针式打印机相关要求</w:t>
            </w:r>
          </w:p>
        </w:tc>
      </w:tr>
      <w:tr w14:paraId="6E19A6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71" w:type="dxa"/>
            <w:tcBorders>
              <w:top w:val="single" w:color="000000" w:sz="4" w:space="0"/>
              <w:left w:val="single" w:color="000000" w:sz="4" w:space="0"/>
              <w:bottom w:val="single" w:color="000000" w:sz="4" w:space="0"/>
              <w:right w:val="single" w:color="000000" w:sz="4" w:space="0"/>
            </w:tcBorders>
            <w:vAlign w:val="center"/>
          </w:tcPr>
          <w:p w14:paraId="29410D4C">
            <w:pPr>
              <w:keepNext w:val="0"/>
              <w:keepLines w:val="0"/>
              <w:suppressLineNumbers w:val="0"/>
              <w:spacing w:before="0" w:beforeAutospacing="0" w:after="0" w:afterAutospacing="0"/>
              <w:ind w:left="0" w:right="0"/>
              <w:jc w:val="center"/>
              <w:rPr>
                <w:rFonts w:hint="default" w:ascii="宋体" w:hAnsi="宋体"/>
                <w:color w:val="auto"/>
                <w:szCs w:val="21"/>
                <w:highlight w:val="none"/>
              </w:rPr>
            </w:pPr>
            <w:r>
              <w:rPr>
                <w:rFonts w:hint="eastAsia" w:ascii="宋体" w:hAnsi="宋体"/>
                <w:color w:val="auto"/>
                <w:w w:val="99"/>
                <w:szCs w:val="21"/>
                <w:highlight w:val="none"/>
              </w:rPr>
              <w:t>3</w:t>
            </w:r>
          </w:p>
        </w:tc>
        <w:tc>
          <w:tcPr>
            <w:tcW w:w="1422" w:type="dxa"/>
            <w:tcBorders>
              <w:top w:val="single" w:color="000000" w:sz="4" w:space="0"/>
              <w:left w:val="single" w:color="000000" w:sz="4" w:space="0"/>
              <w:bottom w:val="single" w:color="000000" w:sz="4" w:space="0"/>
              <w:right w:val="single" w:color="000000" w:sz="4" w:space="0"/>
            </w:tcBorders>
            <w:vAlign w:val="center"/>
          </w:tcPr>
          <w:p w14:paraId="1AE6D706">
            <w:pPr>
              <w:keepNext w:val="0"/>
              <w:keepLines w:val="0"/>
              <w:suppressLineNumbers w:val="0"/>
              <w:spacing w:before="0" w:beforeAutospacing="0" w:after="0" w:afterAutospacing="0"/>
              <w:ind w:left="0" w:right="0"/>
              <w:jc w:val="center"/>
              <w:rPr>
                <w:rFonts w:hint="default" w:ascii="宋体" w:hAnsi="宋体"/>
                <w:color w:val="auto"/>
                <w:szCs w:val="21"/>
                <w:highlight w:val="none"/>
              </w:rPr>
            </w:pPr>
            <w:r>
              <w:rPr>
                <w:rFonts w:hint="eastAsia" w:ascii="宋体" w:hAnsi="宋体"/>
                <w:color w:val="auto"/>
                <w:szCs w:val="21"/>
                <w:highlight w:val="none"/>
              </w:rPr>
              <w:t>A02020200投影仪</w:t>
            </w:r>
          </w:p>
        </w:tc>
        <w:tc>
          <w:tcPr>
            <w:tcW w:w="1496" w:type="dxa"/>
            <w:tcBorders>
              <w:top w:val="single" w:color="000000" w:sz="4" w:space="0"/>
              <w:left w:val="single" w:color="000000" w:sz="4" w:space="0"/>
              <w:bottom w:val="single" w:color="000000" w:sz="4" w:space="0"/>
              <w:right w:val="single" w:color="000000" w:sz="4" w:space="0"/>
            </w:tcBorders>
            <w:vAlign w:val="center"/>
          </w:tcPr>
          <w:p w14:paraId="06EC4DEE">
            <w:pPr>
              <w:keepNext w:val="0"/>
              <w:keepLines w:val="0"/>
              <w:suppressLineNumbers w:val="0"/>
              <w:spacing w:before="0" w:beforeAutospacing="0" w:after="0" w:afterAutospacing="0"/>
              <w:ind w:left="0" w:right="0"/>
              <w:jc w:val="center"/>
              <w:rPr>
                <w:rFonts w:hint="default" w:ascii="宋体" w:hAnsi="宋体"/>
                <w:color w:val="auto"/>
                <w:szCs w:val="21"/>
                <w:highlight w:val="none"/>
              </w:rPr>
            </w:pPr>
          </w:p>
        </w:tc>
        <w:tc>
          <w:tcPr>
            <w:tcW w:w="1481" w:type="dxa"/>
            <w:tcBorders>
              <w:top w:val="single" w:color="000000" w:sz="4" w:space="0"/>
              <w:left w:val="single" w:color="000000" w:sz="4" w:space="0"/>
              <w:bottom w:val="single" w:color="000000" w:sz="4" w:space="0"/>
              <w:right w:val="single" w:color="000000" w:sz="4" w:space="0"/>
            </w:tcBorders>
            <w:vAlign w:val="center"/>
          </w:tcPr>
          <w:p w14:paraId="4E8045F4">
            <w:pPr>
              <w:keepNext w:val="0"/>
              <w:keepLines w:val="0"/>
              <w:suppressLineNumbers w:val="0"/>
              <w:spacing w:before="0" w:beforeAutospacing="0" w:after="0" w:afterAutospacing="0"/>
              <w:ind w:left="0" w:right="0"/>
              <w:jc w:val="center"/>
              <w:rPr>
                <w:rFonts w:hint="default" w:ascii="宋体" w:hAnsi="宋体"/>
                <w:color w:val="auto"/>
                <w:szCs w:val="21"/>
                <w:highlight w:val="none"/>
              </w:rPr>
            </w:pPr>
          </w:p>
        </w:tc>
        <w:tc>
          <w:tcPr>
            <w:tcW w:w="4388" w:type="dxa"/>
            <w:tcBorders>
              <w:top w:val="single" w:color="000000" w:sz="4" w:space="0"/>
              <w:left w:val="single" w:color="000000" w:sz="4" w:space="0"/>
              <w:bottom w:val="single" w:color="000000" w:sz="4" w:space="0"/>
              <w:right w:val="single" w:color="000000" w:sz="4" w:space="0"/>
            </w:tcBorders>
            <w:vAlign w:val="center"/>
          </w:tcPr>
          <w:p w14:paraId="61B4A58D">
            <w:pPr>
              <w:pStyle w:val="88"/>
              <w:keepNext w:val="0"/>
              <w:keepLines w:val="0"/>
              <w:suppressLineNumbers w:val="0"/>
              <w:spacing w:before="131" w:beforeAutospacing="0" w:after="0" w:afterAutospacing="0" w:line="276" w:lineRule="auto"/>
              <w:ind w:left="7" w:right="4"/>
              <w:rPr>
                <w:rFonts w:hint="default" w:ascii="宋体" w:hAnsi="宋体" w:cs="宋体"/>
                <w:color w:val="auto"/>
                <w:spacing w:val="10"/>
                <w:kern w:val="2"/>
                <w:sz w:val="21"/>
                <w:szCs w:val="21"/>
                <w:highlight w:val="none"/>
                <w:lang w:eastAsia="zh-CN"/>
              </w:rPr>
            </w:pPr>
            <w:r>
              <w:rPr>
                <w:rFonts w:hint="eastAsia" w:ascii="宋体" w:hAnsi="宋体" w:cs="宋体"/>
                <w:color w:val="auto"/>
                <w:spacing w:val="10"/>
                <w:kern w:val="2"/>
                <w:sz w:val="21"/>
                <w:szCs w:val="21"/>
                <w:highlight w:val="none"/>
                <w:lang w:eastAsia="zh-CN"/>
              </w:rPr>
              <w:t>《投影机能效限定值及能效等级》（GB32028）</w:t>
            </w:r>
          </w:p>
        </w:tc>
      </w:tr>
      <w:tr w14:paraId="06C559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71" w:type="dxa"/>
            <w:tcBorders>
              <w:top w:val="single" w:color="000000" w:sz="4" w:space="0"/>
              <w:left w:val="single" w:color="000000" w:sz="4" w:space="0"/>
              <w:bottom w:val="single" w:color="000000" w:sz="4" w:space="0"/>
              <w:right w:val="single" w:color="000000" w:sz="4" w:space="0"/>
            </w:tcBorders>
            <w:vAlign w:val="center"/>
          </w:tcPr>
          <w:p w14:paraId="5BEC7404">
            <w:pPr>
              <w:keepNext w:val="0"/>
              <w:keepLines w:val="0"/>
              <w:suppressLineNumbers w:val="0"/>
              <w:spacing w:before="0" w:beforeAutospacing="0" w:after="0" w:afterAutospacing="0"/>
              <w:ind w:left="0" w:right="0"/>
              <w:jc w:val="center"/>
              <w:rPr>
                <w:rFonts w:hint="default" w:ascii="宋体" w:hAnsi="宋体"/>
                <w:color w:val="auto"/>
                <w:szCs w:val="21"/>
                <w:highlight w:val="none"/>
              </w:rPr>
            </w:pPr>
            <w:r>
              <w:rPr>
                <w:rFonts w:hint="eastAsia" w:ascii="宋体" w:hAnsi="宋体"/>
                <w:color w:val="auto"/>
                <w:szCs w:val="21"/>
                <w:highlight w:val="none"/>
              </w:rPr>
              <w:t>4</w:t>
            </w:r>
          </w:p>
        </w:tc>
        <w:tc>
          <w:tcPr>
            <w:tcW w:w="1422" w:type="dxa"/>
            <w:tcBorders>
              <w:top w:val="single" w:color="000000" w:sz="4" w:space="0"/>
              <w:left w:val="single" w:color="000000" w:sz="4" w:space="0"/>
              <w:bottom w:val="single" w:color="000000" w:sz="4" w:space="0"/>
              <w:right w:val="single" w:color="000000" w:sz="4" w:space="0"/>
            </w:tcBorders>
            <w:vAlign w:val="center"/>
          </w:tcPr>
          <w:p w14:paraId="6CB281A5">
            <w:pPr>
              <w:pStyle w:val="88"/>
              <w:keepNext w:val="0"/>
              <w:keepLines w:val="0"/>
              <w:suppressLineNumbers w:val="0"/>
              <w:spacing w:before="66" w:beforeAutospacing="0" w:after="0" w:afterAutospacing="0"/>
              <w:ind w:left="7" w:right="0"/>
              <w:jc w:val="center"/>
              <w:rPr>
                <w:rFonts w:hint="default" w:ascii="宋体" w:hAnsi="宋体" w:cs="宋体"/>
                <w:color w:val="auto"/>
                <w:kern w:val="2"/>
                <w:sz w:val="21"/>
                <w:szCs w:val="21"/>
                <w:highlight w:val="none"/>
              </w:rPr>
            </w:pPr>
            <w:r>
              <w:rPr>
                <w:rFonts w:hint="eastAsia" w:ascii="宋体" w:hAnsi="宋体" w:cs="方正仿宋_GB2312"/>
                <w:color w:val="auto"/>
                <w:kern w:val="2"/>
                <w:sz w:val="21"/>
                <w:szCs w:val="21"/>
                <w:highlight w:val="none"/>
              </w:rPr>
              <w:t>A02020400</w:t>
            </w:r>
            <w:r>
              <w:rPr>
                <w:rFonts w:hint="eastAsia" w:ascii="宋体" w:hAnsi="宋体" w:cs="宋体"/>
                <w:color w:val="auto"/>
                <w:w w:val="99"/>
                <w:kern w:val="2"/>
                <w:sz w:val="21"/>
                <w:szCs w:val="21"/>
                <w:highlight w:val="none"/>
              </w:rPr>
              <w:t>多功能一体机</w:t>
            </w:r>
          </w:p>
        </w:tc>
        <w:tc>
          <w:tcPr>
            <w:tcW w:w="1496" w:type="dxa"/>
            <w:tcBorders>
              <w:top w:val="single" w:color="000000" w:sz="4" w:space="0"/>
              <w:left w:val="single" w:color="000000" w:sz="4" w:space="0"/>
              <w:bottom w:val="single" w:color="000000" w:sz="4" w:space="0"/>
              <w:right w:val="single" w:color="000000" w:sz="4" w:space="0"/>
            </w:tcBorders>
            <w:vAlign w:val="center"/>
          </w:tcPr>
          <w:p w14:paraId="0D1AE431">
            <w:pPr>
              <w:keepNext w:val="0"/>
              <w:keepLines w:val="0"/>
              <w:suppressLineNumbers w:val="0"/>
              <w:spacing w:before="0" w:beforeAutospacing="0" w:after="0" w:afterAutospacing="0"/>
              <w:ind w:left="0" w:right="0"/>
              <w:jc w:val="center"/>
              <w:rPr>
                <w:rFonts w:hint="default" w:ascii="宋体" w:hAnsi="宋体"/>
                <w:color w:val="auto"/>
                <w:szCs w:val="21"/>
                <w:highlight w:val="none"/>
              </w:rPr>
            </w:pPr>
          </w:p>
        </w:tc>
        <w:tc>
          <w:tcPr>
            <w:tcW w:w="1481" w:type="dxa"/>
            <w:tcBorders>
              <w:top w:val="single" w:color="000000" w:sz="4" w:space="0"/>
              <w:left w:val="single" w:color="000000" w:sz="4" w:space="0"/>
              <w:bottom w:val="single" w:color="000000" w:sz="4" w:space="0"/>
              <w:right w:val="single" w:color="000000" w:sz="4" w:space="0"/>
            </w:tcBorders>
            <w:vAlign w:val="center"/>
          </w:tcPr>
          <w:p w14:paraId="5EFEB410">
            <w:pPr>
              <w:keepNext w:val="0"/>
              <w:keepLines w:val="0"/>
              <w:suppressLineNumbers w:val="0"/>
              <w:spacing w:before="0" w:beforeAutospacing="0" w:after="0" w:afterAutospacing="0"/>
              <w:ind w:left="0" w:right="0"/>
              <w:jc w:val="center"/>
              <w:rPr>
                <w:rFonts w:hint="default" w:ascii="宋体" w:hAnsi="宋体"/>
                <w:color w:val="auto"/>
                <w:szCs w:val="21"/>
                <w:highlight w:val="none"/>
              </w:rPr>
            </w:pPr>
          </w:p>
        </w:tc>
        <w:tc>
          <w:tcPr>
            <w:tcW w:w="4388" w:type="dxa"/>
            <w:tcBorders>
              <w:top w:val="single" w:color="000000" w:sz="4" w:space="0"/>
              <w:left w:val="single" w:color="000000" w:sz="4" w:space="0"/>
              <w:bottom w:val="single" w:color="000000" w:sz="4" w:space="0"/>
              <w:right w:val="single" w:color="000000" w:sz="4" w:space="0"/>
            </w:tcBorders>
            <w:vAlign w:val="center"/>
          </w:tcPr>
          <w:p w14:paraId="2810D488">
            <w:pPr>
              <w:pStyle w:val="88"/>
              <w:keepNext w:val="0"/>
              <w:keepLines w:val="0"/>
              <w:suppressLineNumbers w:val="0"/>
              <w:spacing w:before="131" w:beforeAutospacing="0" w:after="0" w:afterAutospacing="0" w:line="276" w:lineRule="auto"/>
              <w:ind w:left="7" w:right="4"/>
              <w:rPr>
                <w:rFonts w:hint="default" w:ascii="宋体" w:hAnsi="宋体" w:cs="宋体"/>
                <w:color w:val="auto"/>
                <w:spacing w:val="10"/>
                <w:kern w:val="2"/>
                <w:sz w:val="21"/>
                <w:szCs w:val="21"/>
                <w:highlight w:val="none"/>
                <w:lang w:eastAsia="zh-CN"/>
              </w:rPr>
            </w:pPr>
            <w:r>
              <w:rPr>
                <w:rFonts w:hint="eastAsia" w:ascii="宋体" w:hAnsi="宋体" w:cs="宋体"/>
                <w:color w:val="auto"/>
                <w:spacing w:val="10"/>
                <w:kern w:val="2"/>
                <w:sz w:val="21"/>
                <w:szCs w:val="21"/>
                <w:highlight w:val="none"/>
                <w:lang w:eastAsia="zh-CN"/>
              </w:rPr>
              <w:t>《复印机、打印机和传真机能效限定值及能效等级》（GB21521）</w:t>
            </w:r>
          </w:p>
        </w:tc>
      </w:tr>
      <w:tr w14:paraId="146F0E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71" w:type="dxa"/>
            <w:tcBorders>
              <w:top w:val="single" w:color="000000" w:sz="4" w:space="0"/>
              <w:left w:val="single" w:color="000000" w:sz="4" w:space="0"/>
              <w:bottom w:val="single" w:color="000000" w:sz="4" w:space="0"/>
              <w:right w:val="single" w:color="000000" w:sz="4" w:space="0"/>
            </w:tcBorders>
            <w:vAlign w:val="center"/>
          </w:tcPr>
          <w:p w14:paraId="497F4AF1">
            <w:pPr>
              <w:pStyle w:val="88"/>
              <w:keepNext w:val="0"/>
              <w:keepLines w:val="0"/>
              <w:suppressLineNumbers w:val="0"/>
              <w:spacing w:before="160" w:beforeAutospacing="0" w:after="0" w:afterAutospacing="0"/>
              <w:ind w:left="0" w:right="1"/>
              <w:jc w:val="center"/>
              <w:rPr>
                <w:rFonts w:hint="default" w:ascii="宋体" w:hAnsi="宋体" w:cs="宋体"/>
                <w:color w:val="auto"/>
                <w:kern w:val="2"/>
                <w:sz w:val="21"/>
                <w:szCs w:val="21"/>
                <w:highlight w:val="none"/>
              </w:rPr>
            </w:pPr>
            <w:r>
              <w:rPr>
                <w:rFonts w:hint="eastAsia" w:ascii="宋体" w:hAnsi="宋体"/>
                <w:color w:val="auto"/>
                <w:w w:val="99"/>
                <w:kern w:val="2"/>
                <w:sz w:val="21"/>
                <w:szCs w:val="21"/>
                <w:highlight w:val="none"/>
              </w:rPr>
              <w:t>5</w:t>
            </w:r>
          </w:p>
        </w:tc>
        <w:tc>
          <w:tcPr>
            <w:tcW w:w="1422" w:type="dxa"/>
            <w:tcBorders>
              <w:top w:val="single" w:color="000000" w:sz="4" w:space="0"/>
              <w:left w:val="single" w:color="000000" w:sz="4" w:space="0"/>
              <w:bottom w:val="single" w:color="000000" w:sz="4" w:space="0"/>
              <w:right w:val="single" w:color="000000" w:sz="4" w:space="0"/>
            </w:tcBorders>
            <w:vAlign w:val="center"/>
          </w:tcPr>
          <w:p w14:paraId="634F6E28">
            <w:pPr>
              <w:pStyle w:val="88"/>
              <w:keepNext w:val="0"/>
              <w:keepLines w:val="0"/>
              <w:suppressLineNumbers w:val="0"/>
              <w:spacing w:before="160" w:beforeAutospacing="0" w:after="0" w:afterAutospacing="0"/>
              <w:ind w:left="7" w:right="0"/>
              <w:jc w:val="center"/>
              <w:rPr>
                <w:rFonts w:hint="default" w:ascii="宋体" w:hAnsi="宋体" w:cs="宋体"/>
                <w:color w:val="auto"/>
                <w:kern w:val="2"/>
                <w:sz w:val="21"/>
                <w:szCs w:val="21"/>
                <w:highlight w:val="none"/>
              </w:rPr>
            </w:pPr>
            <w:r>
              <w:rPr>
                <w:rFonts w:hint="eastAsia" w:ascii="宋体" w:hAnsi="宋体" w:cs="方正仿宋_GB2312"/>
                <w:color w:val="auto"/>
                <w:kern w:val="2"/>
                <w:sz w:val="21"/>
                <w:szCs w:val="21"/>
                <w:highlight w:val="none"/>
              </w:rPr>
              <w:t>A02051900</w:t>
            </w:r>
            <w:r>
              <w:rPr>
                <w:rFonts w:hint="eastAsia" w:ascii="宋体" w:hAnsi="宋体" w:cs="宋体"/>
                <w:color w:val="auto"/>
                <w:w w:val="99"/>
                <w:kern w:val="2"/>
                <w:sz w:val="21"/>
                <w:szCs w:val="21"/>
                <w:highlight w:val="none"/>
              </w:rPr>
              <w:t>泵</w:t>
            </w:r>
          </w:p>
        </w:tc>
        <w:tc>
          <w:tcPr>
            <w:tcW w:w="1496" w:type="dxa"/>
            <w:tcBorders>
              <w:top w:val="single" w:color="000000" w:sz="4" w:space="0"/>
              <w:left w:val="single" w:color="000000" w:sz="4" w:space="0"/>
              <w:bottom w:val="single" w:color="000000" w:sz="4" w:space="0"/>
              <w:right w:val="single" w:color="000000" w:sz="4" w:space="0"/>
            </w:tcBorders>
            <w:vAlign w:val="center"/>
          </w:tcPr>
          <w:p w14:paraId="588D3F59">
            <w:pPr>
              <w:pStyle w:val="88"/>
              <w:keepNext w:val="0"/>
              <w:keepLines w:val="0"/>
              <w:suppressLineNumbers w:val="0"/>
              <w:spacing w:before="160" w:beforeAutospacing="0" w:after="0" w:afterAutospacing="0"/>
              <w:ind w:left="7" w:right="0"/>
              <w:jc w:val="center"/>
              <w:rPr>
                <w:rFonts w:hint="default" w:ascii="宋体" w:hAnsi="宋体" w:cs="宋体"/>
                <w:color w:val="auto"/>
                <w:kern w:val="2"/>
                <w:sz w:val="21"/>
                <w:szCs w:val="21"/>
                <w:highlight w:val="none"/>
              </w:rPr>
            </w:pPr>
            <w:r>
              <w:rPr>
                <w:rFonts w:hint="eastAsia" w:ascii="宋体" w:hAnsi="宋体" w:cs="宋体"/>
                <w:color w:val="auto"/>
                <w:spacing w:val="1"/>
                <w:w w:val="99"/>
                <w:kern w:val="2"/>
                <w:sz w:val="21"/>
                <w:szCs w:val="21"/>
                <w:highlight w:val="none"/>
              </w:rPr>
              <w:t>A02</w:t>
            </w:r>
            <w:r>
              <w:rPr>
                <w:rFonts w:hint="eastAsia" w:ascii="宋体" w:hAnsi="宋体" w:cs="宋体"/>
                <w:color w:val="auto"/>
                <w:w w:val="99"/>
                <w:kern w:val="2"/>
                <w:sz w:val="21"/>
                <w:szCs w:val="21"/>
                <w:highlight w:val="none"/>
              </w:rPr>
              <w:t>05</w:t>
            </w:r>
            <w:r>
              <w:rPr>
                <w:rFonts w:hint="eastAsia" w:ascii="宋体" w:hAnsi="宋体" w:cs="宋体"/>
                <w:color w:val="auto"/>
                <w:spacing w:val="1"/>
                <w:w w:val="99"/>
                <w:kern w:val="2"/>
                <w:sz w:val="21"/>
                <w:szCs w:val="21"/>
                <w:highlight w:val="none"/>
              </w:rPr>
              <w:t>1</w:t>
            </w:r>
            <w:r>
              <w:rPr>
                <w:rFonts w:hint="eastAsia" w:ascii="宋体" w:hAnsi="宋体" w:cs="宋体"/>
                <w:color w:val="auto"/>
                <w:w w:val="99"/>
                <w:kern w:val="2"/>
                <w:sz w:val="21"/>
                <w:szCs w:val="21"/>
                <w:highlight w:val="none"/>
              </w:rPr>
              <w:t>901离心泵</w:t>
            </w:r>
          </w:p>
        </w:tc>
        <w:tc>
          <w:tcPr>
            <w:tcW w:w="1481" w:type="dxa"/>
            <w:tcBorders>
              <w:top w:val="single" w:color="000000" w:sz="4" w:space="0"/>
              <w:left w:val="single" w:color="000000" w:sz="4" w:space="0"/>
              <w:bottom w:val="single" w:color="000000" w:sz="4" w:space="0"/>
              <w:right w:val="single" w:color="000000" w:sz="4" w:space="0"/>
            </w:tcBorders>
            <w:vAlign w:val="center"/>
          </w:tcPr>
          <w:p w14:paraId="2FCBBAF7">
            <w:pPr>
              <w:keepNext w:val="0"/>
              <w:keepLines w:val="0"/>
              <w:suppressLineNumbers w:val="0"/>
              <w:spacing w:before="0" w:beforeAutospacing="0" w:after="0" w:afterAutospacing="0"/>
              <w:ind w:left="0" w:right="0"/>
              <w:jc w:val="center"/>
              <w:rPr>
                <w:rFonts w:hint="default" w:ascii="宋体" w:hAnsi="宋体"/>
                <w:color w:val="auto"/>
                <w:szCs w:val="21"/>
                <w:highlight w:val="none"/>
              </w:rPr>
            </w:pPr>
          </w:p>
        </w:tc>
        <w:tc>
          <w:tcPr>
            <w:tcW w:w="4388" w:type="dxa"/>
            <w:tcBorders>
              <w:top w:val="single" w:color="000000" w:sz="4" w:space="0"/>
              <w:left w:val="single" w:color="000000" w:sz="4" w:space="0"/>
              <w:bottom w:val="single" w:color="000000" w:sz="4" w:space="0"/>
              <w:right w:val="single" w:color="000000" w:sz="4" w:space="0"/>
            </w:tcBorders>
          </w:tcPr>
          <w:p w14:paraId="295A1B7A">
            <w:pPr>
              <w:pStyle w:val="88"/>
              <w:keepNext w:val="0"/>
              <w:keepLines w:val="0"/>
              <w:suppressLineNumbers w:val="0"/>
              <w:spacing w:before="131" w:beforeAutospacing="0" w:after="0" w:afterAutospacing="0" w:line="276" w:lineRule="auto"/>
              <w:ind w:left="7" w:right="4"/>
              <w:rPr>
                <w:rFonts w:hint="default" w:ascii="宋体" w:hAnsi="宋体" w:cs="宋体"/>
                <w:color w:val="auto"/>
                <w:spacing w:val="10"/>
                <w:kern w:val="2"/>
                <w:sz w:val="21"/>
                <w:szCs w:val="21"/>
                <w:highlight w:val="none"/>
                <w:lang w:eastAsia="zh-CN"/>
              </w:rPr>
            </w:pPr>
            <w:r>
              <w:rPr>
                <w:rFonts w:hint="eastAsia" w:ascii="宋体" w:hAnsi="宋体" w:cs="宋体"/>
                <w:color w:val="auto"/>
                <w:spacing w:val="10"/>
                <w:kern w:val="2"/>
                <w:sz w:val="21"/>
                <w:szCs w:val="21"/>
                <w:highlight w:val="none"/>
                <w:lang w:eastAsia="zh-CN"/>
              </w:rPr>
              <w:t>《清水离心泵能效限定值及节能评价值》（GB19762）</w:t>
            </w:r>
          </w:p>
        </w:tc>
      </w:tr>
      <w:tr w14:paraId="2570A3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71" w:type="dxa"/>
            <w:vMerge w:val="restart"/>
            <w:tcBorders>
              <w:top w:val="single" w:color="000000" w:sz="4" w:space="0"/>
              <w:left w:val="single" w:color="000000" w:sz="4" w:space="0"/>
              <w:bottom w:val="single" w:color="000000" w:sz="4" w:space="0"/>
              <w:right w:val="single" w:color="000000" w:sz="4" w:space="0"/>
            </w:tcBorders>
            <w:vAlign w:val="center"/>
          </w:tcPr>
          <w:p w14:paraId="6056659C">
            <w:pPr>
              <w:keepNext w:val="0"/>
              <w:keepLines w:val="0"/>
              <w:suppressLineNumbers w:val="0"/>
              <w:spacing w:before="0" w:beforeAutospacing="0" w:after="0" w:afterAutospacing="0"/>
              <w:ind w:left="0" w:right="0"/>
              <w:jc w:val="center"/>
              <w:rPr>
                <w:rFonts w:hint="default" w:ascii="宋体" w:hAnsi="宋体"/>
                <w:color w:val="auto"/>
                <w:szCs w:val="21"/>
                <w:highlight w:val="none"/>
              </w:rPr>
            </w:pPr>
            <w:r>
              <w:rPr>
                <w:rFonts w:hint="eastAsia" w:ascii="宋体" w:hAnsi="宋体"/>
                <w:color w:val="auto"/>
                <w:szCs w:val="21"/>
                <w:highlight w:val="none"/>
              </w:rPr>
              <w:t>6</w:t>
            </w:r>
          </w:p>
        </w:tc>
        <w:tc>
          <w:tcPr>
            <w:tcW w:w="1422" w:type="dxa"/>
            <w:vMerge w:val="restart"/>
            <w:tcBorders>
              <w:top w:val="single" w:color="000000" w:sz="4" w:space="0"/>
              <w:left w:val="single" w:color="000000" w:sz="4" w:space="0"/>
              <w:bottom w:val="single" w:color="000000" w:sz="4" w:space="0"/>
              <w:right w:val="single" w:color="000000" w:sz="4" w:space="0"/>
            </w:tcBorders>
            <w:vAlign w:val="center"/>
          </w:tcPr>
          <w:p w14:paraId="5FB7EE04">
            <w:pPr>
              <w:pStyle w:val="88"/>
              <w:keepNext w:val="0"/>
              <w:keepLines w:val="0"/>
              <w:suppressLineNumbers w:val="0"/>
              <w:spacing w:before="0" w:beforeAutospacing="0" w:after="0" w:afterAutospacing="0"/>
              <w:ind w:left="0" w:right="0"/>
              <w:jc w:val="center"/>
              <w:rPr>
                <w:rFonts w:hint="default" w:ascii="宋体" w:hAnsi="宋体" w:cs="宋体"/>
                <w:color w:val="auto"/>
                <w:kern w:val="2"/>
                <w:sz w:val="21"/>
                <w:szCs w:val="21"/>
                <w:highlight w:val="none"/>
              </w:rPr>
            </w:pPr>
            <w:r>
              <w:rPr>
                <w:rFonts w:hint="eastAsia" w:ascii="宋体" w:hAnsi="宋体" w:cs="方正仿宋_GB2312"/>
                <w:color w:val="auto"/>
                <w:kern w:val="2"/>
                <w:sz w:val="21"/>
                <w:szCs w:val="21"/>
                <w:highlight w:val="none"/>
              </w:rPr>
              <w:t>A02052300</w:t>
            </w:r>
            <w:r>
              <w:rPr>
                <w:rFonts w:hint="eastAsia" w:ascii="宋体" w:hAnsi="宋体" w:cs="宋体"/>
                <w:color w:val="auto"/>
                <w:w w:val="99"/>
                <w:kern w:val="2"/>
                <w:sz w:val="21"/>
                <w:szCs w:val="21"/>
                <w:highlight w:val="none"/>
              </w:rPr>
              <w:t>制冷空调设备</w:t>
            </w:r>
          </w:p>
        </w:tc>
        <w:tc>
          <w:tcPr>
            <w:tcW w:w="1496" w:type="dxa"/>
            <w:vMerge w:val="restart"/>
            <w:tcBorders>
              <w:top w:val="single" w:color="000000" w:sz="4" w:space="0"/>
              <w:left w:val="single" w:color="000000" w:sz="4" w:space="0"/>
              <w:bottom w:val="single" w:color="000000" w:sz="4" w:space="0"/>
              <w:right w:val="single" w:color="000000" w:sz="4" w:space="0"/>
            </w:tcBorders>
            <w:vAlign w:val="center"/>
          </w:tcPr>
          <w:p w14:paraId="360BF368">
            <w:pPr>
              <w:pStyle w:val="88"/>
              <w:keepNext w:val="0"/>
              <w:keepLines w:val="0"/>
              <w:suppressLineNumbers w:val="0"/>
              <w:spacing w:before="0" w:beforeAutospacing="0" w:after="0" w:afterAutospacing="0" w:line="276" w:lineRule="auto"/>
              <w:ind w:left="0" w:right="5"/>
              <w:jc w:val="center"/>
              <w:rPr>
                <w:rFonts w:hint="default" w:ascii="宋体" w:hAnsi="宋体" w:cs="宋体"/>
                <w:color w:val="auto"/>
                <w:kern w:val="2"/>
                <w:sz w:val="21"/>
                <w:szCs w:val="21"/>
                <w:highlight w:val="none"/>
              </w:rPr>
            </w:pPr>
            <w:r>
              <w:rPr>
                <w:rFonts w:hint="eastAsia" w:ascii="宋体" w:hAnsi="宋体" w:cs="宋体"/>
                <w:color w:val="auto"/>
                <w:w w:val="99"/>
                <w:kern w:val="2"/>
                <w:sz w:val="21"/>
                <w:szCs w:val="21"/>
                <w:highlight w:val="none"/>
              </w:rPr>
              <w:t>★</w:t>
            </w:r>
            <w:r>
              <w:rPr>
                <w:rFonts w:hint="eastAsia" w:ascii="宋体" w:hAnsi="宋体" w:cs="宋体"/>
                <w:color w:val="auto"/>
                <w:spacing w:val="1"/>
                <w:w w:val="99"/>
                <w:kern w:val="2"/>
                <w:sz w:val="21"/>
                <w:szCs w:val="21"/>
                <w:highlight w:val="none"/>
              </w:rPr>
              <w:t>A020</w:t>
            </w:r>
            <w:r>
              <w:rPr>
                <w:rFonts w:hint="eastAsia" w:ascii="宋体" w:hAnsi="宋体" w:cs="宋体"/>
                <w:color w:val="auto"/>
                <w:w w:val="99"/>
                <w:kern w:val="2"/>
                <w:sz w:val="21"/>
                <w:szCs w:val="21"/>
                <w:highlight w:val="none"/>
              </w:rPr>
              <w:t>52</w:t>
            </w:r>
            <w:r>
              <w:rPr>
                <w:rFonts w:hint="eastAsia" w:ascii="宋体" w:hAnsi="宋体" w:cs="宋体"/>
                <w:color w:val="auto"/>
                <w:spacing w:val="1"/>
                <w:w w:val="99"/>
                <w:kern w:val="2"/>
                <w:sz w:val="21"/>
                <w:szCs w:val="21"/>
                <w:highlight w:val="none"/>
              </w:rPr>
              <w:t>3</w:t>
            </w:r>
            <w:r>
              <w:rPr>
                <w:rFonts w:hint="eastAsia" w:ascii="宋体" w:hAnsi="宋体" w:cs="宋体"/>
                <w:color w:val="auto"/>
                <w:w w:val="99"/>
                <w:kern w:val="2"/>
                <w:sz w:val="21"/>
                <w:szCs w:val="21"/>
                <w:highlight w:val="none"/>
              </w:rPr>
              <w:t>01制冷压缩机</w:t>
            </w:r>
          </w:p>
        </w:tc>
        <w:tc>
          <w:tcPr>
            <w:tcW w:w="1481" w:type="dxa"/>
            <w:tcBorders>
              <w:top w:val="single" w:color="000000" w:sz="4" w:space="0"/>
              <w:left w:val="single" w:color="000000" w:sz="4" w:space="0"/>
              <w:bottom w:val="single" w:color="000000" w:sz="4" w:space="0"/>
              <w:right w:val="single" w:color="000000" w:sz="4" w:space="0"/>
            </w:tcBorders>
            <w:vAlign w:val="center"/>
          </w:tcPr>
          <w:p w14:paraId="08C3F239">
            <w:pPr>
              <w:pStyle w:val="88"/>
              <w:keepNext w:val="0"/>
              <w:keepLines w:val="0"/>
              <w:suppressLineNumbers w:val="0"/>
              <w:spacing w:before="0" w:beforeAutospacing="0" w:after="0" w:afterAutospacing="0"/>
              <w:ind w:left="0" w:right="0"/>
              <w:jc w:val="center"/>
              <w:rPr>
                <w:rFonts w:hint="default" w:ascii="宋体" w:hAnsi="宋体" w:cs="宋体"/>
                <w:color w:val="auto"/>
                <w:kern w:val="2"/>
                <w:sz w:val="21"/>
                <w:szCs w:val="21"/>
                <w:highlight w:val="none"/>
              </w:rPr>
            </w:pPr>
            <w:r>
              <w:rPr>
                <w:rFonts w:hint="eastAsia" w:ascii="宋体" w:hAnsi="宋体" w:cs="宋体"/>
                <w:color w:val="auto"/>
                <w:w w:val="99"/>
                <w:kern w:val="2"/>
                <w:sz w:val="21"/>
                <w:szCs w:val="21"/>
                <w:highlight w:val="none"/>
              </w:rPr>
              <w:t>冷水机组</w:t>
            </w:r>
          </w:p>
        </w:tc>
        <w:tc>
          <w:tcPr>
            <w:tcW w:w="4388" w:type="dxa"/>
            <w:tcBorders>
              <w:top w:val="single" w:color="000000" w:sz="4" w:space="0"/>
              <w:left w:val="single" w:color="000000" w:sz="4" w:space="0"/>
              <w:bottom w:val="single" w:color="000000" w:sz="4" w:space="0"/>
              <w:right w:val="single" w:color="000000" w:sz="4" w:space="0"/>
            </w:tcBorders>
          </w:tcPr>
          <w:p w14:paraId="2D091BED">
            <w:pPr>
              <w:pStyle w:val="88"/>
              <w:keepNext w:val="0"/>
              <w:keepLines w:val="0"/>
              <w:suppressLineNumbers w:val="0"/>
              <w:spacing w:before="131" w:beforeAutospacing="0" w:after="0" w:afterAutospacing="0" w:line="276" w:lineRule="auto"/>
              <w:ind w:left="7" w:right="4"/>
              <w:rPr>
                <w:rFonts w:hint="default" w:ascii="宋体" w:hAnsi="宋体" w:cs="宋体"/>
                <w:color w:val="auto"/>
                <w:spacing w:val="10"/>
                <w:kern w:val="2"/>
                <w:sz w:val="21"/>
                <w:szCs w:val="21"/>
                <w:highlight w:val="none"/>
                <w:lang w:eastAsia="zh-CN"/>
              </w:rPr>
            </w:pPr>
            <w:r>
              <w:rPr>
                <w:rFonts w:hint="eastAsia" w:ascii="宋体" w:hAnsi="宋体" w:cs="宋体"/>
                <w:color w:val="auto"/>
                <w:spacing w:val="10"/>
                <w:kern w:val="2"/>
                <w:sz w:val="21"/>
                <w:szCs w:val="21"/>
                <w:highlight w:val="none"/>
                <w:lang w:eastAsia="zh-CN"/>
              </w:rPr>
              <w:t>《冷水机组能效限定值及能效等级》（GB19577），《低环境温度空气源热泵（冷水）机组能效限定值及能效等级》（GB37480）</w:t>
            </w:r>
          </w:p>
        </w:tc>
      </w:tr>
      <w:tr w14:paraId="349889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0" w:type="auto"/>
            <w:vMerge w:val="continue"/>
            <w:tcBorders>
              <w:top w:val="single" w:color="000000" w:sz="4" w:space="0"/>
              <w:left w:val="single" w:color="000000" w:sz="4" w:space="0"/>
              <w:bottom w:val="single" w:color="000000" w:sz="4" w:space="0"/>
              <w:right w:val="single" w:color="000000" w:sz="4" w:space="0"/>
            </w:tcBorders>
            <w:vAlign w:val="center"/>
          </w:tcPr>
          <w:p w14:paraId="52CC3D97">
            <w:pPr>
              <w:keepNext w:val="0"/>
              <w:keepLines w:val="0"/>
              <w:widowControl/>
              <w:suppressLineNumbers w:val="0"/>
              <w:spacing w:before="0" w:beforeAutospacing="0" w:after="0" w:afterAutospacing="0"/>
              <w:ind w:left="0" w:right="0"/>
              <w:jc w:val="left"/>
              <w:rPr>
                <w:rFonts w:hint="default" w:ascii="宋体" w:hAnsi="宋体"/>
                <w:color w:val="auto"/>
                <w:szCs w:val="21"/>
                <w:highlight w:val="none"/>
              </w:rPr>
            </w:pPr>
          </w:p>
        </w:tc>
        <w:tc>
          <w:tcPr>
            <w:tcW w:w="0" w:type="auto"/>
            <w:vMerge w:val="continue"/>
            <w:tcBorders>
              <w:top w:val="single" w:color="000000" w:sz="4" w:space="0"/>
              <w:left w:val="single" w:color="000000" w:sz="4" w:space="0"/>
              <w:bottom w:val="single" w:color="000000" w:sz="4" w:space="0"/>
              <w:right w:val="single" w:color="000000" w:sz="4" w:space="0"/>
            </w:tcBorders>
            <w:vAlign w:val="center"/>
          </w:tcPr>
          <w:p w14:paraId="4A7D9CA6">
            <w:pPr>
              <w:keepNext w:val="0"/>
              <w:keepLines w:val="0"/>
              <w:widowControl/>
              <w:suppressLineNumbers w:val="0"/>
              <w:spacing w:before="0" w:beforeAutospacing="0" w:after="0" w:afterAutospacing="0"/>
              <w:ind w:left="0" w:right="0"/>
              <w:jc w:val="left"/>
              <w:rPr>
                <w:rFonts w:hint="default" w:ascii="宋体" w:hAnsi="宋体" w:cs="宋体"/>
                <w:color w:val="auto"/>
                <w:szCs w:val="21"/>
                <w:highlight w:val="none"/>
              </w:rPr>
            </w:pPr>
          </w:p>
        </w:tc>
        <w:tc>
          <w:tcPr>
            <w:tcW w:w="0" w:type="auto"/>
            <w:vMerge w:val="continue"/>
            <w:tcBorders>
              <w:top w:val="single" w:color="000000" w:sz="4" w:space="0"/>
              <w:left w:val="single" w:color="000000" w:sz="4" w:space="0"/>
              <w:bottom w:val="single" w:color="000000" w:sz="4" w:space="0"/>
              <w:right w:val="single" w:color="000000" w:sz="4" w:space="0"/>
            </w:tcBorders>
            <w:vAlign w:val="center"/>
          </w:tcPr>
          <w:p w14:paraId="68DC3B8A">
            <w:pPr>
              <w:keepNext w:val="0"/>
              <w:keepLines w:val="0"/>
              <w:widowControl/>
              <w:suppressLineNumbers w:val="0"/>
              <w:spacing w:before="0" w:beforeAutospacing="0" w:after="0" w:afterAutospacing="0"/>
              <w:ind w:left="0" w:right="0"/>
              <w:jc w:val="left"/>
              <w:rPr>
                <w:rFonts w:hint="default" w:ascii="宋体" w:hAnsi="宋体" w:cs="宋体"/>
                <w:color w:val="auto"/>
                <w:szCs w:val="21"/>
                <w:highlight w:val="none"/>
              </w:rPr>
            </w:pPr>
          </w:p>
        </w:tc>
        <w:tc>
          <w:tcPr>
            <w:tcW w:w="1481" w:type="dxa"/>
            <w:tcBorders>
              <w:top w:val="single" w:color="000000" w:sz="4" w:space="0"/>
              <w:left w:val="single" w:color="000000" w:sz="4" w:space="0"/>
              <w:bottom w:val="single" w:color="000000" w:sz="4" w:space="0"/>
              <w:right w:val="single" w:color="000000" w:sz="4" w:space="0"/>
            </w:tcBorders>
            <w:vAlign w:val="center"/>
          </w:tcPr>
          <w:p w14:paraId="1A0560D9">
            <w:pPr>
              <w:keepNext w:val="0"/>
              <w:keepLines w:val="0"/>
              <w:suppressLineNumbers w:val="0"/>
              <w:spacing w:before="0" w:beforeAutospacing="0" w:after="0" w:afterAutospacing="0"/>
              <w:ind w:left="0" w:right="0"/>
              <w:jc w:val="center"/>
              <w:rPr>
                <w:rFonts w:hint="default" w:ascii="宋体" w:hAnsi="宋体"/>
                <w:color w:val="auto"/>
                <w:szCs w:val="21"/>
                <w:highlight w:val="none"/>
              </w:rPr>
            </w:pPr>
            <w:r>
              <w:rPr>
                <w:rFonts w:hint="eastAsia" w:ascii="宋体" w:hAnsi="宋体"/>
                <w:color w:val="auto"/>
                <w:szCs w:val="21"/>
                <w:highlight w:val="none"/>
              </w:rPr>
              <w:t>溴化锂吸收式冷水机组</w:t>
            </w:r>
          </w:p>
        </w:tc>
        <w:tc>
          <w:tcPr>
            <w:tcW w:w="4388" w:type="dxa"/>
            <w:tcBorders>
              <w:top w:val="single" w:color="000000" w:sz="4" w:space="0"/>
              <w:left w:val="single" w:color="000000" w:sz="4" w:space="0"/>
              <w:bottom w:val="single" w:color="000000" w:sz="4" w:space="0"/>
              <w:right w:val="single" w:color="000000" w:sz="4" w:space="0"/>
            </w:tcBorders>
            <w:vAlign w:val="center"/>
          </w:tcPr>
          <w:p w14:paraId="7D96ADEF">
            <w:pPr>
              <w:pStyle w:val="88"/>
              <w:keepNext w:val="0"/>
              <w:keepLines w:val="0"/>
              <w:suppressLineNumbers w:val="0"/>
              <w:spacing w:before="131" w:beforeAutospacing="0" w:after="0" w:afterAutospacing="0" w:line="276" w:lineRule="auto"/>
              <w:ind w:left="7" w:right="4"/>
              <w:rPr>
                <w:rFonts w:hint="default" w:ascii="宋体" w:hAnsi="宋体" w:cs="宋体"/>
                <w:color w:val="auto"/>
                <w:spacing w:val="10"/>
                <w:kern w:val="2"/>
                <w:sz w:val="21"/>
                <w:szCs w:val="21"/>
                <w:highlight w:val="none"/>
                <w:lang w:eastAsia="zh-CN"/>
              </w:rPr>
            </w:pPr>
            <w:r>
              <w:rPr>
                <w:rFonts w:hint="eastAsia" w:ascii="宋体" w:hAnsi="宋体" w:cs="宋体"/>
                <w:color w:val="auto"/>
                <w:spacing w:val="10"/>
                <w:kern w:val="2"/>
                <w:sz w:val="21"/>
                <w:szCs w:val="21"/>
                <w:highlight w:val="none"/>
                <w:lang w:eastAsia="zh-CN"/>
              </w:rPr>
              <w:t>《溴化锂吸收式冷水机组能效限</w:t>
            </w:r>
          </w:p>
          <w:p w14:paraId="75B2BDCC">
            <w:pPr>
              <w:keepNext w:val="0"/>
              <w:keepLines w:val="0"/>
              <w:suppressLineNumbers w:val="0"/>
              <w:spacing w:before="131" w:beforeAutospacing="0" w:after="0" w:afterAutospacing="0" w:line="276" w:lineRule="auto"/>
              <w:ind w:left="0" w:right="4"/>
              <w:rPr>
                <w:rFonts w:hint="default" w:ascii="宋体" w:hAnsi="宋体" w:cs="宋体"/>
                <w:color w:val="auto"/>
                <w:spacing w:val="10"/>
                <w:szCs w:val="21"/>
                <w:highlight w:val="none"/>
              </w:rPr>
            </w:pPr>
            <w:r>
              <w:rPr>
                <w:rFonts w:hint="eastAsia" w:ascii="宋体" w:hAnsi="宋体" w:cs="宋体"/>
                <w:color w:val="auto"/>
                <w:spacing w:val="10"/>
                <w:szCs w:val="21"/>
                <w:highlight w:val="none"/>
              </w:rPr>
              <w:t>定值及能效等级》（GB29540）</w:t>
            </w:r>
          </w:p>
        </w:tc>
      </w:tr>
      <w:tr w14:paraId="7EFE67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0" w:type="auto"/>
            <w:vMerge w:val="continue"/>
            <w:tcBorders>
              <w:top w:val="single" w:color="000000" w:sz="4" w:space="0"/>
              <w:left w:val="single" w:color="000000" w:sz="4" w:space="0"/>
              <w:bottom w:val="single" w:color="000000" w:sz="4" w:space="0"/>
              <w:right w:val="single" w:color="000000" w:sz="4" w:space="0"/>
            </w:tcBorders>
            <w:vAlign w:val="center"/>
          </w:tcPr>
          <w:p w14:paraId="6E3F39B8">
            <w:pPr>
              <w:keepNext w:val="0"/>
              <w:keepLines w:val="0"/>
              <w:widowControl/>
              <w:suppressLineNumbers w:val="0"/>
              <w:spacing w:before="0" w:beforeAutospacing="0" w:after="0" w:afterAutospacing="0"/>
              <w:ind w:left="0" w:right="0"/>
              <w:jc w:val="left"/>
              <w:rPr>
                <w:rFonts w:hint="default" w:ascii="宋体" w:hAnsi="宋体"/>
                <w:color w:val="auto"/>
                <w:szCs w:val="21"/>
                <w:highlight w:val="none"/>
              </w:rPr>
            </w:pPr>
          </w:p>
        </w:tc>
        <w:tc>
          <w:tcPr>
            <w:tcW w:w="0" w:type="auto"/>
            <w:vMerge w:val="continue"/>
            <w:tcBorders>
              <w:top w:val="single" w:color="000000" w:sz="4" w:space="0"/>
              <w:left w:val="single" w:color="000000" w:sz="4" w:space="0"/>
              <w:bottom w:val="single" w:color="000000" w:sz="4" w:space="0"/>
              <w:right w:val="single" w:color="000000" w:sz="4" w:space="0"/>
            </w:tcBorders>
            <w:vAlign w:val="center"/>
          </w:tcPr>
          <w:p w14:paraId="77CE3348">
            <w:pPr>
              <w:keepNext w:val="0"/>
              <w:keepLines w:val="0"/>
              <w:widowControl/>
              <w:suppressLineNumbers w:val="0"/>
              <w:spacing w:before="0" w:beforeAutospacing="0" w:after="0" w:afterAutospacing="0"/>
              <w:ind w:left="0" w:right="0"/>
              <w:jc w:val="left"/>
              <w:rPr>
                <w:rFonts w:hint="default" w:ascii="宋体" w:hAnsi="宋体" w:cs="宋体"/>
                <w:color w:val="auto"/>
                <w:szCs w:val="21"/>
                <w:highlight w:val="none"/>
              </w:rPr>
            </w:pPr>
          </w:p>
        </w:tc>
        <w:tc>
          <w:tcPr>
            <w:tcW w:w="1496" w:type="dxa"/>
            <w:vMerge w:val="restart"/>
            <w:tcBorders>
              <w:top w:val="single" w:color="000000" w:sz="4" w:space="0"/>
              <w:left w:val="single" w:color="000000" w:sz="4" w:space="0"/>
              <w:bottom w:val="single" w:color="000000" w:sz="4" w:space="0"/>
              <w:right w:val="single" w:color="000000" w:sz="4" w:space="0"/>
            </w:tcBorders>
            <w:vAlign w:val="center"/>
          </w:tcPr>
          <w:p w14:paraId="59683D0B">
            <w:pPr>
              <w:pStyle w:val="88"/>
              <w:keepNext w:val="0"/>
              <w:keepLines w:val="0"/>
              <w:suppressLineNumbers w:val="0"/>
              <w:spacing w:before="0" w:beforeAutospacing="0" w:after="0" w:afterAutospacing="0" w:line="276" w:lineRule="auto"/>
              <w:ind w:left="0" w:right="5"/>
              <w:jc w:val="center"/>
              <w:rPr>
                <w:rFonts w:hint="default" w:ascii="宋体" w:hAnsi="宋体" w:cs="宋体"/>
                <w:color w:val="auto"/>
                <w:kern w:val="2"/>
                <w:sz w:val="21"/>
                <w:szCs w:val="21"/>
                <w:highlight w:val="none"/>
              </w:rPr>
            </w:pPr>
            <w:r>
              <w:rPr>
                <w:rFonts w:hint="eastAsia" w:ascii="宋体" w:hAnsi="宋体" w:cs="宋体"/>
                <w:color w:val="auto"/>
                <w:w w:val="99"/>
                <w:kern w:val="2"/>
                <w:sz w:val="21"/>
                <w:szCs w:val="21"/>
                <w:highlight w:val="none"/>
              </w:rPr>
              <w:t>★A02052305空调机组</w:t>
            </w:r>
          </w:p>
        </w:tc>
        <w:tc>
          <w:tcPr>
            <w:tcW w:w="1481" w:type="dxa"/>
            <w:tcBorders>
              <w:top w:val="single" w:color="000000" w:sz="4" w:space="0"/>
              <w:left w:val="single" w:color="000000" w:sz="4" w:space="0"/>
              <w:bottom w:val="single" w:color="000000" w:sz="4" w:space="0"/>
              <w:right w:val="single" w:color="000000" w:sz="4" w:space="0"/>
            </w:tcBorders>
            <w:vAlign w:val="center"/>
          </w:tcPr>
          <w:p w14:paraId="288E1AB5">
            <w:pPr>
              <w:pStyle w:val="88"/>
              <w:keepNext w:val="0"/>
              <w:keepLines w:val="0"/>
              <w:suppressLineNumbers w:val="0"/>
              <w:spacing w:before="4" w:beforeAutospacing="0" w:after="0" w:afterAutospacing="0" w:line="276" w:lineRule="auto"/>
              <w:ind w:left="7" w:right="7"/>
              <w:jc w:val="center"/>
              <w:rPr>
                <w:rFonts w:hint="default" w:ascii="宋体" w:hAnsi="宋体" w:cs="宋体"/>
                <w:color w:val="auto"/>
                <w:w w:val="99"/>
                <w:kern w:val="2"/>
                <w:sz w:val="21"/>
                <w:szCs w:val="21"/>
                <w:highlight w:val="none"/>
                <w:lang w:eastAsia="zh-CN"/>
              </w:rPr>
            </w:pPr>
            <w:r>
              <w:rPr>
                <w:rFonts w:hint="eastAsia" w:ascii="宋体" w:hAnsi="宋体" w:cs="宋体"/>
                <w:color w:val="auto"/>
                <w:w w:val="99"/>
                <w:kern w:val="2"/>
                <w:sz w:val="21"/>
                <w:szCs w:val="21"/>
                <w:highlight w:val="none"/>
                <w:lang w:eastAsia="zh-CN"/>
              </w:rPr>
              <w:t>多联式空调（热泵）机组（制冷量&gt;14000W）</w:t>
            </w:r>
          </w:p>
        </w:tc>
        <w:tc>
          <w:tcPr>
            <w:tcW w:w="4388" w:type="dxa"/>
            <w:tcBorders>
              <w:top w:val="single" w:color="000000" w:sz="4" w:space="0"/>
              <w:left w:val="single" w:color="000000" w:sz="4" w:space="0"/>
              <w:bottom w:val="single" w:color="000000" w:sz="4" w:space="0"/>
              <w:right w:val="single" w:color="000000" w:sz="4" w:space="0"/>
            </w:tcBorders>
          </w:tcPr>
          <w:p w14:paraId="3BD2FC09">
            <w:pPr>
              <w:pStyle w:val="88"/>
              <w:keepNext w:val="0"/>
              <w:keepLines w:val="0"/>
              <w:suppressLineNumbers w:val="0"/>
              <w:spacing w:before="131" w:beforeAutospacing="0" w:after="0" w:afterAutospacing="0" w:line="276" w:lineRule="auto"/>
              <w:ind w:left="7" w:right="4"/>
              <w:rPr>
                <w:rFonts w:hint="default" w:ascii="宋体" w:hAnsi="宋体" w:cs="宋体"/>
                <w:color w:val="auto"/>
                <w:spacing w:val="10"/>
                <w:kern w:val="2"/>
                <w:sz w:val="21"/>
                <w:szCs w:val="21"/>
                <w:highlight w:val="none"/>
                <w:lang w:eastAsia="zh-CN"/>
              </w:rPr>
            </w:pPr>
            <w:r>
              <w:rPr>
                <w:rFonts w:hint="eastAsia" w:ascii="宋体" w:hAnsi="宋体" w:cs="宋体"/>
                <w:color w:val="auto"/>
                <w:spacing w:val="10"/>
                <w:kern w:val="2"/>
                <w:sz w:val="21"/>
                <w:szCs w:val="21"/>
                <w:highlight w:val="none"/>
                <w:lang w:eastAsia="zh-CN"/>
              </w:rPr>
              <w:t>《多联式空调（热泵）机组能效限定值及能源效率等级》（GB21454）</w:t>
            </w:r>
          </w:p>
        </w:tc>
      </w:tr>
      <w:tr w14:paraId="2BD92B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0" w:type="auto"/>
            <w:vMerge w:val="continue"/>
            <w:tcBorders>
              <w:top w:val="single" w:color="000000" w:sz="4" w:space="0"/>
              <w:left w:val="single" w:color="000000" w:sz="4" w:space="0"/>
              <w:bottom w:val="single" w:color="000000" w:sz="4" w:space="0"/>
              <w:right w:val="single" w:color="000000" w:sz="4" w:space="0"/>
            </w:tcBorders>
            <w:vAlign w:val="center"/>
          </w:tcPr>
          <w:p w14:paraId="42E432C4">
            <w:pPr>
              <w:keepNext w:val="0"/>
              <w:keepLines w:val="0"/>
              <w:widowControl/>
              <w:suppressLineNumbers w:val="0"/>
              <w:spacing w:before="0" w:beforeAutospacing="0" w:after="0" w:afterAutospacing="0"/>
              <w:ind w:left="0" w:right="0"/>
              <w:jc w:val="left"/>
              <w:rPr>
                <w:rFonts w:hint="default" w:ascii="宋体" w:hAnsi="宋体"/>
                <w:color w:val="auto"/>
                <w:szCs w:val="21"/>
                <w:highlight w:val="none"/>
              </w:rPr>
            </w:pPr>
          </w:p>
        </w:tc>
        <w:tc>
          <w:tcPr>
            <w:tcW w:w="0" w:type="auto"/>
            <w:vMerge w:val="continue"/>
            <w:tcBorders>
              <w:top w:val="single" w:color="000000" w:sz="4" w:space="0"/>
              <w:left w:val="single" w:color="000000" w:sz="4" w:space="0"/>
              <w:bottom w:val="single" w:color="000000" w:sz="4" w:space="0"/>
              <w:right w:val="single" w:color="000000" w:sz="4" w:space="0"/>
            </w:tcBorders>
            <w:vAlign w:val="center"/>
          </w:tcPr>
          <w:p w14:paraId="71AEE596">
            <w:pPr>
              <w:keepNext w:val="0"/>
              <w:keepLines w:val="0"/>
              <w:widowControl/>
              <w:suppressLineNumbers w:val="0"/>
              <w:spacing w:before="0" w:beforeAutospacing="0" w:after="0" w:afterAutospacing="0"/>
              <w:ind w:left="0" w:right="0"/>
              <w:jc w:val="left"/>
              <w:rPr>
                <w:rFonts w:hint="default" w:ascii="宋体" w:hAnsi="宋体" w:cs="宋体"/>
                <w:color w:val="auto"/>
                <w:szCs w:val="21"/>
                <w:highlight w:val="none"/>
              </w:rPr>
            </w:pPr>
          </w:p>
        </w:tc>
        <w:tc>
          <w:tcPr>
            <w:tcW w:w="0" w:type="auto"/>
            <w:vMerge w:val="continue"/>
            <w:tcBorders>
              <w:top w:val="single" w:color="000000" w:sz="4" w:space="0"/>
              <w:left w:val="single" w:color="000000" w:sz="4" w:space="0"/>
              <w:bottom w:val="single" w:color="000000" w:sz="4" w:space="0"/>
              <w:right w:val="single" w:color="000000" w:sz="4" w:space="0"/>
            </w:tcBorders>
            <w:vAlign w:val="center"/>
          </w:tcPr>
          <w:p w14:paraId="1A9CB19E">
            <w:pPr>
              <w:keepNext w:val="0"/>
              <w:keepLines w:val="0"/>
              <w:widowControl/>
              <w:suppressLineNumbers w:val="0"/>
              <w:spacing w:before="0" w:beforeAutospacing="0" w:after="0" w:afterAutospacing="0"/>
              <w:ind w:left="0" w:right="0"/>
              <w:jc w:val="left"/>
              <w:rPr>
                <w:rFonts w:hint="default" w:ascii="宋体" w:hAnsi="宋体" w:cs="宋体"/>
                <w:color w:val="auto"/>
                <w:szCs w:val="21"/>
                <w:highlight w:val="none"/>
              </w:rPr>
            </w:pPr>
          </w:p>
        </w:tc>
        <w:tc>
          <w:tcPr>
            <w:tcW w:w="1481" w:type="dxa"/>
            <w:tcBorders>
              <w:top w:val="single" w:color="000000" w:sz="4" w:space="0"/>
              <w:left w:val="single" w:color="000000" w:sz="4" w:space="0"/>
              <w:bottom w:val="single" w:color="000000" w:sz="4" w:space="0"/>
              <w:right w:val="single" w:color="000000" w:sz="4" w:space="0"/>
            </w:tcBorders>
            <w:vAlign w:val="center"/>
          </w:tcPr>
          <w:p w14:paraId="506171F6">
            <w:pPr>
              <w:keepNext w:val="0"/>
              <w:keepLines w:val="0"/>
              <w:suppressLineNumbers w:val="0"/>
              <w:spacing w:before="0" w:beforeAutospacing="0" w:after="0" w:afterAutospacing="0"/>
              <w:ind w:left="0" w:right="0"/>
              <w:jc w:val="center"/>
              <w:rPr>
                <w:rFonts w:hint="default" w:ascii="宋体" w:hAnsi="宋体"/>
                <w:color w:val="auto"/>
                <w:szCs w:val="21"/>
                <w:highlight w:val="none"/>
              </w:rPr>
            </w:pPr>
            <w:r>
              <w:rPr>
                <w:rFonts w:hint="eastAsia" w:ascii="宋体" w:hAnsi="宋体" w:cs="宋体"/>
                <w:color w:val="auto"/>
                <w:w w:val="99"/>
                <w:szCs w:val="21"/>
                <w:highlight w:val="none"/>
              </w:rPr>
              <w:t>单元式空气调节机</w:t>
            </w:r>
          </w:p>
        </w:tc>
        <w:tc>
          <w:tcPr>
            <w:tcW w:w="4388" w:type="dxa"/>
            <w:tcBorders>
              <w:top w:val="single" w:color="000000" w:sz="4" w:space="0"/>
              <w:left w:val="single" w:color="000000" w:sz="4" w:space="0"/>
              <w:bottom w:val="single" w:color="000000" w:sz="4" w:space="0"/>
              <w:right w:val="single" w:color="000000" w:sz="4" w:space="0"/>
            </w:tcBorders>
          </w:tcPr>
          <w:p w14:paraId="74E054EC">
            <w:pPr>
              <w:pStyle w:val="88"/>
              <w:keepNext w:val="0"/>
              <w:keepLines w:val="0"/>
              <w:suppressLineNumbers w:val="0"/>
              <w:spacing w:before="131" w:beforeAutospacing="0" w:after="0" w:afterAutospacing="0" w:line="276" w:lineRule="auto"/>
              <w:ind w:left="7" w:right="4"/>
              <w:rPr>
                <w:rFonts w:hint="default" w:ascii="宋体" w:hAnsi="宋体" w:cs="宋体"/>
                <w:color w:val="auto"/>
                <w:spacing w:val="10"/>
                <w:kern w:val="2"/>
                <w:sz w:val="21"/>
                <w:szCs w:val="21"/>
                <w:highlight w:val="none"/>
                <w:lang w:eastAsia="zh-CN"/>
              </w:rPr>
            </w:pPr>
            <w:r>
              <w:rPr>
                <w:rFonts w:hint="eastAsia" w:ascii="宋体" w:hAnsi="宋体" w:cs="宋体"/>
                <w:color w:val="auto"/>
                <w:spacing w:val="10"/>
                <w:kern w:val="2"/>
                <w:sz w:val="21"/>
                <w:szCs w:val="21"/>
                <w:highlight w:val="none"/>
                <w:lang w:eastAsia="zh-CN"/>
              </w:rPr>
              <w:t>《单元式空气调节机能效限定值及能效等级》（GB19576）《风管送风式空调机组能效限定值及能效等级》（GB37479）</w:t>
            </w:r>
          </w:p>
        </w:tc>
      </w:tr>
      <w:tr w14:paraId="0A9963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0" w:type="auto"/>
            <w:vMerge w:val="continue"/>
            <w:tcBorders>
              <w:top w:val="single" w:color="000000" w:sz="4" w:space="0"/>
              <w:left w:val="single" w:color="000000" w:sz="4" w:space="0"/>
              <w:bottom w:val="single" w:color="000000" w:sz="4" w:space="0"/>
              <w:right w:val="single" w:color="000000" w:sz="4" w:space="0"/>
            </w:tcBorders>
            <w:vAlign w:val="center"/>
          </w:tcPr>
          <w:p w14:paraId="47DFA5C0">
            <w:pPr>
              <w:keepNext w:val="0"/>
              <w:keepLines w:val="0"/>
              <w:widowControl/>
              <w:suppressLineNumbers w:val="0"/>
              <w:spacing w:before="0" w:beforeAutospacing="0" w:after="0" w:afterAutospacing="0"/>
              <w:ind w:left="0" w:right="0"/>
              <w:jc w:val="left"/>
              <w:rPr>
                <w:rFonts w:hint="default" w:ascii="宋体" w:hAnsi="宋体"/>
                <w:color w:val="auto"/>
                <w:szCs w:val="21"/>
                <w:highlight w:val="none"/>
              </w:rPr>
            </w:pPr>
          </w:p>
        </w:tc>
        <w:tc>
          <w:tcPr>
            <w:tcW w:w="0" w:type="auto"/>
            <w:vMerge w:val="continue"/>
            <w:tcBorders>
              <w:top w:val="single" w:color="000000" w:sz="4" w:space="0"/>
              <w:left w:val="single" w:color="000000" w:sz="4" w:space="0"/>
              <w:bottom w:val="single" w:color="000000" w:sz="4" w:space="0"/>
              <w:right w:val="single" w:color="000000" w:sz="4" w:space="0"/>
            </w:tcBorders>
            <w:vAlign w:val="center"/>
          </w:tcPr>
          <w:p w14:paraId="1FAF62F4">
            <w:pPr>
              <w:keepNext w:val="0"/>
              <w:keepLines w:val="0"/>
              <w:widowControl/>
              <w:suppressLineNumbers w:val="0"/>
              <w:spacing w:before="0" w:beforeAutospacing="0" w:after="0" w:afterAutospacing="0"/>
              <w:ind w:left="0" w:right="0"/>
              <w:jc w:val="left"/>
              <w:rPr>
                <w:rFonts w:hint="default" w:ascii="宋体" w:hAnsi="宋体" w:cs="宋体"/>
                <w:color w:val="auto"/>
                <w:szCs w:val="21"/>
                <w:highlight w:val="none"/>
              </w:rPr>
            </w:pPr>
          </w:p>
        </w:tc>
        <w:tc>
          <w:tcPr>
            <w:tcW w:w="1496" w:type="dxa"/>
            <w:tcBorders>
              <w:top w:val="single" w:color="000000" w:sz="4" w:space="0"/>
              <w:left w:val="single" w:color="000000" w:sz="4" w:space="0"/>
              <w:bottom w:val="single" w:color="000000" w:sz="4" w:space="0"/>
              <w:right w:val="single" w:color="000000" w:sz="4" w:space="0"/>
            </w:tcBorders>
            <w:vAlign w:val="center"/>
          </w:tcPr>
          <w:p w14:paraId="5A1C9CD9">
            <w:pPr>
              <w:pStyle w:val="88"/>
              <w:keepNext w:val="0"/>
              <w:keepLines w:val="0"/>
              <w:suppressLineNumbers w:val="0"/>
              <w:spacing w:before="83" w:beforeAutospacing="0" w:after="0" w:afterAutospacing="0"/>
              <w:ind w:left="7" w:right="0"/>
              <w:jc w:val="center"/>
              <w:rPr>
                <w:rFonts w:hint="default" w:ascii="宋体" w:hAnsi="宋体" w:cs="宋体"/>
                <w:color w:val="auto"/>
                <w:w w:val="99"/>
                <w:kern w:val="2"/>
                <w:sz w:val="21"/>
                <w:szCs w:val="21"/>
                <w:highlight w:val="none"/>
                <w:lang w:eastAsia="zh-CN"/>
              </w:rPr>
            </w:pPr>
            <w:r>
              <w:rPr>
                <w:rFonts w:hint="eastAsia" w:ascii="宋体" w:hAnsi="宋体" w:cs="宋体"/>
                <w:color w:val="auto"/>
                <w:w w:val="99"/>
                <w:kern w:val="2"/>
                <w:sz w:val="21"/>
                <w:szCs w:val="21"/>
                <w:highlight w:val="none"/>
                <w:lang w:eastAsia="zh-CN"/>
              </w:rPr>
              <w:t>★A02052309专用制冷、空调设备</w:t>
            </w:r>
          </w:p>
        </w:tc>
        <w:tc>
          <w:tcPr>
            <w:tcW w:w="1481" w:type="dxa"/>
            <w:tcBorders>
              <w:top w:val="single" w:color="000000" w:sz="4" w:space="0"/>
              <w:left w:val="single" w:color="000000" w:sz="4" w:space="0"/>
              <w:bottom w:val="single" w:color="000000" w:sz="4" w:space="0"/>
              <w:right w:val="single" w:color="000000" w:sz="4" w:space="0"/>
            </w:tcBorders>
            <w:vAlign w:val="center"/>
          </w:tcPr>
          <w:p w14:paraId="2201526D">
            <w:pPr>
              <w:pStyle w:val="88"/>
              <w:keepNext w:val="0"/>
              <w:keepLines w:val="0"/>
              <w:suppressLineNumbers w:val="0"/>
              <w:spacing w:before="0" w:beforeAutospacing="0" w:after="0" w:afterAutospacing="0"/>
              <w:ind w:left="0" w:right="0"/>
              <w:jc w:val="center"/>
              <w:rPr>
                <w:rFonts w:hint="default" w:ascii="宋体" w:hAnsi="宋体" w:cs="宋体"/>
                <w:color w:val="auto"/>
                <w:kern w:val="2"/>
                <w:sz w:val="21"/>
                <w:szCs w:val="21"/>
                <w:highlight w:val="none"/>
              </w:rPr>
            </w:pPr>
            <w:r>
              <w:rPr>
                <w:rFonts w:hint="eastAsia" w:ascii="宋体" w:hAnsi="宋体" w:cs="宋体"/>
                <w:color w:val="auto"/>
                <w:w w:val="99"/>
                <w:kern w:val="2"/>
                <w:sz w:val="21"/>
                <w:szCs w:val="21"/>
                <w:highlight w:val="none"/>
              </w:rPr>
              <w:t>机房空调</w:t>
            </w:r>
          </w:p>
        </w:tc>
        <w:tc>
          <w:tcPr>
            <w:tcW w:w="4388" w:type="dxa"/>
            <w:tcBorders>
              <w:top w:val="single" w:color="000000" w:sz="4" w:space="0"/>
              <w:left w:val="single" w:color="000000" w:sz="4" w:space="0"/>
              <w:bottom w:val="single" w:color="000000" w:sz="4" w:space="0"/>
              <w:right w:val="single" w:color="000000" w:sz="4" w:space="0"/>
            </w:tcBorders>
          </w:tcPr>
          <w:p w14:paraId="62533FD4">
            <w:pPr>
              <w:pStyle w:val="88"/>
              <w:keepNext w:val="0"/>
              <w:keepLines w:val="0"/>
              <w:suppressLineNumbers w:val="0"/>
              <w:spacing w:before="131" w:beforeAutospacing="0" w:after="0" w:afterAutospacing="0" w:line="276" w:lineRule="auto"/>
              <w:ind w:left="7" w:right="4"/>
              <w:rPr>
                <w:rFonts w:hint="default" w:ascii="宋体" w:hAnsi="宋体" w:cs="宋体"/>
                <w:color w:val="auto"/>
                <w:spacing w:val="10"/>
                <w:kern w:val="2"/>
                <w:sz w:val="21"/>
                <w:szCs w:val="21"/>
                <w:highlight w:val="none"/>
                <w:lang w:eastAsia="zh-CN"/>
              </w:rPr>
            </w:pPr>
            <w:r>
              <w:rPr>
                <w:rFonts w:hint="eastAsia" w:ascii="宋体" w:hAnsi="宋体" w:cs="宋体"/>
                <w:color w:val="auto"/>
                <w:spacing w:val="10"/>
                <w:kern w:val="2"/>
                <w:sz w:val="21"/>
                <w:szCs w:val="21"/>
                <w:highlight w:val="none"/>
                <w:lang w:eastAsia="zh-CN"/>
              </w:rPr>
              <w:t>《单元式空气调节机能效限定值</w:t>
            </w:r>
          </w:p>
          <w:p w14:paraId="0C12219D">
            <w:pPr>
              <w:pStyle w:val="88"/>
              <w:keepNext w:val="0"/>
              <w:keepLines w:val="0"/>
              <w:suppressLineNumbers w:val="0"/>
              <w:spacing w:before="131" w:beforeAutospacing="0" w:after="0" w:afterAutospacing="0" w:line="276" w:lineRule="auto"/>
              <w:ind w:left="7" w:right="4"/>
              <w:rPr>
                <w:rFonts w:hint="default" w:ascii="宋体" w:hAnsi="宋体" w:cs="宋体"/>
                <w:color w:val="auto"/>
                <w:spacing w:val="10"/>
                <w:kern w:val="2"/>
                <w:sz w:val="21"/>
                <w:szCs w:val="21"/>
                <w:highlight w:val="none"/>
                <w:lang w:eastAsia="zh-CN"/>
              </w:rPr>
            </w:pPr>
            <w:r>
              <w:rPr>
                <w:rFonts w:hint="eastAsia" w:ascii="宋体" w:hAnsi="宋体" w:cs="宋体"/>
                <w:color w:val="auto"/>
                <w:spacing w:val="10"/>
                <w:kern w:val="2"/>
                <w:sz w:val="21"/>
                <w:szCs w:val="21"/>
                <w:highlight w:val="none"/>
                <w:lang w:eastAsia="zh-CN"/>
              </w:rPr>
              <w:t>及能效等级》（GB19576）</w:t>
            </w:r>
          </w:p>
        </w:tc>
      </w:tr>
      <w:tr w14:paraId="305D36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0" w:type="auto"/>
            <w:vMerge w:val="continue"/>
            <w:tcBorders>
              <w:top w:val="single" w:color="000000" w:sz="4" w:space="0"/>
              <w:left w:val="single" w:color="000000" w:sz="4" w:space="0"/>
              <w:bottom w:val="single" w:color="000000" w:sz="4" w:space="0"/>
              <w:right w:val="single" w:color="000000" w:sz="4" w:space="0"/>
            </w:tcBorders>
            <w:vAlign w:val="center"/>
          </w:tcPr>
          <w:p w14:paraId="70EA55E2">
            <w:pPr>
              <w:keepNext w:val="0"/>
              <w:keepLines w:val="0"/>
              <w:widowControl/>
              <w:suppressLineNumbers w:val="0"/>
              <w:spacing w:before="0" w:beforeAutospacing="0" w:after="0" w:afterAutospacing="0"/>
              <w:ind w:left="0" w:right="0"/>
              <w:jc w:val="left"/>
              <w:rPr>
                <w:rFonts w:hint="default" w:ascii="宋体" w:hAnsi="宋体"/>
                <w:color w:val="auto"/>
                <w:szCs w:val="21"/>
                <w:highlight w:val="none"/>
              </w:rPr>
            </w:pPr>
          </w:p>
        </w:tc>
        <w:tc>
          <w:tcPr>
            <w:tcW w:w="0" w:type="auto"/>
            <w:vMerge w:val="continue"/>
            <w:tcBorders>
              <w:top w:val="single" w:color="000000" w:sz="4" w:space="0"/>
              <w:left w:val="single" w:color="000000" w:sz="4" w:space="0"/>
              <w:bottom w:val="single" w:color="000000" w:sz="4" w:space="0"/>
              <w:right w:val="single" w:color="000000" w:sz="4" w:space="0"/>
            </w:tcBorders>
            <w:vAlign w:val="center"/>
          </w:tcPr>
          <w:p w14:paraId="1043C9D5">
            <w:pPr>
              <w:keepNext w:val="0"/>
              <w:keepLines w:val="0"/>
              <w:widowControl/>
              <w:suppressLineNumbers w:val="0"/>
              <w:spacing w:before="0" w:beforeAutospacing="0" w:after="0" w:afterAutospacing="0"/>
              <w:ind w:left="0" w:right="0"/>
              <w:jc w:val="left"/>
              <w:rPr>
                <w:rFonts w:hint="default" w:ascii="宋体" w:hAnsi="宋体" w:cs="宋体"/>
                <w:color w:val="auto"/>
                <w:szCs w:val="21"/>
                <w:highlight w:val="none"/>
              </w:rPr>
            </w:pPr>
          </w:p>
        </w:tc>
        <w:tc>
          <w:tcPr>
            <w:tcW w:w="1496" w:type="dxa"/>
            <w:tcBorders>
              <w:top w:val="single" w:color="000000" w:sz="4" w:space="0"/>
              <w:left w:val="single" w:color="000000" w:sz="4" w:space="0"/>
              <w:bottom w:val="single" w:color="000000" w:sz="4" w:space="0"/>
              <w:right w:val="single" w:color="000000" w:sz="4" w:space="0"/>
            </w:tcBorders>
            <w:vAlign w:val="center"/>
          </w:tcPr>
          <w:p w14:paraId="23D523B8">
            <w:pPr>
              <w:pStyle w:val="88"/>
              <w:keepNext w:val="0"/>
              <w:keepLines w:val="0"/>
              <w:suppressLineNumbers w:val="0"/>
              <w:spacing w:before="0" w:beforeAutospacing="0" w:after="0" w:afterAutospacing="0" w:line="254" w:lineRule="exact"/>
              <w:ind w:left="7" w:right="0"/>
              <w:jc w:val="center"/>
              <w:rPr>
                <w:rFonts w:hint="default" w:ascii="宋体" w:hAnsi="宋体" w:cs="宋体"/>
                <w:color w:val="auto"/>
                <w:w w:val="99"/>
                <w:kern w:val="2"/>
                <w:sz w:val="21"/>
                <w:szCs w:val="21"/>
                <w:highlight w:val="none"/>
              </w:rPr>
            </w:pPr>
            <w:r>
              <w:rPr>
                <w:rFonts w:hint="eastAsia" w:ascii="宋体" w:hAnsi="宋体" w:cs="宋体"/>
                <w:color w:val="auto"/>
                <w:w w:val="99"/>
                <w:kern w:val="2"/>
                <w:sz w:val="21"/>
                <w:szCs w:val="21"/>
                <w:highlight w:val="none"/>
              </w:rPr>
              <w:t>A02052399其他制冷</w:t>
            </w:r>
          </w:p>
          <w:p w14:paraId="2C9DE603">
            <w:pPr>
              <w:pStyle w:val="88"/>
              <w:keepNext w:val="0"/>
              <w:keepLines w:val="0"/>
              <w:suppressLineNumbers w:val="0"/>
              <w:spacing w:before="0" w:beforeAutospacing="0" w:after="0" w:afterAutospacing="0" w:line="254" w:lineRule="exact"/>
              <w:ind w:left="7" w:right="0"/>
              <w:jc w:val="center"/>
              <w:rPr>
                <w:rFonts w:hint="default" w:ascii="宋体" w:hAnsi="宋体" w:cs="宋体"/>
                <w:color w:val="auto"/>
                <w:kern w:val="2"/>
                <w:sz w:val="21"/>
                <w:szCs w:val="21"/>
                <w:highlight w:val="none"/>
              </w:rPr>
            </w:pPr>
            <w:r>
              <w:rPr>
                <w:rFonts w:hint="eastAsia" w:ascii="宋体" w:hAnsi="宋体" w:cs="宋体"/>
                <w:color w:val="auto"/>
                <w:w w:val="99"/>
                <w:kern w:val="2"/>
                <w:sz w:val="21"/>
                <w:szCs w:val="21"/>
                <w:highlight w:val="none"/>
              </w:rPr>
              <w:t>空调设备</w:t>
            </w:r>
          </w:p>
        </w:tc>
        <w:tc>
          <w:tcPr>
            <w:tcW w:w="1481" w:type="dxa"/>
            <w:tcBorders>
              <w:top w:val="single" w:color="000000" w:sz="4" w:space="0"/>
              <w:left w:val="single" w:color="000000" w:sz="4" w:space="0"/>
              <w:bottom w:val="single" w:color="000000" w:sz="4" w:space="0"/>
              <w:right w:val="single" w:color="000000" w:sz="4" w:space="0"/>
            </w:tcBorders>
            <w:vAlign w:val="center"/>
          </w:tcPr>
          <w:p w14:paraId="2702924E">
            <w:pPr>
              <w:keepNext w:val="0"/>
              <w:keepLines w:val="0"/>
              <w:widowControl/>
              <w:suppressLineNumbers w:val="0"/>
              <w:spacing w:before="0" w:beforeAutospacing="0" w:after="0" w:afterAutospacing="0"/>
              <w:ind w:left="0" w:right="0"/>
              <w:jc w:val="center"/>
              <w:rPr>
                <w:rFonts w:hint="default" w:ascii="宋体" w:hAnsi="宋体" w:cs="宋体"/>
                <w:color w:val="auto"/>
                <w:szCs w:val="21"/>
                <w:highlight w:val="none"/>
                <w:lang w:eastAsia="en-US"/>
              </w:rPr>
            </w:pPr>
            <w:r>
              <w:rPr>
                <w:rFonts w:hint="eastAsia" w:ascii="宋体" w:hAnsi="宋体" w:cs="宋体"/>
                <w:color w:val="auto"/>
                <w:w w:val="99"/>
                <w:szCs w:val="21"/>
                <w:highlight w:val="none"/>
              </w:rPr>
              <w:t>冷却塔</w:t>
            </w:r>
          </w:p>
        </w:tc>
        <w:tc>
          <w:tcPr>
            <w:tcW w:w="4388" w:type="dxa"/>
            <w:tcBorders>
              <w:top w:val="single" w:color="000000" w:sz="4" w:space="0"/>
              <w:left w:val="single" w:color="000000" w:sz="4" w:space="0"/>
              <w:bottom w:val="single" w:color="000000" w:sz="4" w:space="0"/>
              <w:right w:val="single" w:color="000000" w:sz="4" w:space="0"/>
            </w:tcBorders>
          </w:tcPr>
          <w:p w14:paraId="051441DF">
            <w:pPr>
              <w:pStyle w:val="88"/>
              <w:keepNext w:val="0"/>
              <w:keepLines w:val="0"/>
              <w:suppressLineNumbers w:val="0"/>
              <w:spacing w:before="131" w:beforeAutospacing="0" w:after="0" w:afterAutospacing="0" w:line="276" w:lineRule="auto"/>
              <w:ind w:left="7" w:right="4"/>
              <w:rPr>
                <w:rFonts w:hint="default" w:ascii="宋体" w:hAnsi="宋体" w:cs="宋体"/>
                <w:color w:val="auto"/>
                <w:spacing w:val="10"/>
                <w:kern w:val="2"/>
                <w:sz w:val="21"/>
                <w:szCs w:val="21"/>
                <w:highlight w:val="none"/>
                <w:lang w:eastAsia="zh-CN"/>
              </w:rPr>
            </w:pPr>
            <w:r>
              <w:rPr>
                <w:rFonts w:hint="eastAsia" w:ascii="宋体" w:hAnsi="宋体" w:cs="宋体"/>
                <w:color w:val="auto"/>
                <w:spacing w:val="10"/>
                <w:kern w:val="2"/>
                <w:sz w:val="21"/>
                <w:szCs w:val="21"/>
                <w:highlight w:val="none"/>
                <w:lang w:eastAsia="zh-CN"/>
              </w:rPr>
              <w:t>《机械通风冷却塔第1部分：中小型开式冷却塔》（GB/T7190.1）</w:t>
            </w:r>
          </w:p>
          <w:p w14:paraId="4261A969">
            <w:pPr>
              <w:pStyle w:val="88"/>
              <w:keepNext w:val="0"/>
              <w:keepLines w:val="0"/>
              <w:suppressLineNumbers w:val="0"/>
              <w:spacing w:before="131" w:beforeAutospacing="0" w:after="0" w:afterAutospacing="0" w:line="276" w:lineRule="auto"/>
              <w:ind w:left="7" w:right="4"/>
              <w:rPr>
                <w:rFonts w:hint="default" w:ascii="宋体" w:hAnsi="宋体" w:cs="宋体"/>
                <w:color w:val="auto"/>
                <w:spacing w:val="10"/>
                <w:kern w:val="2"/>
                <w:sz w:val="21"/>
                <w:szCs w:val="21"/>
                <w:highlight w:val="none"/>
                <w:lang w:eastAsia="zh-CN"/>
              </w:rPr>
            </w:pPr>
            <w:r>
              <w:rPr>
                <w:rFonts w:hint="eastAsia" w:ascii="宋体" w:hAnsi="宋体" w:cs="宋体"/>
                <w:color w:val="auto"/>
                <w:spacing w:val="10"/>
                <w:kern w:val="2"/>
                <w:sz w:val="21"/>
                <w:szCs w:val="21"/>
                <w:highlight w:val="none"/>
                <w:lang w:eastAsia="zh-CN"/>
              </w:rPr>
              <w:t>《机械通风冷却塔第2部分：大型开式冷却塔》（GB/T7190.2）</w:t>
            </w:r>
          </w:p>
        </w:tc>
      </w:tr>
      <w:tr w14:paraId="75A92D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71" w:type="dxa"/>
            <w:tcBorders>
              <w:top w:val="single" w:color="000000" w:sz="4" w:space="0"/>
              <w:left w:val="single" w:color="000000" w:sz="4" w:space="0"/>
              <w:bottom w:val="single" w:color="000000" w:sz="4" w:space="0"/>
              <w:right w:val="single" w:color="000000" w:sz="4" w:space="0"/>
            </w:tcBorders>
            <w:vAlign w:val="center"/>
          </w:tcPr>
          <w:p w14:paraId="032A120F">
            <w:pPr>
              <w:pStyle w:val="88"/>
              <w:keepNext w:val="0"/>
              <w:keepLines w:val="0"/>
              <w:suppressLineNumbers w:val="0"/>
              <w:spacing w:before="0" w:beforeAutospacing="0" w:after="0" w:afterAutospacing="0"/>
              <w:ind w:left="0" w:right="1"/>
              <w:jc w:val="center"/>
              <w:rPr>
                <w:rFonts w:hint="default" w:ascii="宋体" w:hAnsi="宋体" w:cs="宋体"/>
                <w:color w:val="auto"/>
                <w:kern w:val="2"/>
                <w:sz w:val="21"/>
                <w:szCs w:val="21"/>
                <w:highlight w:val="none"/>
              </w:rPr>
            </w:pPr>
            <w:r>
              <w:rPr>
                <w:rFonts w:hint="eastAsia" w:ascii="宋体" w:hAnsi="宋体"/>
                <w:color w:val="auto"/>
                <w:w w:val="99"/>
                <w:kern w:val="2"/>
                <w:sz w:val="21"/>
                <w:szCs w:val="21"/>
                <w:highlight w:val="none"/>
              </w:rPr>
              <w:t>7</w:t>
            </w:r>
          </w:p>
        </w:tc>
        <w:tc>
          <w:tcPr>
            <w:tcW w:w="1422" w:type="dxa"/>
            <w:tcBorders>
              <w:top w:val="single" w:color="000000" w:sz="4" w:space="0"/>
              <w:left w:val="single" w:color="000000" w:sz="4" w:space="0"/>
              <w:bottom w:val="single" w:color="000000" w:sz="4" w:space="0"/>
              <w:right w:val="single" w:color="000000" w:sz="4" w:space="0"/>
            </w:tcBorders>
            <w:vAlign w:val="center"/>
          </w:tcPr>
          <w:p w14:paraId="1120708C">
            <w:pPr>
              <w:pStyle w:val="88"/>
              <w:keepNext w:val="0"/>
              <w:keepLines w:val="0"/>
              <w:suppressLineNumbers w:val="0"/>
              <w:spacing w:before="0" w:beforeAutospacing="0" w:after="0" w:afterAutospacing="0"/>
              <w:ind w:left="0" w:right="0"/>
              <w:jc w:val="center"/>
              <w:rPr>
                <w:rFonts w:hint="default" w:ascii="宋体" w:hAnsi="宋体" w:cs="宋体"/>
                <w:color w:val="auto"/>
                <w:kern w:val="2"/>
                <w:sz w:val="21"/>
                <w:szCs w:val="21"/>
                <w:highlight w:val="none"/>
              </w:rPr>
            </w:pPr>
            <w:r>
              <w:rPr>
                <w:rFonts w:hint="eastAsia" w:ascii="宋体" w:hAnsi="宋体" w:cs="方正仿宋_GB2312"/>
                <w:color w:val="auto"/>
                <w:kern w:val="2"/>
                <w:sz w:val="21"/>
                <w:szCs w:val="21"/>
                <w:highlight w:val="none"/>
              </w:rPr>
              <w:t>A02060100</w:t>
            </w:r>
            <w:r>
              <w:rPr>
                <w:rFonts w:hint="eastAsia" w:ascii="宋体" w:hAnsi="宋体" w:cs="宋体"/>
                <w:color w:val="auto"/>
                <w:w w:val="99"/>
                <w:kern w:val="2"/>
                <w:sz w:val="21"/>
                <w:szCs w:val="21"/>
                <w:highlight w:val="none"/>
              </w:rPr>
              <w:t>电机</w:t>
            </w:r>
          </w:p>
        </w:tc>
        <w:tc>
          <w:tcPr>
            <w:tcW w:w="1496" w:type="dxa"/>
            <w:tcBorders>
              <w:top w:val="single" w:color="000000" w:sz="4" w:space="0"/>
              <w:left w:val="single" w:color="000000" w:sz="4" w:space="0"/>
              <w:bottom w:val="single" w:color="000000" w:sz="4" w:space="0"/>
              <w:right w:val="single" w:color="000000" w:sz="4" w:space="0"/>
            </w:tcBorders>
            <w:vAlign w:val="center"/>
          </w:tcPr>
          <w:p w14:paraId="265C9E15">
            <w:pPr>
              <w:keepNext w:val="0"/>
              <w:keepLines w:val="0"/>
              <w:suppressLineNumbers w:val="0"/>
              <w:spacing w:before="0" w:beforeAutospacing="0" w:after="0" w:afterAutospacing="0"/>
              <w:ind w:left="0" w:right="0"/>
              <w:jc w:val="center"/>
              <w:rPr>
                <w:rFonts w:hint="default" w:ascii="宋体" w:hAnsi="宋体"/>
                <w:color w:val="auto"/>
                <w:szCs w:val="21"/>
                <w:highlight w:val="none"/>
              </w:rPr>
            </w:pPr>
          </w:p>
        </w:tc>
        <w:tc>
          <w:tcPr>
            <w:tcW w:w="1481" w:type="dxa"/>
            <w:tcBorders>
              <w:top w:val="single" w:color="000000" w:sz="4" w:space="0"/>
              <w:left w:val="single" w:color="000000" w:sz="4" w:space="0"/>
              <w:bottom w:val="single" w:color="000000" w:sz="4" w:space="0"/>
              <w:right w:val="single" w:color="000000" w:sz="4" w:space="0"/>
            </w:tcBorders>
            <w:vAlign w:val="center"/>
          </w:tcPr>
          <w:p w14:paraId="13ED353F">
            <w:pPr>
              <w:keepNext w:val="0"/>
              <w:keepLines w:val="0"/>
              <w:suppressLineNumbers w:val="0"/>
              <w:spacing w:before="0" w:beforeAutospacing="0" w:after="0" w:afterAutospacing="0"/>
              <w:ind w:left="0" w:right="0"/>
              <w:jc w:val="center"/>
              <w:rPr>
                <w:rFonts w:hint="default" w:ascii="宋体" w:hAnsi="宋体"/>
                <w:color w:val="auto"/>
                <w:szCs w:val="21"/>
                <w:highlight w:val="none"/>
              </w:rPr>
            </w:pPr>
          </w:p>
        </w:tc>
        <w:tc>
          <w:tcPr>
            <w:tcW w:w="4388" w:type="dxa"/>
            <w:tcBorders>
              <w:top w:val="single" w:color="000000" w:sz="4" w:space="0"/>
              <w:left w:val="single" w:color="000000" w:sz="4" w:space="0"/>
              <w:bottom w:val="single" w:color="000000" w:sz="4" w:space="0"/>
              <w:right w:val="single" w:color="000000" w:sz="4" w:space="0"/>
            </w:tcBorders>
          </w:tcPr>
          <w:p w14:paraId="4788E69D">
            <w:pPr>
              <w:pStyle w:val="88"/>
              <w:keepNext w:val="0"/>
              <w:keepLines w:val="0"/>
              <w:suppressLineNumbers w:val="0"/>
              <w:spacing w:before="131" w:beforeAutospacing="0" w:after="0" w:afterAutospacing="0" w:line="276" w:lineRule="auto"/>
              <w:ind w:left="7" w:right="4"/>
              <w:rPr>
                <w:rFonts w:hint="default" w:ascii="宋体" w:hAnsi="宋体" w:cs="宋体"/>
                <w:color w:val="auto"/>
                <w:spacing w:val="10"/>
                <w:kern w:val="2"/>
                <w:sz w:val="21"/>
                <w:szCs w:val="21"/>
                <w:highlight w:val="none"/>
                <w:lang w:eastAsia="zh-CN"/>
              </w:rPr>
            </w:pPr>
            <w:r>
              <w:rPr>
                <w:rFonts w:hint="eastAsia" w:ascii="宋体" w:hAnsi="宋体" w:cs="宋体"/>
                <w:color w:val="auto"/>
                <w:spacing w:val="10"/>
                <w:kern w:val="2"/>
                <w:sz w:val="21"/>
                <w:szCs w:val="21"/>
                <w:highlight w:val="none"/>
                <w:lang w:eastAsia="zh-CN"/>
              </w:rPr>
              <w:t>《中小型三相异步电动机能效限定值及能效等级》（GB18613）</w:t>
            </w:r>
          </w:p>
        </w:tc>
      </w:tr>
      <w:tr w14:paraId="70DB97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71" w:type="dxa"/>
            <w:tcBorders>
              <w:top w:val="single" w:color="000000" w:sz="4" w:space="0"/>
              <w:left w:val="single" w:color="000000" w:sz="4" w:space="0"/>
              <w:bottom w:val="single" w:color="000000" w:sz="4" w:space="0"/>
              <w:right w:val="single" w:color="000000" w:sz="4" w:space="0"/>
            </w:tcBorders>
            <w:vAlign w:val="center"/>
          </w:tcPr>
          <w:p w14:paraId="759E0EC7">
            <w:pPr>
              <w:pStyle w:val="88"/>
              <w:keepNext w:val="0"/>
              <w:keepLines w:val="0"/>
              <w:suppressLineNumbers w:val="0"/>
              <w:spacing w:before="0" w:beforeAutospacing="0" w:after="0" w:afterAutospacing="0"/>
              <w:ind w:left="0" w:right="1"/>
              <w:jc w:val="center"/>
              <w:rPr>
                <w:rFonts w:hint="default" w:ascii="宋体" w:hAnsi="宋体" w:cs="宋体"/>
                <w:color w:val="auto"/>
                <w:kern w:val="2"/>
                <w:sz w:val="21"/>
                <w:szCs w:val="21"/>
                <w:highlight w:val="none"/>
              </w:rPr>
            </w:pPr>
            <w:r>
              <w:rPr>
                <w:rFonts w:hint="eastAsia" w:ascii="宋体" w:hAnsi="宋体"/>
                <w:color w:val="auto"/>
                <w:w w:val="99"/>
                <w:kern w:val="2"/>
                <w:sz w:val="21"/>
                <w:szCs w:val="21"/>
                <w:highlight w:val="none"/>
              </w:rPr>
              <w:t>8</w:t>
            </w:r>
          </w:p>
        </w:tc>
        <w:tc>
          <w:tcPr>
            <w:tcW w:w="1422" w:type="dxa"/>
            <w:tcBorders>
              <w:top w:val="single" w:color="000000" w:sz="4" w:space="0"/>
              <w:left w:val="single" w:color="000000" w:sz="4" w:space="0"/>
              <w:bottom w:val="single" w:color="000000" w:sz="4" w:space="0"/>
              <w:right w:val="single" w:color="000000" w:sz="4" w:space="0"/>
            </w:tcBorders>
            <w:vAlign w:val="center"/>
          </w:tcPr>
          <w:p w14:paraId="70D4FC6A">
            <w:pPr>
              <w:pStyle w:val="88"/>
              <w:keepNext w:val="0"/>
              <w:keepLines w:val="0"/>
              <w:suppressLineNumbers w:val="0"/>
              <w:spacing w:before="30" w:beforeAutospacing="0" w:after="0" w:afterAutospacing="0"/>
              <w:ind w:left="7" w:right="0"/>
              <w:jc w:val="center"/>
              <w:rPr>
                <w:rFonts w:hint="default" w:ascii="宋体" w:hAnsi="宋体" w:cs="宋体"/>
                <w:color w:val="auto"/>
                <w:kern w:val="2"/>
                <w:sz w:val="21"/>
                <w:szCs w:val="21"/>
                <w:highlight w:val="none"/>
              </w:rPr>
            </w:pPr>
            <w:r>
              <w:rPr>
                <w:rFonts w:hint="eastAsia" w:ascii="宋体" w:hAnsi="宋体" w:cs="方正仿宋_GB2312"/>
                <w:color w:val="auto"/>
                <w:kern w:val="2"/>
                <w:sz w:val="21"/>
                <w:szCs w:val="21"/>
                <w:highlight w:val="none"/>
              </w:rPr>
              <w:t>A02060200</w:t>
            </w:r>
            <w:r>
              <w:rPr>
                <w:rFonts w:hint="eastAsia" w:ascii="宋体" w:hAnsi="宋体" w:cs="宋体"/>
                <w:color w:val="auto"/>
                <w:w w:val="99"/>
                <w:kern w:val="2"/>
                <w:sz w:val="21"/>
                <w:szCs w:val="21"/>
                <w:highlight w:val="none"/>
              </w:rPr>
              <w:t>变压</w:t>
            </w:r>
          </w:p>
        </w:tc>
        <w:tc>
          <w:tcPr>
            <w:tcW w:w="1496" w:type="dxa"/>
            <w:tcBorders>
              <w:top w:val="single" w:color="000000" w:sz="4" w:space="0"/>
              <w:left w:val="single" w:color="000000" w:sz="4" w:space="0"/>
              <w:bottom w:val="single" w:color="000000" w:sz="4" w:space="0"/>
              <w:right w:val="single" w:color="000000" w:sz="4" w:space="0"/>
            </w:tcBorders>
            <w:vAlign w:val="center"/>
          </w:tcPr>
          <w:p w14:paraId="751EB65C">
            <w:pPr>
              <w:pStyle w:val="88"/>
              <w:keepNext w:val="0"/>
              <w:keepLines w:val="0"/>
              <w:suppressLineNumbers w:val="0"/>
              <w:spacing w:before="0" w:beforeAutospacing="0" w:after="0" w:afterAutospacing="0"/>
              <w:ind w:left="0" w:right="0"/>
              <w:jc w:val="center"/>
              <w:rPr>
                <w:rFonts w:hint="default" w:ascii="宋体" w:hAnsi="宋体" w:cs="宋体"/>
                <w:color w:val="auto"/>
                <w:kern w:val="2"/>
                <w:sz w:val="21"/>
                <w:szCs w:val="21"/>
                <w:highlight w:val="none"/>
              </w:rPr>
            </w:pPr>
            <w:r>
              <w:rPr>
                <w:rFonts w:hint="eastAsia" w:ascii="宋体" w:hAnsi="宋体" w:cs="宋体"/>
                <w:color w:val="auto"/>
                <w:w w:val="99"/>
                <w:kern w:val="2"/>
                <w:sz w:val="21"/>
                <w:szCs w:val="21"/>
                <w:highlight w:val="none"/>
              </w:rPr>
              <w:t>配电变压器</w:t>
            </w:r>
          </w:p>
        </w:tc>
        <w:tc>
          <w:tcPr>
            <w:tcW w:w="1481" w:type="dxa"/>
            <w:tcBorders>
              <w:top w:val="single" w:color="000000" w:sz="4" w:space="0"/>
              <w:left w:val="single" w:color="000000" w:sz="4" w:space="0"/>
              <w:bottom w:val="single" w:color="000000" w:sz="4" w:space="0"/>
              <w:right w:val="single" w:color="000000" w:sz="4" w:space="0"/>
            </w:tcBorders>
            <w:vAlign w:val="center"/>
          </w:tcPr>
          <w:p w14:paraId="2845D3F5">
            <w:pPr>
              <w:keepNext w:val="0"/>
              <w:keepLines w:val="0"/>
              <w:suppressLineNumbers w:val="0"/>
              <w:spacing w:before="0" w:beforeAutospacing="0" w:after="0" w:afterAutospacing="0"/>
              <w:ind w:left="0" w:right="0"/>
              <w:jc w:val="center"/>
              <w:rPr>
                <w:rFonts w:hint="default" w:ascii="宋体" w:hAnsi="宋体"/>
                <w:color w:val="auto"/>
                <w:szCs w:val="21"/>
                <w:highlight w:val="none"/>
              </w:rPr>
            </w:pPr>
          </w:p>
        </w:tc>
        <w:tc>
          <w:tcPr>
            <w:tcW w:w="4388" w:type="dxa"/>
            <w:tcBorders>
              <w:top w:val="single" w:color="000000" w:sz="4" w:space="0"/>
              <w:left w:val="single" w:color="000000" w:sz="4" w:space="0"/>
              <w:bottom w:val="single" w:color="000000" w:sz="4" w:space="0"/>
              <w:right w:val="single" w:color="000000" w:sz="4" w:space="0"/>
            </w:tcBorders>
          </w:tcPr>
          <w:p w14:paraId="078014D3">
            <w:pPr>
              <w:pStyle w:val="88"/>
              <w:keepNext w:val="0"/>
              <w:keepLines w:val="0"/>
              <w:suppressLineNumbers w:val="0"/>
              <w:spacing w:before="131" w:beforeAutospacing="0" w:after="0" w:afterAutospacing="0" w:line="276" w:lineRule="auto"/>
              <w:ind w:left="7" w:right="4"/>
              <w:rPr>
                <w:rFonts w:hint="default" w:ascii="宋体" w:hAnsi="宋体" w:cs="宋体"/>
                <w:color w:val="auto"/>
                <w:spacing w:val="10"/>
                <w:kern w:val="2"/>
                <w:sz w:val="21"/>
                <w:szCs w:val="21"/>
                <w:highlight w:val="none"/>
                <w:lang w:eastAsia="zh-CN"/>
              </w:rPr>
            </w:pPr>
            <w:r>
              <w:rPr>
                <w:rFonts w:hint="eastAsia" w:ascii="宋体" w:hAnsi="宋体" w:cs="宋体"/>
                <w:color w:val="auto"/>
                <w:spacing w:val="10"/>
                <w:kern w:val="2"/>
                <w:sz w:val="21"/>
                <w:szCs w:val="21"/>
                <w:highlight w:val="none"/>
                <w:lang w:eastAsia="zh-CN"/>
              </w:rPr>
              <w:t>《三相配电变压器能效限定值及能效等级》（GB 20052）</w:t>
            </w:r>
          </w:p>
        </w:tc>
      </w:tr>
      <w:tr w14:paraId="21763A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71" w:type="dxa"/>
            <w:tcBorders>
              <w:top w:val="single" w:color="000000" w:sz="4" w:space="0"/>
              <w:left w:val="single" w:color="000000" w:sz="4" w:space="0"/>
              <w:bottom w:val="single" w:color="000000" w:sz="4" w:space="0"/>
              <w:right w:val="single" w:color="000000" w:sz="4" w:space="0"/>
            </w:tcBorders>
            <w:vAlign w:val="center"/>
          </w:tcPr>
          <w:p w14:paraId="7520AB95">
            <w:pPr>
              <w:pStyle w:val="88"/>
              <w:keepNext w:val="0"/>
              <w:keepLines w:val="0"/>
              <w:suppressLineNumbers w:val="0"/>
              <w:spacing w:before="0" w:beforeAutospacing="0" w:after="0" w:afterAutospacing="0"/>
              <w:ind w:left="0" w:right="1"/>
              <w:jc w:val="center"/>
              <w:rPr>
                <w:rFonts w:hint="default" w:ascii="宋体" w:hAnsi="宋体" w:cs="宋体"/>
                <w:color w:val="auto"/>
                <w:kern w:val="2"/>
                <w:sz w:val="21"/>
                <w:szCs w:val="21"/>
                <w:highlight w:val="none"/>
              </w:rPr>
            </w:pPr>
            <w:r>
              <w:rPr>
                <w:rFonts w:hint="eastAsia" w:ascii="宋体" w:hAnsi="宋体"/>
                <w:color w:val="auto"/>
                <w:w w:val="99"/>
                <w:kern w:val="2"/>
                <w:sz w:val="21"/>
                <w:szCs w:val="21"/>
                <w:highlight w:val="none"/>
              </w:rPr>
              <w:t>9</w:t>
            </w:r>
          </w:p>
        </w:tc>
        <w:tc>
          <w:tcPr>
            <w:tcW w:w="1422" w:type="dxa"/>
            <w:tcBorders>
              <w:top w:val="single" w:color="000000" w:sz="4" w:space="0"/>
              <w:left w:val="single" w:color="000000" w:sz="4" w:space="0"/>
              <w:bottom w:val="single" w:color="000000" w:sz="4" w:space="0"/>
              <w:right w:val="single" w:color="000000" w:sz="4" w:space="0"/>
            </w:tcBorders>
            <w:vAlign w:val="center"/>
          </w:tcPr>
          <w:p w14:paraId="0E0CE21E">
            <w:pPr>
              <w:pStyle w:val="88"/>
              <w:keepNext w:val="0"/>
              <w:keepLines w:val="0"/>
              <w:suppressLineNumbers w:val="0"/>
              <w:spacing w:before="126" w:beforeAutospacing="0" w:after="0" w:afterAutospacing="0"/>
              <w:ind w:left="7" w:right="0"/>
              <w:jc w:val="center"/>
              <w:rPr>
                <w:rFonts w:hint="default" w:ascii="宋体" w:hAnsi="宋体" w:cs="宋体"/>
                <w:color w:val="auto"/>
                <w:kern w:val="2"/>
                <w:sz w:val="21"/>
                <w:szCs w:val="21"/>
                <w:highlight w:val="none"/>
              </w:rPr>
            </w:pPr>
            <w:r>
              <w:rPr>
                <w:rFonts w:hint="eastAsia" w:ascii="宋体" w:hAnsi="宋体" w:cs="宋体"/>
                <w:color w:val="auto"/>
                <w:w w:val="99"/>
                <w:kern w:val="2"/>
                <w:sz w:val="21"/>
                <w:szCs w:val="21"/>
                <w:highlight w:val="none"/>
              </w:rPr>
              <w:t>★A02060900镇流器</w:t>
            </w:r>
          </w:p>
        </w:tc>
        <w:tc>
          <w:tcPr>
            <w:tcW w:w="1496" w:type="dxa"/>
            <w:tcBorders>
              <w:top w:val="single" w:color="000000" w:sz="4" w:space="0"/>
              <w:left w:val="single" w:color="000000" w:sz="4" w:space="0"/>
              <w:bottom w:val="single" w:color="000000" w:sz="4" w:space="0"/>
              <w:right w:val="single" w:color="000000" w:sz="4" w:space="0"/>
            </w:tcBorders>
            <w:vAlign w:val="center"/>
          </w:tcPr>
          <w:p w14:paraId="035A630C">
            <w:pPr>
              <w:pStyle w:val="88"/>
              <w:keepNext w:val="0"/>
              <w:keepLines w:val="0"/>
              <w:suppressLineNumbers w:val="0"/>
              <w:spacing w:before="0" w:beforeAutospacing="0" w:after="0" w:afterAutospacing="0"/>
              <w:ind w:left="0" w:right="0"/>
              <w:jc w:val="center"/>
              <w:rPr>
                <w:rFonts w:hint="default" w:ascii="宋体" w:hAnsi="宋体" w:cs="宋体"/>
                <w:color w:val="auto"/>
                <w:kern w:val="2"/>
                <w:sz w:val="21"/>
                <w:szCs w:val="21"/>
                <w:highlight w:val="none"/>
              </w:rPr>
            </w:pPr>
            <w:r>
              <w:rPr>
                <w:rFonts w:hint="eastAsia" w:ascii="宋体" w:hAnsi="宋体" w:cs="宋体"/>
                <w:color w:val="auto"/>
                <w:w w:val="99"/>
                <w:kern w:val="2"/>
                <w:sz w:val="21"/>
                <w:szCs w:val="21"/>
                <w:highlight w:val="none"/>
              </w:rPr>
              <w:t>管型荧光灯镇流器</w:t>
            </w:r>
          </w:p>
        </w:tc>
        <w:tc>
          <w:tcPr>
            <w:tcW w:w="1481" w:type="dxa"/>
            <w:tcBorders>
              <w:top w:val="single" w:color="000000" w:sz="4" w:space="0"/>
              <w:left w:val="single" w:color="000000" w:sz="4" w:space="0"/>
              <w:bottom w:val="single" w:color="000000" w:sz="4" w:space="0"/>
              <w:right w:val="single" w:color="000000" w:sz="4" w:space="0"/>
            </w:tcBorders>
            <w:vAlign w:val="center"/>
          </w:tcPr>
          <w:p w14:paraId="7E45FEFF">
            <w:pPr>
              <w:keepNext w:val="0"/>
              <w:keepLines w:val="0"/>
              <w:suppressLineNumbers w:val="0"/>
              <w:spacing w:before="0" w:beforeAutospacing="0" w:after="0" w:afterAutospacing="0"/>
              <w:ind w:left="0" w:right="0"/>
              <w:jc w:val="center"/>
              <w:rPr>
                <w:rFonts w:hint="default" w:ascii="宋体" w:hAnsi="宋体"/>
                <w:color w:val="auto"/>
                <w:szCs w:val="21"/>
                <w:highlight w:val="none"/>
              </w:rPr>
            </w:pPr>
          </w:p>
        </w:tc>
        <w:tc>
          <w:tcPr>
            <w:tcW w:w="4388" w:type="dxa"/>
            <w:tcBorders>
              <w:top w:val="single" w:color="000000" w:sz="4" w:space="0"/>
              <w:left w:val="single" w:color="000000" w:sz="4" w:space="0"/>
              <w:bottom w:val="single" w:color="000000" w:sz="4" w:space="0"/>
              <w:right w:val="single" w:color="000000" w:sz="4" w:space="0"/>
            </w:tcBorders>
          </w:tcPr>
          <w:p w14:paraId="457AAB3C">
            <w:pPr>
              <w:pStyle w:val="88"/>
              <w:keepNext w:val="0"/>
              <w:keepLines w:val="0"/>
              <w:suppressLineNumbers w:val="0"/>
              <w:spacing w:before="131" w:beforeAutospacing="0" w:after="0" w:afterAutospacing="0" w:line="276" w:lineRule="auto"/>
              <w:ind w:left="7" w:right="4"/>
              <w:rPr>
                <w:rFonts w:hint="default" w:ascii="宋体" w:hAnsi="宋体" w:cs="宋体"/>
                <w:color w:val="auto"/>
                <w:spacing w:val="10"/>
                <w:kern w:val="2"/>
                <w:sz w:val="21"/>
                <w:szCs w:val="21"/>
                <w:highlight w:val="none"/>
                <w:lang w:eastAsia="zh-CN"/>
              </w:rPr>
            </w:pPr>
            <w:r>
              <w:rPr>
                <w:rFonts w:hint="eastAsia" w:ascii="宋体" w:hAnsi="宋体" w:cs="宋体"/>
                <w:color w:val="auto"/>
                <w:spacing w:val="10"/>
                <w:kern w:val="2"/>
                <w:sz w:val="21"/>
                <w:szCs w:val="21"/>
                <w:highlight w:val="none"/>
                <w:lang w:eastAsia="zh-CN"/>
              </w:rPr>
              <w:t>《管形荧光灯镇流器能效限定值及能效等级》（GB17896）</w:t>
            </w:r>
          </w:p>
        </w:tc>
      </w:tr>
      <w:tr w14:paraId="025872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71" w:type="dxa"/>
            <w:vMerge w:val="restart"/>
            <w:tcBorders>
              <w:top w:val="single" w:color="000000" w:sz="4" w:space="0"/>
              <w:left w:val="single" w:color="000000" w:sz="4" w:space="0"/>
              <w:bottom w:val="single" w:color="000000" w:sz="4" w:space="0"/>
              <w:right w:val="single" w:color="000000" w:sz="4" w:space="0"/>
            </w:tcBorders>
            <w:vAlign w:val="center"/>
          </w:tcPr>
          <w:p w14:paraId="4DE8B19F">
            <w:pPr>
              <w:pStyle w:val="88"/>
              <w:keepNext w:val="0"/>
              <w:keepLines w:val="0"/>
              <w:suppressLineNumbers w:val="0"/>
              <w:spacing w:before="0" w:beforeAutospacing="0" w:after="0" w:afterAutospacing="0"/>
              <w:ind w:left="0" w:right="0"/>
              <w:jc w:val="center"/>
              <w:rPr>
                <w:rFonts w:hint="default" w:ascii="宋体" w:hAnsi="宋体" w:cs="宋体"/>
                <w:color w:val="auto"/>
                <w:kern w:val="2"/>
                <w:sz w:val="21"/>
                <w:szCs w:val="21"/>
                <w:highlight w:val="none"/>
              </w:rPr>
            </w:pPr>
            <w:r>
              <w:rPr>
                <w:rFonts w:hint="eastAsia" w:ascii="宋体" w:hAnsi="宋体"/>
                <w:color w:val="auto"/>
                <w:w w:val="99"/>
                <w:kern w:val="2"/>
                <w:sz w:val="21"/>
                <w:szCs w:val="21"/>
                <w:highlight w:val="none"/>
              </w:rPr>
              <w:t>10</w:t>
            </w:r>
          </w:p>
        </w:tc>
        <w:tc>
          <w:tcPr>
            <w:tcW w:w="1422" w:type="dxa"/>
            <w:vMerge w:val="restart"/>
            <w:tcBorders>
              <w:top w:val="single" w:color="000000" w:sz="4" w:space="0"/>
              <w:left w:val="single" w:color="000000" w:sz="4" w:space="0"/>
              <w:bottom w:val="single" w:color="000000" w:sz="4" w:space="0"/>
              <w:right w:val="single" w:color="000000" w:sz="4" w:space="0"/>
            </w:tcBorders>
            <w:vAlign w:val="center"/>
          </w:tcPr>
          <w:p w14:paraId="28F984F9">
            <w:pPr>
              <w:pStyle w:val="88"/>
              <w:keepNext w:val="0"/>
              <w:keepLines w:val="0"/>
              <w:suppressLineNumbers w:val="0"/>
              <w:spacing w:before="0" w:beforeAutospacing="0" w:after="0" w:afterAutospacing="0"/>
              <w:ind w:left="0" w:right="0"/>
              <w:jc w:val="center"/>
              <w:rPr>
                <w:rFonts w:hint="default" w:ascii="宋体" w:hAnsi="宋体" w:cs="宋体"/>
                <w:color w:val="auto"/>
                <w:kern w:val="2"/>
                <w:sz w:val="21"/>
                <w:szCs w:val="21"/>
                <w:highlight w:val="none"/>
              </w:rPr>
            </w:pPr>
            <w:r>
              <w:rPr>
                <w:rFonts w:hint="eastAsia" w:ascii="宋体" w:hAnsi="宋体" w:cs="宋体"/>
                <w:color w:val="auto"/>
                <w:w w:val="99"/>
                <w:kern w:val="2"/>
                <w:sz w:val="21"/>
                <w:szCs w:val="21"/>
                <w:highlight w:val="none"/>
              </w:rPr>
              <w:t>A02061800生活用电器</w:t>
            </w:r>
          </w:p>
        </w:tc>
        <w:tc>
          <w:tcPr>
            <w:tcW w:w="1496" w:type="dxa"/>
            <w:tcBorders>
              <w:top w:val="single" w:color="000000" w:sz="4" w:space="0"/>
              <w:left w:val="single" w:color="000000" w:sz="4" w:space="0"/>
              <w:bottom w:val="single" w:color="000000" w:sz="4" w:space="0"/>
              <w:right w:val="single" w:color="000000" w:sz="4" w:space="0"/>
            </w:tcBorders>
            <w:vAlign w:val="center"/>
          </w:tcPr>
          <w:p w14:paraId="491DCA49">
            <w:pPr>
              <w:pStyle w:val="88"/>
              <w:keepNext w:val="0"/>
              <w:keepLines w:val="0"/>
              <w:suppressLineNumbers w:val="0"/>
              <w:spacing w:before="0" w:beforeAutospacing="0" w:after="0" w:afterAutospacing="0"/>
              <w:ind w:left="0" w:right="0"/>
              <w:jc w:val="center"/>
              <w:rPr>
                <w:rFonts w:hint="default" w:ascii="宋体" w:hAnsi="宋体" w:cs="宋体"/>
                <w:color w:val="auto"/>
                <w:kern w:val="2"/>
                <w:sz w:val="21"/>
                <w:szCs w:val="21"/>
                <w:highlight w:val="none"/>
              </w:rPr>
            </w:pPr>
            <w:r>
              <w:rPr>
                <w:rFonts w:hint="eastAsia" w:ascii="宋体" w:hAnsi="宋体" w:cs="宋体"/>
                <w:color w:val="auto"/>
                <w:w w:val="99"/>
                <w:kern w:val="2"/>
                <w:sz w:val="21"/>
                <w:szCs w:val="21"/>
                <w:highlight w:val="none"/>
              </w:rPr>
              <w:t>A02061801电冰箱</w:t>
            </w:r>
          </w:p>
        </w:tc>
        <w:tc>
          <w:tcPr>
            <w:tcW w:w="1481" w:type="dxa"/>
            <w:tcBorders>
              <w:top w:val="single" w:color="000000" w:sz="4" w:space="0"/>
              <w:left w:val="single" w:color="000000" w:sz="4" w:space="0"/>
              <w:bottom w:val="single" w:color="000000" w:sz="4" w:space="0"/>
              <w:right w:val="single" w:color="000000" w:sz="4" w:space="0"/>
            </w:tcBorders>
            <w:vAlign w:val="center"/>
          </w:tcPr>
          <w:p w14:paraId="40222822">
            <w:pPr>
              <w:keepNext w:val="0"/>
              <w:keepLines w:val="0"/>
              <w:suppressLineNumbers w:val="0"/>
              <w:spacing w:before="0" w:beforeAutospacing="0" w:after="0" w:afterAutospacing="0"/>
              <w:ind w:left="0" w:right="0"/>
              <w:jc w:val="center"/>
              <w:rPr>
                <w:rFonts w:hint="default" w:ascii="宋体" w:hAnsi="宋体"/>
                <w:color w:val="auto"/>
                <w:szCs w:val="21"/>
                <w:highlight w:val="none"/>
              </w:rPr>
            </w:pPr>
          </w:p>
        </w:tc>
        <w:tc>
          <w:tcPr>
            <w:tcW w:w="4388" w:type="dxa"/>
            <w:tcBorders>
              <w:top w:val="single" w:color="000000" w:sz="4" w:space="0"/>
              <w:left w:val="single" w:color="000000" w:sz="4" w:space="0"/>
              <w:bottom w:val="single" w:color="000000" w:sz="4" w:space="0"/>
              <w:right w:val="single" w:color="000000" w:sz="4" w:space="0"/>
            </w:tcBorders>
          </w:tcPr>
          <w:p w14:paraId="6D1CFDC6">
            <w:pPr>
              <w:pStyle w:val="88"/>
              <w:keepNext w:val="0"/>
              <w:keepLines w:val="0"/>
              <w:suppressLineNumbers w:val="0"/>
              <w:spacing w:before="131" w:beforeAutospacing="0" w:after="0" w:afterAutospacing="0" w:line="276" w:lineRule="auto"/>
              <w:ind w:left="7" w:right="4"/>
              <w:rPr>
                <w:rFonts w:hint="default" w:ascii="宋体" w:hAnsi="宋体" w:cs="宋体"/>
                <w:color w:val="auto"/>
                <w:spacing w:val="10"/>
                <w:kern w:val="2"/>
                <w:sz w:val="21"/>
                <w:szCs w:val="21"/>
                <w:highlight w:val="none"/>
                <w:lang w:eastAsia="zh-CN"/>
              </w:rPr>
            </w:pPr>
            <w:r>
              <w:rPr>
                <w:rFonts w:hint="eastAsia" w:ascii="宋体" w:hAnsi="宋体" w:cs="宋体"/>
                <w:color w:val="auto"/>
                <w:spacing w:val="10"/>
                <w:kern w:val="2"/>
                <w:sz w:val="21"/>
                <w:szCs w:val="21"/>
                <w:highlight w:val="none"/>
                <w:lang w:eastAsia="zh-CN"/>
              </w:rPr>
              <w:t>《家用电冰箱耗电量限定值及能效等级》（GB12021.2）</w:t>
            </w:r>
          </w:p>
        </w:tc>
      </w:tr>
      <w:tr w14:paraId="3B7799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0" w:type="auto"/>
            <w:vMerge w:val="continue"/>
            <w:tcBorders>
              <w:top w:val="single" w:color="000000" w:sz="4" w:space="0"/>
              <w:left w:val="single" w:color="000000" w:sz="4" w:space="0"/>
              <w:bottom w:val="single" w:color="000000" w:sz="4" w:space="0"/>
              <w:right w:val="single" w:color="000000" w:sz="4" w:space="0"/>
            </w:tcBorders>
            <w:vAlign w:val="center"/>
          </w:tcPr>
          <w:p w14:paraId="07AFC9DD">
            <w:pPr>
              <w:keepNext w:val="0"/>
              <w:keepLines w:val="0"/>
              <w:widowControl/>
              <w:suppressLineNumbers w:val="0"/>
              <w:spacing w:before="0" w:beforeAutospacing="0" w:after="0" w:afterAutospacing="0"/>
              <w:ind w:left="0" w:right="0"/>
              <w:jc w:val="left"/>
              <w:rPr>
                <w:rFonts w:hint="default" w:ascii="宋体" w:hAnsi="宋体" w:cs="宋体"/>
                <w:color w:val="auto"/>
                <w:szCs w:val="21"/>
                <w:highlight w:val="none"/>
              </w:rPr>
            </w:pPr>
          </w:p>
        </w:tc>
        <w:tc>
          <w:tcPr>
            <w:tcW w:w="0" w:type="auto"/>
            <w:vMerge w:val="continue"/>
            <w:tcBorders>
              <w:top w:val="single" w:color="000000" w:sz="4" w:space="0"/>
              <w:left w:val="single" w:color="000000" w:sz="4" w:space="0"/>
              <w:bottom w:val="single" w:color="000000" w:sz="4" w:space="0"/>
              <w:right w:val="single" w:color="000000" w:sz="4" w:space="0"/>
            </w:tcBorders>
            <w:vAlign w:val="center"/>
          </w:tcPr>
          <w:p w14:paraId="4AA0B9E8">
            <w:pPr>
              <w:keepNext w:val="0"/>
              <w:keepLines w:val="0"/>
              <w:widowControl/>
              <w:suppressLineNumbers w:val="0"/>
              <w:spacing w:before="0" w:beforeAutospacing="0" w:after="0" w:afterAutospacing="0"/>
              <w:ind w:left="0" w:right="0"/>
              <w:jc w:val="left"/>
              <w:rPr>
                <w:rFonts w:hint="default" w:ascii="宋体" w:hAnsi="宋体" w:cs="宋体"/>
                <w:color w:val="auto"/>
                <w:szCs w:val="21"/>
                <w:highlight w:val="none"/>
              </w:rPr>
            </w:pPr>
          </w:p>
        </w:tc>
        <w:tc>
          <w:tcPr>
            <w:tcW w:w="1496" w:type="dxa"/>
            <w:vMerge w:val="restart"/>
            <w:tcBorders>
              <w:top w:val="single" w:color="000000" w:sz="4" w:space="0"/>
              <w:left w:val="single" w:color="000000" w:sz="4" w:space="0"/>
              <w:bottom w:val="single" w:color="000000" w:sz="4" w:space="0"/>
              <w:right w:val="single" w:color="000000" w:sz="4" w:space="0"/>
            </w:tcBorders>
            <w:vAlign w:val="center"/>
          </w:tcPr>
          <w:p w14:paraId="04394E45">
            <w:pPr>
              <w:pStyle w:val="88"/>
              <w:keepNext w:val="0"/>
              <w:keepLines w:val="0"/>
              <w:suppressLineNumbers w:val="0"/>
              <w:spacing w:before="171" w:beforeAutospacing="0" w:after="0" w:afterAutospacing="0"/>
              <w:ind w:left="0" w:right="0"/>
              <w:jc w:val="center"/>
              <w:rPr>
                <w:rFonts w:hint="default" w:ascii="宋体" w:hAnsi="宋体" w:cs="宋体"/>
                <w:color w:val="auto"/>
                <w:kern w:val="2"/>
                <w:sz w:val="21"/>
                <w:szCs w:val="21"/>
                <w:highlight w:val="none"/>
              </w:rPr>
            </w:pPr>
            <w:r>
              <w:rPr>
                <w:rFonts w:hint="eastAsia" w:ascii="宋体" w:hAnsi="宋体" w:cs="宋体"/>
                <w:color w:val="auto"/>
                <w:w w:val="99"/>
                <w:kern w:val="2"/>
                <w:sz w:val="21"/>
                <w:szCs w:val="21"/>
                <w:highlight w:val="none"/>
              </w:rPr>
              <w:t>★</w:t>
            </w:r>
            <w:r>
              <w:rPr>
                <w:rFonts w:hint="eastAsia" w:ascii="宋体" w:hAnsi="宋体" w:cs="方正仿宋_GB2312"/>
                <w:color w:val="auto"/>
                <w:kern w:val="2"/>
                <w:sz w:val="21"/>
                <w:szCs w:val="21"/>
                <w:highlight w:val="none"/>
              </w:rPr>
              <w:t>A02061804</w:t>
            </w:r>
            <w:r>
              <w:rPr>
                <w:rFonts w:hint="eastAsia" w:ascii="宋体" w:hAnsi="宋体" w:cs="宋体"/>
                <w:color w:val="auto"/>
                <w:w w:val="99"/>
                <w:kern w:val="2"/>
                <w:sz w:val="21"/>
                <w:szCs w:val="21"/>
                <w:highlight w:val="none"/>
              </w:rPr>
              <w:t>空调机</w:t>
            </w:r>
          </w:p>
        </w:tc>
        <w:tc>
          <w:tcPr>
            <w:tcW w:w="1481" w:type="dxa"/>
            <w:tcBorders>
              <w:top w:val="single" w:color="000000" w:sz="4" w:space="0"/>
              <w:left w:val="single" w:color="000000" w:sz="4" w:space="0"/>
              <w:bottom w:val="single" w:color="000000" w:sz="4" w:space="0"/>
              <w:right w:val="single" w:color="000000" w:sz="4" w:space="0"/>
            </w:tcBorders>
            <w:vAlign w:val="center"/>
          </w:tcPr>
          <w:p w14:paraId="4B3EBE7E">
            <w:pPr>
              <w:pStyle w:val="88"/>
              <w:keepNext w:val="0"/>
              <w:keepLines w:val="0"/>
              <w:suppressLineNumbers w:val="0"/>
              <w:spacing w:before="0" w:beforeAutospacing="0" w:after="0" w:afterAutospacing="0"/>
              <w:ind w:left="0" w:right="0"/>
              <w:jc w:val="center"/>
              <w:rPr>
                <w:rFonts w:hint="default" w:ascii="宋体" w:hAnsi="宋体" w:cs="宋体"/>
                <w:color w:val="auto"/>
                <w:kern w:val="2"/>
                <w:sz w:val="21"/>
                <w:szCs w:val="21"/>
                <w:highlight w:val="none"/>
              </w:rPr>
            </w:pPr>
            <w:r>
              <w:rPr>
                <w:rFonts w:hint="eastAsia" w:ascii="宋体" w:hAnsi="宋体" w:cs="宋体"/>
                <w:color w:val="auto"/>
                <w:w w:val="99"/>
                <w:kern w:val="2"/>
                <w:sz w:val="21"/>
                <w:szCs w:val="21"/>
                <w:highlight w:val="none"/>
              </w:rPr>
              <w:t>房间空气调节器</w:t>
            </w:r>
          </w:p>
        </w:tc>
        <w:tc>
          <w:tcPr>
            <w:tcW w:w="4388" w:type="dxa"/>
            <w:tcBorders>
              <w:top w:val="single" w:color="000000" w:sz="4" w:space="0"/>
              <w:left w:val="single" w:color="000000" w:sz="4" w:space="0"/>
              <w:bottom w:val="single" w:color="000000" w:sz="4" w:space="0"/>
              <w:right w:val="single" w:color="000000" w:sz="4" w:space="0"/>
            </w:tcBorders>
          </w:tcPr>
          <w:p w14:paraId="167F6D14">
            <w:pPr>
              <w:pStyle w:val="88"/>
              <w:keepNext w:val="0"/>
              <w:keepLines w:val="0"/>
              <w:suppressLineNumbers w:val="0"/>
              <w:spacing w:before="131" w:beforeAutospacing="0" w:after="0" w:afterAutospacing="0" w:line="276" w:lineRule="auto"/>
              <w:ind w:left="7" w:right="4"/>
              <w:rPr>
                <w:rFonts w:hint="default" w:ascii="宋体" w:hAnsi="宋体" w:cs="宋体"/>
                <w:color w:val="auto"/>
                <w:spacing w:val="10"/>
                <w:kern w:val="2"/>
                <w:sz w:val="21"/>
                <w:szCs w:val="21"/>
                <w:highlight w:val="none"/>
                <w:lang w:eastAsia="zh-CN"/>
              </w:rPr>
            </w:pPr>
            <w:r>
              <w:rPr>
                <w:rFonts w:hint="eastAsia" w:ascii="宋体" w:hAnsi="宋体" w:cs="宋体"/>
                <w:color w:val="auto"/>
                <w:spacing w:val="10"/>
                <w:kern w:val="2"/>
                <w:sz w:val="21"/>
                <w:szCs w:val="21"/>
                <w:highlight w:val="none"/>
                <w:lang w:eastAsia="zh-CN"/>
              </w:rPr>
              <w:t>《房间空气调节器能效限定值及能效等级》（GB21455-2019）</w:t>
            </w:r>
          </w:p>
        </w:tc>
      </w:tr>
      <w:tr w14:paraId="28A446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0" w:type="auto"/>
            <w:vMerge w:val="continue"/>
            <w:tcBorders>
              <w:top w:val="single" w:color="000000" w:sz="4" w:space="0"/>
              <w:left w:val="single" w:color="000000" w:sz="4" w:space="0"/>
              <w:bottom w:val="single" w:color="000000" w:sz="4" w:space="0"/>
              <w:right w:val="single" w:color="000000" w:sz="4" w:space="0"/>
            </w:tcBorders>
            <w:vAlign w:val="center"/>
          </w:tcPr>
          <w:p w14:paraId="20D506AE">
            <w:pPr>
              <w:keepNext w:val="0"/>
              <w:keepLines w:val="0"/>
              <w:widowControl/>
              <w:suppressLineNumbers w:val="0"/>
              <w:spacing w:before="0" w:beforeAutospacing="0" w:after="0" w:afterAutospacing="0"/>
              <w:ind w:left="0" w:right="0"/>
              <w:jc w:val="left"/>
              <w:rPr>
                <w:rFonts w:hint="default" w:ascii="宋体" w:hAnsi="宋体" w:cs="宋体"/>
                <w:color w:val="auto"/>
                <w:szCs w:val="21"/>
                <w:highlight w:val="none"/>
              </w:rPr>
            </w:pPr>
          </w:p>
        </w:tc>
        <w:tc>
          <w:tcPr>
            <w:tcW w:w="0" w:type="auto"/>
            <w:vMerge w:val="continue"/>
            <w:tcBorders>
              <w:top w:val="single" w:color="000000" w:sz="4" w:space="0"/>
              <w:left w:val="single" w:color="000000" w:sz="4" w:space="0"/>
              <w:bottom w:val="single" w:color="000000" w:sz="4" w:space="0"/>
              <w:right w:val="single" w:color="000000" w:sz="4" w:space="0"/>
            </w:tcBorders>
            <w:vAlign w:val="center"/>
          </w:tcPr>
          <w:p w14:paraId="3A209979">
            <w:pPr>
              <w:keepNext w:val="0"/>
              <w:keepLines w:val="0"/>
              <w:widowControl/>
              <w:suppressLineNumbers w:val="0"/>
              <w:spacing w:before="0" w:beforeAutospacing="0" w:after="0" w:afterAutospacing="0"/>
              <w:ind w:left="0" w:right="0"/>
              <w:jc w:val="left"/>
              <w:rPr>
                <w:rFonts w:hint="default" w:ascii="宋体" w:hAnsi="宋体" w:cs="宋体"/>
                <w:color w:val="auto"/>
                <w:szCs w:val="21"/>
                <w:highlight w:val="none"/>
              </w:rPr>
            </w:pPr>
          </w:p>
        </w:tc>
        <w:tc>
          <w:tcPr>
            <w:tcW w:w="0" w:type="auto"/>
            <w:vMerge w:val="continue"/>
            <w:tcBorders>
              <w:top w:val="single" w:color="000000" w:sz="4" w:space="0"/>
              <w:left w:val="single" w:color="000000" w:sz="4" w:space="0"/>
              <w:bottom w:val="single" w:color="000000" w:sz="4" w:space="0"/>
              <w:right w:val="single" w:color="000000" w:sz="4" w:space="0"/>
            </w:tcBorders>
            <w:vAlign w:val="center"/>
          </w:tcPr>
          <w:p w14:paraId="012F232E">
            <w:pPr>
              <w:keepNext w:val="0"/>
              <w:keepLines w:val="0"/>
              <w:widowControl/>
              <w:suppressLineNumbers w:val="0"/>
              <w:spacing w:before="0" w:beforeAutospacing="0" w:after="0" w:afterAutospacing="0"/>
              <w:ind w:left="0" w:right="0"/>
              <w:jc w:val="left"/>
              <w:rPr>
                <w:rFonts w:hint="default" w:ascii="宋体" w:hAnsi="宋体" w:cs="宋体"/>
                <w:color w:val="auto"/>
                <w:szCs w:val="21"/>
                <w:highlight w:val="none"/>
              </w:rPr>
            </w:pPr>
          </w:p>
        </w:tc>
        <w:tc>
          <w:tcPr>
            <w:tcW w:w="1481" w:type="dxa"/>
            <w:tcBorders>
              <w:top w:val="single" w:color="000000" w:sz="4" w:space="0"/>
              <w:left w:val="single" w:color="000000" w:sz="4" w:space="0"/>
              <w:bottom w:val="single" w:color="000000" w:sz="4" w:space="0"/>
              <w:right w:val="single" w:color="000000" w:sz="4" w:space="0"/>
            </w:tcBorders>
            <w:vAlign w:val="center"/>
          </w:tcPr>
          <w:p w14:paraId="289E7AFD">
            <w:pPr>
              <w:pStyle w:val="88"/>
              <w:keepNext w:val="0"/>
              <w:keepLines w:val="0"/>
              <w:suppressLineNumbers w:val="0"/>
              <w:spacing w:before="4" w:beforeAutospacing="0" w:after="0" w:afterAutospacing="0" w:line="276" w:lineRule="auto"/>
              <w:ind w:left="7" w:right="7"/>
              <w:jc w:val="center"/>
              <w:rPr>
                <w:rFonts w:hint="default" w:ascii="宋体" w:hAnsi="宋体" w:cs="宋体"/>
                <w:color w:val="auto"/>
                <w:kern w:val="2"/>
                <w:sz w:val="21"/>
                <w:szCs w:val="21"/>
                <w:highlight w:val="none"/>
                <w:lang w:eastAsia="zh-CN"/>
              </w:rPr>
            </w:pPr>
            <w:r>
              <w:rPr>
                <w:rFonts w:hint="eastAsia" w:ascii="宋体" w:hAnsi="宋体" w:cs="宋体"/>
                <w:color w:val="auto"/>
                <w:w w:val="99"/>
                <w:kern w:val="2"/>
                <w:sz w:val="21"/>
                <w:szCs w:val="21"/>
                <w:highlight w:val="none"/>
                <w:lang w:eastAsia="zh-CN"/>
              </w:rPr>
              <w:t>多联式空调（热泵）机组（制冷量≤ 14000W）</w:t>
            </w:r>
          </w:p>
        </w:tc>
        <w:tc>
          <w:tcPr>
            <w:tcW w:w="4388" w:type="dxa"/>
            <w:tcBorders>
              <w:top w:val="single" w:color="000000" w:sz="4" w:space="0"/>
              <w:left w:val="single" w:color="000000" w:sz="4" w:space="0"/>
              <w:bottom w:val="single" w:color="000000" w:sz="4" w:space="0"/>
              <w:right w:val="single" w:color="000000" w:sz="4" w:space="0"/>
            </w:tcBorders>
          </w:tcPr>
          <w:p w14:paraId="03132BF3">
            <w:pPr>
              <w:pStyle w:val="88"/>
              <w:keepNext w:val="0"/>
              <w:keepLines w:val="0"/>
              <w:suppressLineNumbers w:val="0"/>
              <w:spacing w:before="131" w:beforeAutospacing="0" w:after="0" w:afterAutospacing="0" w:line="276" w:lineRule="auto"/>
              <w:ind w:left="7" w:right="4"/>
              <w:rPr>
                <w:rFonts w:hint="default" w:ascii="宋体" w:hAnsi="宋体" w:cs="宋体"/>
                <w:color w:val="auto"/>
                <w:spacing w:val="10"/>
                <w:kern w:val="2"/>
                <w:sz w:val="21"/>
                <w:szCs w:val="21"/>
                <w:highlight w:val="none"/>
                <w:lang w:eastAsia="zh-CN"/>
              </w:rPr>
            </w:pPr>
            <w:r>
              <w:rPr>
                <w:rFonts w:hint="eastAsia" w:ascii="宋体" w:hAnsi="宋体" w:cs="宋体"/>
                <w:color w:val="auto"/>
                <w:spacing w:val="10"/>
                <w:kern w:val="2"/>
                <w:sz w:val="21"/>
                <w:szCs w:val="21"/>
                <w:highlight w:val="none"/>
                <w:lang w:eastAsia="zh-CN"/>
              </w:rPr>
              <w:t>《多联式空调（热泵）机组能效限定值及能源效率等级》（GB21454）</w:t>
            </w:r>
          </w:p>
        </w:tc>
      </w:tr>
      <w:tr w14:paraId="579B64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0" w:type="auto"/>
            <w:vMerge w:val="continue"/>
            <w:tcBorders>
              <w:top w:val="single" w:color="000000" w:sz="4" w:space="0"/>
              <w:left w:val="single" w:color="000000" w:sz="4" w:space="0"/>
              <w:bottom w:val="single" w:color="000000" w:sz="4" w:space="0"/>
              <w:right w:val="single" w:color="000000" w:sz="4" w:space="0"/>
            </w:tcBorders>
            <w:vAlign w:val="center"/>
          </w:tcPr>
          <w:p w14:paraId="3DBE256D">
            <w:pPr>
              <w:keepNext w:val="0"/>
              <w:keepLines w:val="0"/>
              <w:widowControl/>
              <w:suppressLineNumbers w:val="0"/>
              <w:spacing w:before="0" w:beforeAutospacing="0" w:after="0" w:afterAutospacing="0"/>
              <w:ind w:left="0" w:right="0"/>
              <w:jc w:val="left"/>
              <w:rPr>
                <w:rFonts w:hint="default" w:ascii="宋体" w:hAnsi="宋体" w:cs="宋体"/>
                <w:color w:val="auto"/>
                <w:szCs w:val="21"/>
                <w:highlight w:val="none"/>
              </w:rPr>
            </w:pPr>
          </w:p>
        </w:tc>
        <w:tc>
          <w:tcPr>
            <w:tcW w:w="0" w:type="auto"/>
            <w:vMerge w:val="continue"/>
            <w:tcBorders>
              <w:top w:val="single" w:color="000000" w:sz="4" w:space="0"/>
              <w:left w:val="single" w:color="000000" w:sz="4" w:space="0"/>
              <w:bottom w:val="single" w:color="000000" w:sz="4" w:space="0"/>
              <w:right w:val="single" w:color="000000" w:sz="4" w:space="0"/>
            </w:tcBorders>
            <w:vAlign w:val="center"/>
          </w:tcPr>
          <w:p w14:paraId="5A03E9CA">
            <w:pPr>
              <w:keepNext w:val="0"/>
              <w:keepLines w:val="0"/>
              <w:widowControl/>
              <w:suppressLineNumbers w:val="0"/>
              <w:spacing w:before="0" w:beforeAutospacing="0" w:after="0" w:afterAutospacing="0"/>
              <w:ind w:left="0" w:right="0"/>
              <w:jc w:val="left"/>
              <w:rPr>
                <w:rFonts w:hint="default" w:ascii="宋体" w:hAnsi="宋体" w:cs="宋体"/>
                <w:color w:val="auto"/>
                <w:szCs w:val="21"/>
                <w:highlight w:val="none"/>
              </w:rPr>
            </w:pPr>
          </w:p>
        </w:tc>
        <w:tc>
          <w:tcPr>
            <w:tcW w:w="0" w:type="auto"/>
            <w:vMerge w:val="continue"/>
            <w:tcBorders>
              <w:top w:val="single" w:color="000000" w:sz="4" w:space="0"/>
              <w:left w:val="single" w:color="000000" w:sz="4" w:space="0"/>
              <w:bottom w:val="single" w:color="000000" w:sz="4" w:space="0"/>
              <w:right w:val="single" w:color="000000" w:sz="4" w:space="0"/>
            </w:tcBorders>
            <w:vAlign w:val="center"/>
          </w:tcPr>
          <w:p w14:paraId="3577D0BD">
            <w:pPr>
              <w:keepNext w:val="0"/>
              <w:keepLines w:val="0"/>
              <w:widowControl/>
              <w:suppressLineNumbers w:val="0"/>
              <w:spacing w:before="0" w:beforeAutospacing="0" w:after="0" w:afterAutospacing="0"/>
              <w:ind w:left="0" w:right="0"/>
              <w:jc w:val="left"/>
              <w:rPr>
                <w:rFonts w:hint="default" w:ascii="宋体" w:hAnsi="宋体" w:cs="宋体"/>
                <w:color w:val="auto"/>
                <w:szCs w:val="21"/>
                <w:highlight w:val="none"/>
              </w:rPr>
            </w:pPr>
          </w:p>
        </w:tc>
        <w:tc>
          <w:tcPr>
            <w:tcW w:w="1481" w:type="dxa"/>
            <w:tcBorders>
              <w:top w:val="single" w:color="000000" w:sz="4" w:space="0"/>
              <w:left w:val="single" w:color="000000" w:sz="4" w:space="0"/>
              <w:bottom w:val="single" w:color="000000" w:sz="4" w:space="0"/>
              <w:right w:val="single" w:color="000000" w:sz="4" w:space="0"/>
            </w:tcBorders>
            <w:vAlign w:val="center"/>
          </w:tcPr>
          <w:p w14:paraId="34121974">
            <w:pPr>
              <w:pStyle w:val="88"/>
              <w:keepNext w:val="0"/>
              <w:keepLines w:val="0"/>
              <w:suppressLineNumbers w:val="0"/>
              <w:spacing w:before="0" w:beforeAutospacing="0" w:after="0" w:afterAutospacing="0"/>
              <w:ind w:left="0" w:right="0"/>
              <w:jc w:val="center"/>
              <w:rPr>
                <w:rFonts w:hint="default" w:ascii="宋体" w:hAnsi="宋体" w:cs="宋体"/>
                <w:color w:val="auto"/>
                <w:kern w:val="2"/>
                <w:sz w:val="21"/>
                <w:szCs w:val="21"/>
                <w:highlight w:val="none"/>
                <w:lang w:eastAsia="zh-CN"/>
              </w:rPr>
            </w:pPr>
            <w:r>
              <w:rPr>
                <w:rFonts w:hint="eastAsia" w:ascii="宋体" w:hAnsi="宋体" w:cs="宋体"/>
                <w:color w:val="auto"/>
                <w:w w:val="99"/>
                <w:kern w:val="2"/>
                <w:sz w:val="21"/>
                <w:szCs w:val="21"/>
                <w:highlight w:val="none"/>
                <w:lang w:eastAsia="zh-CN"/>
              </w:rPr>
              <w:t>单元式空气调节机（制冷量≤ 14000W）</w:t>
            </w:r>
          </w:p>
        </w:tc>
        <w:tc>
          <w:tcPr>
            <w:tcW w:w="4388" w:type="dxa"/>
            <w:tcBorders>
              <w:top w:val="single" w:color="000000" w:sz="4" w:space="0"/>
              <w:left w:val="single" w:color="000000" w:sz="4" w:space="0"/>
              <w:bottom w:val="single" w:color="000000" w:sz="4" w:space="0"/>
              <w:right w:val="single" w:color="000000" w:sz="4" w:space="0"/>
            </w:tcBorders>
          </w:tcPr>
          <w:p w14:paraId="7CB6843E">
            <w:pPr>
              <w:pStyle w:val="88"/>
              <w:keepNext w:val="0"/>
              <w:keepLines w:val="0"/>
              <w:suppressLineNumbers w:val="0"/>
              <w:spacing w:before="131" w:beforeAutospacing="0" w:after="0" w:afterAutospacing="0" w:line="276" w:lineRule="auto"/>
              <w:ind w:left="7" w:right="4"/>
              <w:rPr>
                <w:rFonts w:hint="default" w:ascii="宋体" w:hAnsi="宋体" w:cs="宋体"/>
                <w:color w:val="auto"/>
                <w:spacing w:val="10"/>
                <w:kern w:val="2"/>
                <w:sz w:val="21"/>
                <w:szCs w:val="21"/>
                <w:highlight w:val="none"/>
                <w:lang w:eastAsia="zh-CN"/>
              </w:rPr>
            </w:pPr>
            <w:r>
              <w:rPr>
                <w:rFonts w:hint="eastAsia" w:ascii="宋体" w:hAnsi="宋体" w:cs="宋体"/>
                <w:color w:val="auto"/>
                <w:spacing w:val="10"/>
                <w:kern w:val="2"/>
                <w:sz w:val="21"/>
                <w:szCs w:val="21"/>
                <w:highlight w:val="none"/>
                <w:lang w:eastAsia="zh-CN"/>
              </w:rPr>
              <w:t>《单元式空气调节机能效限定值及能源效率等级》（GB19576）《风管送风式空调机组能效限定值及能效等级》（GB37479）</w:t>
            </w:r>
          </w:p>
        </w:tc>
      </w:tr>
      <w:tr w14:paraId="6C7D82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0" w:type="auto"/>
            <w:vMerge w:val="continue"/>
            <w:tcBorders>
              <w:top w:val="single" w:color="000000" w:sz="4" w:space="0"/>
              <w:left w:val="single" w:color="000000" w:sz="4" w:space="0"/>
              <w:bottom w:val="single" w:color="000000" w:sz="4" w:space="0"/>
              <w:right w:val="single" w:color="000000" w:sz="4" w:space="0"/>
            </w:tcBorders>
            <w:vAlign w:val="center"/>
          </w:tcPr>
          <w:p w14:paraId="3CBD7F0B">
            <w:pPr>
              <w:keepNext w:val="0"/>
              <w:keepLines w:val="0"/>
              <w:widowControl/>
              <w:suppressLineNumbers w:val="0"/>
              <w:spacing w:before="0" w:beforeAutospacing="0" w:after="0" w:afterAutospacing="0"/>
              <w:ind w:left="0" w:right="0"/>
              <w:jc w:val="left"/>
              <w:rPr>
                <w:rFonts w:hint="default" w:ascii="宋体" w:hAnsi="宋体" w:cs="宋体"/>
                <w:color w:val="auto"/>
                <w:szCs w:val="21"/>
                <w:highlight w:val="none"/>
              </w:rPr>
            </w:pPr>
          </w:p>
        </w:tc>
        <w:tc>
          <w:tcPr>
            <w:tcW w:w="0" w:type="auto"/>
            <w:vMerge w:val="continue"/>
            <w:tcBorders>
              <w:top w:val="single" w:color="000000" w:sz="4" w:space="0"/>
              <w:left w:val="single" w:color="000000" w:sz="4" w:space="0"/>
              <w:bottom w:val="single" w:color="000000" w:sz="4" w:space="0"/>
              <w:right w:val="single" w:color="000000" w:sz="4" w:space="0"/>
            </w:tcBorders>
            <w:vAlign w:val="center"/>
          </w:tcPr>
          <w:p w14:paraId="69214D12">
            <w:pPr>
              <w:keepNext w:val="0"/>
              <w:keepLines w:val="0"/>
              <w:widowControl/>
              <w:suppressLineNumbers w:val="0"/>
              <w:spacing w:before="0" w:beforeAutospacing="0" w:after="0" w:afterAutospacing="0"/>
              <w:ind w:left="0" w:right="0"/>
              <w:jc w:val="left"/>
              <w:rPr>
                <w:rFonts w:hint="default" w:ascii="宋体" w:hAnsi="宋体" w:cs="宋体"/>
                <w:color w:val="auto"/>
                <w:szCs w:val="21"/>
                <w:highlight w:val="none"/>
              </w:rPr>
            </w:pPr>
          </w:p>
        </w:tc>
        <w:tc>
          <w:tcPr>
            <w:tcW w:w="1496" w:type="dxa"/>
            <w:tcBorders>
              <w:top w:val="single" w:color="000000" w:sz="4" w:space="0"/>
              <w:left w:val="single" w:color="000000" w:sz="4" w:space="0"/>
              <w:bottom w:val="single" w:color="000000" w:sz="4" w:space="0"/>
              <w:right w:val="single" w:color="000000" w:sz="4" w:space="0"/>
            </w:tcBorders>
            <w:vAlign w:val="center"/>
          </w:tcPr>
          <w:p w14:paraId="02A96382">
            <w:pPr>
              <w:pStyle w:val="88"/>
              <w:keepNext w:val="0"/>
              <w:keepLines w:val="0"/>
              <w:suppressLineNumbers w:val="0"/>
              <w:spacing w:before="162" w:beforeAutospacing="0" w:after="0" w:afterAutospacing="0"/>
              <w:ind w:left="7" w:right="0"/>
              <w:jc w:val="center"/>
              <w:rPr>
                <w:rFonts w:hint="default" w:ascii="宋体" w:hAnsi="宋体" w:cs="宋体"/>
                <w:color w:val="auto"/>
                <w:kern w:val="2"/>
                <w:sz w:val="21"/>
                <w:szCs w:val="21"/>
                <w:highlight w:val="none"/>
              </w:rPr>
            </w:pPr>
            <w:r>
              <w:rPr>
                <w:rFonts w:hint="eastAsia" w:ascii="宋体" w:hAnsi="宋体" w:cs="方正仿宋_GB2312"/>
                <w:color w:val="auto"/>
                <w:kern w:val="2"/>
                <w:sz w:val="21"/>
                <w:szCs w:val="21"/>
                <w:highlight w:val="none"/>
              </w:rPr>
              <w:t>A02061810</w:t>
            </w:r>
            <w:r>
              <w:rPr>
                <w:rFonts w:hint="eastAsia" w:ascii="宋体" w:hAnsi="宋体" w:cs="宋体"/>
                <w:color w:val="auto"/>
                <w:w w:val="99"/>
                <w:kern w:val="2"/>
                <w:sz w:val="21"/>
                <w:szCs w:val="21"/>
                <w:highlight w:val="none"/>
              </w:rPr>
              <w:t>洗衣机</w:t>
            </w:r>
          </w:p>
        </w:tc>
        <w:tc>
          <w:tcPr>
            <w:tcW w:w="1481" w:type="dxa"/>
            <w:tcBorders>
              <w:top w:val="single" w:color="000000" w:sz="4" w:space="0"/>
              <w:left w:val="single" w:color="000000" w:sz="4" w:space="0"/>
              <w:bottom w:val="single" w:color="000000" w:sz="4" w:space="0"/>
              <w:right w:val="single" w:color="000000" w:sz="4" w:space="0"/>
            </w:tcBorders>
            <w:vAlign w:val="center"/>
          </w:tcPr>
          <w:p w14:paraId="708CD76F">
            <w:pPr>
              <w:keepNext w:val="0"/>
              <w:keepLines w:val="0"/>
              <w:suppressLineNumbers w:val="0"/>
              <w:spacing w:before="0" w:beforeAutospacing="0" w:after="0" w:afterAutospacing="0"/>
              <w:ind w:left="0" w:right="0"/>
              <w:jc w:val="center"/>
              <w:rPr>
                <w:rFonts w:hint="default" w:ascii="宋体" w:hAnsi="宋体"/>
                <w:color w:val="auto"/>
                <w:szCs w:val="21"/>
                <w:highlight w:val="none"/>
              </w:rPr>
            </w:pPr>
          </w:p>
        </w:tc>
        <w:tc>
          <w:tcPr>
            <w:tcW w:w="4388" w:type="dxa"/>
            <w:tcBorders>
              <w:top w:val="single" w:color="000000" w:sz="4" w:space="0"/>
              <w:left w:val="single" w:color="000000" w:sz="4" w:space="0"/>
              <w:bottom w:val="single" w:color="000000" w:sz="4" w:space="0"/>
              <w:right w:val="single" w:color="000000" w:sz="4" w:space="0"/>
            </w:tcBorders>
          </w:tcPr>
          <w:p w14:paraId="22A2A359">
            <w:pPr>
              <w:pStyle w:val="88"/>
              <w:keepNext w:val="0"/>
              <w:keepLines w:val="0"/>
              <w:suppressLineNumbers w:val="0"/>
              <w:spacing w:before="131" w:beforeAutospacing="0" w:after="0" w:afterAutospacing="0" w:line="276" w:lineRule="auto"/>
              <w:ind w:left="7" w:right="4"/>
              <w:rPr>
                <w:rFonts w:hint="default" w:ascii="宋体" w:hAnsi="宋体" w:cs="宋体"/>
                <w:color w:val="auto"/>
                <w:spacing w:val="10"/>
                <w:kern w:val="2"/>
                <w:sz w:val="21"/>
                <w:szCs w:val="21"/>
                <w:highlight w:val="none"/>
                <w:lang w:eastAsia="zh-CN"/>
              </w:rPr>
            </w:pPr>
            <w:r>
              <w:rPr>
                <w:rFonts w:hint="eastAsia" w:ascii="宋体" w:hAnsi="宋体" w:cs="宋体"/>
                <w:color w:val="auto"/>
                <w:spacing w:val="10"/>
                <w:kern w:val="2"/>
                <w:sz w:val="21"/>
                <w:szCs w:val="21"/>
                <w:highlight w:val="none"/>
                <w:lang w:eastAsia="zh-CN"/>
              </w:rPr>
              <w:t>《电动洗衣机能效水效限定值及等级》（GB12021.4）</w:t>
            </w:r>
          </w:p>
        </w:tc>
      </w:tr>
      <w:tr w14:paraId="421A809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0" w:type="auto"/>
            <w:vMerge w:val="continue"/>
            <w:tcBorders>
              <w:top w:val="single" w:color="000000" w:sz="4" w:space="0"/>
              <w:left w:val="single" w:color="000000" w:sz="4" w:space="0"/>
              <w:bottom w:val="single" w:color="000000" w:sz="4" w:space="0"/>
              <w:right w:val="single" w:color="000000" w:sz="4" w:space="0"/>
            </w:tcBorders>
            <w:vAlign w:val="center"/>
          </w:tcPr>
          <w:p w14:paraId="73BC2CD0">
            <w:pPr>
              <w:keepNext w:val="0"/>
              <w:keepLines w:val="0"/>
              <w:widowControl/>
              <w:suppressLineNumbers w:val="0"/>
              <w:spacing w:before="0" w:beforeAutospacing="0" w:after="0" w:afterAutospacing="0"/>
              <w:ind w:left="0" w:right="0"/>
              <w:jc w:val="left"/>
              <w:rPr>
                <w:rFonts w:hint="default" w:ascii="宋体" w:hAnsi="宋体" w:cs="宋体"/>
                <w:color w:val="auto"/>
                <w:szCs w:val="21"/>
                <w:highlight w:val="none"/>
              </w:rPr>
            </w:pPr>
          </w:p>
        </w:tc>
        <w:tc>
          <w:tcPr>
            <w:tcW w:w="0" w:type="auto"/>
            <w:vMerge w:val="continue"/>
            <w:tcBorders>
              <w:top w:val="single" w:color="000000" w:sz="4" w:space="0"/>
              <w:left w:val="single" w:color="000000" w:sz="4" w:space="0"/>
              <w:bottom w:val="single" w:color="000000" w:sz="4" w:space="0"/>
              <w:right w:val="single" w:color="000000" w:sz="4" w:space="0"/>
            </w:tcBorders>
            <w:vAlign w:val="center"/>
          </w:tcPr>
          <w:p w14:paraId="75F30191">
            <w:pPr>
              <w:keepNext w:val="0"/>
              <w:keepLines w:val="0"/>
              <w:widowControl/>
              <w:suppressLineNumbers w:val="0"/>
              <w:spacing w:before="0" w:beforeAutospacing="0" w:after="0" w:afterAutospacing="0"/>
              <w:ind w:left="0" w:right="0"/>
              <w:jc w:val="left"/>
              <w:rPr>
                <w:rFonts w:hint="default" w:ascii="宋体" w:hAnsi="宋体" w:cs="宋体"/>
                <w:color w:val="auto"/>
                <w:szCs w:val="21"/>
                <w:highlight w:val="none"/>
              </w:rPr>
            </w:pPr>
          </w:p>
        </w:tc>
        <w:tc>
          <w:tcPr>
            <w:tcW w:w="1496" w:type="dxa"/>
            <w:vMerge w:val="restart"/>
            <w:tcBorders>
              <w:top w:val="single" w:color="000000" w:sz="4" w:space="0"/>
              <w:left w:val="single" w:color="000000" w:sz="4" w:space="0"/>
              <w:bottom w:val="single" w:color="000000" w:sz="4" w:space="0"/>
              <w:right w:val="single" w:color="000000" w:sz="4" w:space="0"/>
            </w:tcBorders>
            <w:vAlign w:val="center"/>
          </w:tcPr>
          <w:p w14:paraId="3D405FCD">
            <w:pPr>
              <w:pStyle w:val="88"/>
              <w:keepNext w:val="0"/>
              <w:keepLines w:val="0"/>
              <w:suppressLineNumbers w:val="0"/>
              <w:spacing w:before="161" w:beforeAutospacing="0" w:after="0" w:afterAutospacing="0"/>
              <w:ind w:left="0" w:right="0"/>
              <w:jc w:val="center"/>
              <w:rPr>
                <w:rFonts w:hint="default" w:ascii="宋体" w:hAnsi="宋体" w:cs="宋体"/>
                <w:color w:val="auto"/>
                <w:kern w:val="2"/>
                <w:sz w:val="21"/>
                <w:szCs w:val="21"/>
                <w:highlight w:val="none"/>
              </w:rPr>
            </w:pPr>
            <w:r>
              <w:rPr>
                <w:rFonts w:hint="eastAsia" w:ascii="宋体" w:hAnsi="宋体" w:cs="方正仿宋_GB2312"/>
                <w:color w:val="auto"/>
                <w:kern w:val="2"/>
                <w:sz w:val="21"/>
                <w:szCs w:val="21"/>
                <w:highlight w:val="none"/>
              </w:rPr>
              <w:t>A02061819</w:t>
            </w:r>
            <w:r>
              <w:rPr>
                <w:rFonts w:hint="eastAsia" w:ascii="宋体" w:hAnsi="宋体" w:cs="宋体"/>
                <w:color w:val="auto"/>
                <w:w w:val="99"/>
                <w:kern w:val="2"/>
                <w:sz w:val="21"/>
                <w:szCs w:val="21"/>
                <w:highlight w:val="none"/>
              </w:rPr>
              <w:t>热水器</w:t>
            </w:r>
          </w:p>
        </w:tc>
        <w:tc>
          <w:tcPr>
            <w:tcW w:w="1481" w:type="dxa"/>
            <w:tcBorders>
              <w:top w:val="single" w:color="000000" w:sz="4" w:space="0"/>
              <w:left w:val="single" w:color="000000" w:sz="4" w:space="0"/>
              <w:bottom w:val="single" w:color="000000" w:sz="4" w:space="0"/>
              <w:right w:val="single" w:color="000000" w:sz="4" w:space="0"/>
            </w:tcBorders>
            <w:vAlign w:val="center"/>
          </w:tcPr>
          <w:p w14:paraId="5AE338B8">
            <w:pPr>
              <w:pStyle w:val="88"/>
              <w:keepNext w:val="0"/>
              <w:keepLines w:val="0"/>
              <w:suppressLineNumbers w:val="0"/>
              <w:spacing w:before="0" w:beforeAutospacing="0" w:after="0" w:afterAutospacing="0"/>
              <w:ind w:left="0" w:right="0"/>
              <w:jc w:val="center"/>
              <w:rPr>
                <w:rFonts w:hint="default" w:ascii="宋体" w:hAnsi="宋体" w:cs="宋体"/>
                <w:color w:val="auto"/>
                <w:kern w:val="2"/>
                <w:sz w:val="21"/>
                <w:szCs w:val="21"/>
                <w:highlight w:val="none"/>
              </w:rPr>
            </w:pPr>
            <w:r>
              <w:rPr>
                <w:rFonts w:hint="eastAsia" w:ascii="宋体" w:hAnsi="宋体" w:cs="宋体"/>
                <w:color w:val="auto"/>
                <w:w w:val="99"/>
                <w:kern w:val="2"/>
                <w:sz w:val="21"/>
                <w:szCs w:val="21"/>
                <w:highlight w:val="none"/>
              </w:rPr>
              <w:t>★电热</w:t>
            </w:r>
            <w:r>
              <w:rPr>
                <w:rFonts w:hint="eastAsia" w:ascii="宋体" w:hAnsi="宋体" w:cs="宋体"/>
                <w:color w:val="auto"/>
                <w:spacing w:val="2"/>
                <w:w w:val="99"/>
                <w:kern w:val="2"/>
                <w:sz w:val="21"/>
                <w:szCs w:val="21"/>
                <w:highlight w:val="none"/>
              </w:rPr>
              <w:t>水</w:t>
            </w:r>
            <w:r>
              <w:rPr>
                <w:rFonts w:hint="eastAsia" w:ascii="宋体" w:hAnsi="宋体" w:cs="宋体"/>
                <w:color w:val="auto"/>
                <w:w w:val="99"/>
                <w:kern w:val="2"/>
                <w:sz w:val="21"/>
                <w:szCs w:val="21"/>
                <w:highlight w:val="none"/>
              </w:rPr>
              <w:t>器</w:t>
            </w:r>
          </w:p>
        </w:tc>
        <w:tc>
          <w:tcPr>
            <w:tcW w:w="4388" w:type="dxa"/>
            <w:tcBorders>
              <w:top w:val="single" w:color="000000" w:sz="4" w:space="0"/>
              <w:left w:val="single" w:color="000000" w:sz="4" w:space="0"/>
              <w:bottom w:val="single" w:color="000000" w:sz="4" w:space="0"/>
              <w:right w:val="single" w:color="000000" w:sz="4" w:space="0"/>
            </w:tcBorders>
          </w:tcPr>
          <w:p w14:paraId="6D794C88">
            <w:pPr>
              <w:pStyle w:val="88"/>
              <w:keepNext w:val="0"/>
              <w:keepLines w:val="0"/>
              <w:suppressLineNumbers w:val="0"/>
              <w:spacing w:before="131" w:beforeAutospacing="0" w:after="0" w:afterAutospacing="0" w:line="276" w:lineRule="auto"/>
              <w:ind w:left="7" w:right="4"/>
              <w:rPr>
                <w:rFonts w:hint="default" w:ascii="宋体" w:hAnsi="宋体" w:cs="宋体"/>
                <w:color w:val="auto"/>
                <w:spacing w:val="10"/>
                <w:kern w:val="2"/>
                <w:sz w:val="21"/>
                <w:szCs w:val="21"/>
                <w:highlight w:val="none"/>
                <w:lang w:eastAsia="zh-CN"/>
              </w:rPr>
            </w:pPr>
            <w:r>
              <w:rPr>
                <w:rFonts w:hint="eastAsia" w:ascii="宋体" w:hAnsi="宋体" w:cs="宋体"/>
                <w:color w:val="auto"/>
                <w:spacing w:val="10"/>
                <w:kern w:val="2"/>
                <w:sz w:val="21"/>
                <w:szCs w:val="21"/>
                <w:highlight w:val="none"/>
                <w:lang w:eastAsia="zh-CN"/>
              </w:rPr>
              <w:t>《储水式电热水器能效限定值及能效等级》（GB21519）</w:t>
            </w:r>
          </w:p>
        </w:tc>
      </w:tr>
      <w:tr w14:paraId="16EC2F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0" w:type="auto"/>
            <w:vMerge w:val="continue"/>
            <w:tcBorders>
              <w:top w:val="single" w:color="000000" w:sz="4" w:space="0"/>
              <w:left w:val="single" w:color="000000" w:sz="4" w:space="0"/>
              <w:bottom w:val="single" w:color="000000" w:sz="4" w:space="0"/>
              <w:right w:val="single" w:color="000000" w:sz="4" w:space="0"/>
            </w:tcBorders>
            <w:vAlign w:val="center"/>
          </w:tcPr>
          <w:p w14:paraId="06A57946">
            <w:pPr>
              <w:keepNext w:val="0"/>
              <w:keepLines w:val="0"/>
              <w:widowControl/>
              <w:suppressLineNumbers w:val="0"/>
              <w:spacing w:before="0" w:beforeAutospacing="0" w:after="0" w:afterAutospacing="0"/>
              <w:ind w:left="0" w:right="0"/>
              <w:jc w:val="left"/>
              <w:rPr>
                <w:rFonts w:hint="default" w:ascii="宋体" w:hAnsi="宋体" w:cs="宋体"/>
                <w:color w:val="auto"/>
                <w:szCs w:val="21"/>
                <w:highlight w:val="none"/>
              </w:rPr>
            </w:pPr>
          </w:p>
        </w:tc>
        <w:tc>
          <w:tcPr>
            <w:tcW w:w="0" w:type="auto"/>
            <w:vMerge w:val="continue"/>
            <w:tcBorders>
              <w:top w:val="single" w:color="000000" w:sz="4" w:space="0"/>
              <w:left w:val="single" w:color="000000" w:sz="4" w:space="0"/>
              <w:bottom w:val="single" w:color="000000" w:sz="4" w:space="0"/>
              <w:right w:val="single" w:color="000000" w:sz="4" w:space="0"/>
            </w:tcBorders>
            <w:vAlign w:val="center"/>
          </w:tcPr>
          <w:p w14:paraId="31162446">
            <w:pPr>
              <w:keepNext w:val="0"/>
              <w:keepLines w:val="0"/>
              <w:widowControl/>
              <w:suppressLineNumbers w:val="0"/>
              <w:spacing w:before="0" w:beforeAutospacing="0" w:after="0" w:afterAutospacing="0"/>
              <w:ind w:left="0" w:right="0"/>
              <w:jc w:val="left"/>
              <w:rPr>
                <w:rFonts w:hint="default" w:ascii="宋体" w:hAnsi="宋体" w:cs="宋体"/>
                <w:color w:val="auto"/>
                <w:szCs w:val="21"/>
                <w:highlight w:val="none"/>
              </w:rPr>
            </w:pPr>
          </w:p>
        </w:tc>
        <w:tc>
          <w:tcPr>
            <w:tcW w:w="0" w:type="auto"/>
            <w:vMerge w:val="continue"/>
            <w:tcBorders>
              <w:top w:val="single" w:color="000000" w:sz="4" w:space="0"/>
              <w:left w:val="single" w:color="000000" w:sz="4" w:space="0"/>
              <w:bottom w:val="single" w:color="000000" w:sz="4" w:space="0"/>
              <w:right w:val="single" w:color="000000" w:sz="4" w:space="0"/>
            </w:tcBorders>
            <w:vAlign w:val="center"/>
          </w:tcPr>
          <w:p w14:paraId="5222FB8C">
            <w:pPr>
              <w:keepNext w:val="0"/>
              <w:keepLines w:val="0"/>
              <w:widowControl/>
              <w:suppressLineNumbers w:val="0"/>
              <w:spacing w:before="0" w:beforeAutospacing="0" w:after="0" w:afterAutospacing="0"/>
              <w:ind w:left="0" w:right="0"/>
              <w:jc w:val="left"/>
              <w:rPr>
                <w:rFonts w:hint="default" w:ascii="宋体" w:hAnsi="宋体" w:cs="宋体"/>
                <w:color w:val="auto"/>
                <w:szCs w:val="21"/>
                <w:highlight w:val="none"/>
              </w:rPr>
            </w:pPr>
          </w:p>
        </w:tc>
        <w:tc>
          <w:tcPr>
            <w:tcW w:w="1481" w:type="dxa"/>
            <w:tcBorders>
              <w:top w:val="single" w:color="000000" w:sz="4" w:space="0"/>
              <w:left w:val="single" w:color="000000" w:sz="4" w:space="0"/>
              <w:bottom w:val="single" w:color="000000" w:sz="4" w:space="0"/>
              <w:right w:val="single" w:color="000000" w:sz="4" w:space="0"/>
            </w:tcBorders>
            <w:vAlign w:val="center"/>
          </w:tcPr>
          <w:p w14:paraId="10823E14">
            <w:pPr>
              <w:pStyle w:val="88"/>
              <w:keepNext w:val="0"/>
              <w:keepLines w:val="0"/>
              <w:suppressLineNumbers w:val="0"/>
              <w:spacing w:before="0" w:beforeAutospacing="0" w:after="0" w:afterAutospacing="0"/>
              <w:ind w:left="0" w:right="0"/>
              <w:jc w:val="center"/>
              <w:rPr>
                <w:rFonts w:hint="default" w:ascii="宋体" w:hAnsi="宋体" w:cs="宋体"/>
                <w:color w:val="auto"/>
                <w:kern w:val="2"/>
                <w:sz w:val="21"/>
                <w:szCs w:val="21"/>
                <w:highlight w:val="none"/>
              </w:rPr>
            </w:pPr>
            <w:r>
              <w:rPr>
                <w:rFonts w:hint="eastAsia" w:ascii="宋体" w:hAnsi="宋体" w:cs="宋体"/>
                <w:color w:val="auto"/>
                <w:w w:val="99"/>
                <w:kern w:val="2"/>
                <w:sz w:val="21"/>
                <w:szCs w:val="21"/>
                <w:highlight w:val="none"/>
              </w:rPr>
              <w:t>燃气热</w:t>
            </w:r>
            <w:r>
              <w:rPr>
                <w:rFonts w:hint="eastAsia" w:ascii="宋体" w:hAnsi="宋体" w:cs="宋体"/>
                <w:color w:val="auto"/>
                <w:spacing w:val="2"/>
                <w:w w:val="99"/>
                <w:kern w:val="2"/>
                <w:sz w:val="21"/>
                <w:szCs w:val="21"/>
                <w:highlight w:val="none"/>
              </w:rPr>
              <w:t>水</w:t>
            </w:r>
            <w:r>
              <w:rPr>
                <w:rFonts w:hint="eastAsia" w:ascii="宋体" w:hAnsi="宋体" w:cs="宋体"/>
                <w:color w:val="auto"/>
                <w:w w:val="99"/>
                <w:kern w:val="2"/>
                <w:sz w:val="21"/>
                <w:szCs w:val="21"/>
                <w:highlight w:val="none"/>
              </w:rPr>
              <w:t>器</w:t>
            </w:r>
          </w:p>
        </w:tc>
        <w:tc>
          <w:tcPr>
            <w:tcW w:w="4388" w:type="dxa"/>
            <w:tcBorders>
              <w:top w:val="single" w:color="000000" w:sz="4" w:space="0"/>
              <w:left w:val="single" w:color="000000" w:sz="4" w:space="0"/>
              <w:bottom w:val="single" w:color="000000" w:sz="4" w:space="0"/>
              <w:right w:val="single" w:color="000000" w:sz="4" w:space="0"/>
            </w:tcBorders>
          </w:tcPr>
          <w:p w14:paraId="36E0696D">
            <w:pPr>
              <w:pStyle w:val="88"/>
              <w:keepNext w:val="0"/>
              <w:keepLines w:val="0"/>
              <w:suppressLineNumbers w:val="0"/>
              <w:spacing w:before="131" w:beforeAutospacing="0" w:after="0" w:afterAutospacing="0" w:line="276" w:lineRule="auto"/>
              <w:ind w:left="7" w:right="4"/>
              <w:rPr>
                <w:rFonts w:hint="default" w:ascii="宋体" w:hAnsi="宋体" w:cs="宋体"/>
                <w:color w:val="auto"/>
                <w:spacing w:val="10"/>
                <w:kern w:val="2"/>
                <w:sz w:val="21"/>
                <w:szCs w:val="21"/>
                <w:highlight w:val="none"/>
                <w:lang w:eastAsia="zh-CN"/>
              </w:rPr>
            </w:pPr>
            <w:r>
              <w:rPr>
                <w:rFonts w:hint="eastAsia" w:ascii="宋体" w:hAnsi="宋体" w:cs="宋体"/>
                <w:color w:val="auto"/>
                <w:spacing w:val="10"/>
                <w:kern w:val="2"/>
                <w:sz w:val="21"/>
                <w:szCs w:val="21"/>
                <w:highlight w:val="none"/>
                <w:lang w:eastAsia="zh-CN"/>
              </w:rPr>
              <w:t>《家用燃气快速热水器和燃气采暖热水炉能效限定值及能效等级》（GB20665）</w:t>
            </w:r>
          </w:p>
        </w:tc>
      </w:tr>
      <w:tr w14:paraId="1227AA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0" w:type="auto"/>
            <w:vMerge w:val="continue"/>
            <w:tcBorders>
              <w:top w:val="single" w:color="000000" w:sz="4" w:space="0"/>
              <w:left w:val="single" w:color="000000" w:sz="4" w:space="0"/>
              <w:bottom w:val="single" w:color="000000" w:sz="4" w:space="0"/>
              <w:right w:val="single" w:color="000000" w:sz="4" w:space="0"/>
            </w:tcBorders>
            <w:vAlign w:val="center"/>
          </w:tcPr>
          <w:p w14:paraId="2F3F9B44">
            <w:pPr>
              <w:keepNext w:val="0"/>
              <w:keepLines w:val="0"/>
              <w:widowControl/>
              <w:suppressLineNumbers w:val="0"/>
              <w:spacing w:before="0" w:beforeAutospacing="0" w:after="0" w:afterAutospacing="0"/>
              <w:ind w:left="0" w:right="0"/>
              <w:jc w:val="left"/>
              <w:rPr>
                <w:rFonts w:hint="default" w:ascii="宋体" w:hAnsi="宋体" w:cs="宋体"/>
                <w:color w:val="auto"/>
                <w:szCs w:val="21"/>
                <w:highlight w:val="none"/>
              </w:rPr>
            </w:pPr>
          </w:p>
        </w:tc>
        <w:tc>
          <w:tcPr>
            <w:tcW w:w="0" w:type="auto"/>
            <w:vMerge w:val="continue"/>
            <w:tcBorders>
              <w:top w:val="single" w:color="000000" w:sz="4" w:space="0"/>
              <w:left w:val="single" w:color="000000" w:sz="4" w:space="0"/>
              <w:bottom w:val="single" w:color="000000" w:sz="4" w:space="0"/>
              <w:right w:val="single" w:color="000000" w:sz="4" w:space="0"/>
            </w:tcBorders>
            <w:vAlign w:val="center"/>
          </w:tcPr>
          <w:p w14:paraId="1AAF96FA">
            <w:pPr>
              <w:keepNext w:val="0"/>
              <w:keepLines w:val="0"/>
              <w:widowControl/>
              <w:suppressLineNumbers w:val="0"/>
              <w:spacing w:before="0" w:beforeAutospacing="0" w:after="0" w:afterAutospacing="0"/>
              <w:ind w:left="0" w:right="0"/>
              <w:jc w:val="left"/>
              <w:rPr>
                <w:rFonts w:hint="default" w:ascii="宋体" w:hAnsi="宋体" w:cs="宋体"/>
                <w:color w:val="auto"/>
                <w:szCs w:val="21"/>
                <w:highlight w:val="none"/>
              </w:rPr>
            </w:pPr>
          </w:p>
        </w:tc>
        <w:tc>
          <w:tcPr>
            <w:tcW w:w="0" w:type="auto"/>
            <w:vMerge w:val="continue"/>
            <w:tcBorders>
              <w:top w:val="single" w:color="000000" w:sz="4" w:space="0"/>
              <w:left w:val="single" w:color="000000" w:sz="4" w:space="0"/>
              <w:bottom w:val="single" w:color="000000" w:sz="4" w:space="0"/>
              <w:right w:val="single" w:color="000000" w:sz="4" w:space="0"/>
            </w:tcBorders>
            <w:vAlign w:val="center"/>
          </w:tcPr>
          <w:p w14:paraId="2774C944">
            <w:pPr>
              <w:keepNext w:val="0"/>
              <w:keepLines w:val="0"/>
              <w:widowControl/>
              <w:suppressLineNumbers w:val="0"/>
              <w:spacing w:before="0" w:beforeAutospacing="0" w:after="0" w:afterAutospacing="0"/>
              <w:ind w:left="0" w:right="0"/>
              <w:jc w:val="left"/>
              <w:rPr>
                <w:rFonts w:hint="default" w:ascii="宋体" w:hAnsi="宋体" w:cs="宋体"/>
                <w:color w:val="auto"/>
                <w:szCs w:val="21"/>
                <w:highlight w:val="none"/>
              </w:rPr>
            </w:pPr>
          </w:p>
        </w:tc>
        <w:tc>
          <w:tcPr>
            <w:tcW w:w="1481" w:type="dxa"/>
            <w:tcBorders>
              <w:top w:val="single" w:color="000000" w:sz="4" w:space="0"/>
              <w:left w:val="single" w:color="000000" w:sz="4" w:space="0"/>
              <w:bottom w:val="single" w:color="000000" w:sz="4" w:space="0"/>
              <w:right w:val="single" w:color="000000" w:sz="4" w:space="0"/>
            </w:tcBorders>
            <w:vAlign w:val="center"/>
          </w:tcPr>
          <w:p w14:paraId="0501EB3D">
            <w:pPr>
              <w:pStyle w:val="88"/>
              <w:keepNext w:val="0"/>
              <w:keepLines w:val="0"/>
              <w:suppressLineNumbers w:val="0"/>
              <w:spacing w:before="0" w:beforeAutospacing="0" w:after="0" w:afterAutospacing="0"/>
              <w:ind w:left="0" w:right="0"/>
              <w:jc w:val="center"/>
              <w:rPr>
                <w:rFonts w:hint="default" w:ascii="宋体" w:hAnsi="宋体" w:cs="宋体"/>
                <w:color w:val="auto"/>
                <w:kern w:val="2"/>
                <w:sz w:val="21"/>
                <w:szCs w:val="21"/>
                <w:highlight w:val="none"/>
              </w:rPr>
            </w:pPr>
            <w:r>
              <w:rPr>
                <w:rFonts w:hint="eastAsia" w:ascii="宋体" w:hAnsi="宋体" w:cs="宋体"/>
                <w:color w:val="auto"/>
                <w:w w:val="99"/>
                <w:kern w:val="2"/>
                <w:sz w:val="21"/>
                <w:szCs w:val="21"/>
                <w:highlight w:val="none"/>
              </w:rPr>
              <w:t>热泵热</w:t>
            </w:r>
            <w:r>
              <w:rPr>
                <w:rFonts w:hint="eastAsia" w:ascii="宋体" w:hAnsi="宋体" w:cs="宋体"/>
                <w:color w:val="auto"/>
                <w:spacing w:val="2"/>
                <w:w w:val="99"/>
                <w:kern w:val="2"/>
                <w:sz w:val="21"/>
                <w:szCs w:val="21"/>
                <w:highlight w:val="none"/>
              </w:rPr>
              <w:t>水</w:t>
            </w:r>
            <w:r>
              <w:rPr>
                <w:rFonts w:hint="eastAsia" w:ascii="宋体" w:hAnsi="宋体" w:cs="宋体"/>
                <w:color w:val="auto"/>
                <w:w w:val="99"/>
                <w:kern w:val="2"/>
                <w:sz w:val="21"/>
                <w:szCs w:val="21"/>
                <w:highlight w:val="none"/>
              </w:rPr>
              <w:t>器</w:t>
            </w:r>
          </w:p>
        </w:tc>
        <w:tc>
          <w:tcPr>
            <w:tcW w:w="4388" w:type="dxa"/>
            <w:tcBorders>
              <w:top w:val="single" w:color="000000" w:sz="4" w:space="0"/>
              <w:left w:val="single" w:color="000000" w:sz="4" w:space="0"/>
              <w:bottom w:val="single" w:color="000000" w:sz="4" w:space="0"/>
              <w:right w:val="single" w:color="000000" w:sz="4" w:space="0"/>
            </w:tcBorders>
          </w:tcPr>
          <w:p w14:paraId="7154D179">
            <w:pPr>
              <w:pStyle w:val="88"/>
              <w:keepNext w:val="0"/>
              <w:keepLines w:val="0"/>
              <w:suppressLineNumbers w:val="0"/>
              <w:spacing w:before="131" w:beforeAutospacing="0" w:after="0" w:afterAutospacing="0" w:line="276" w:lineRule="auto"/>
              <w:ind w:left="7" w:right="4"/>
              <w:rPr>
                <w:rFonts w:hint="default" w:ascii="宋体" w:hAnsi="宋体" w:cs="宋体"/>
                <w:color w:val="auto"/>
                <w:spacing w:val="10"/>
                <w:kern w:val="2"/>
                <w:sz w:val="21"/>
                <w:szCs w:val="21"/>
                <w:highlight w:val="none"/>
                <w:lang w:eastAsia="zh-CN"/>
              </w:rPr>
            </w:pPr>
            <w:r>
              <w:rPr>
                <w:rFonts w:hint="eastAsia" w:ascii="宋体" w:hAnsi="宋体" w:cs="宋体"/>
                <w:color w:val="auto"/>
                <w:spacing w:val="10"/>
                <w:kern w:val="2"/>
                <w:sz w:val="21"/>
                <w:szCs w:val="21"/>
                <w:highlight w:val="none"/>
                <w:lang w:eastAsia="zh-CN"/>
              </w:rPr>
              <w:t>《热泵热水机（器）能效限定值及能效等级》（GB29541）</w:t>
            </w:r>
          </w:p>
        </w:tc>
      </w:tr>
      <w:tr w14:paraId="0DAC5B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0" w:type="auto"/>
            <w:vMerge w:val="continue"/>
            <w:tcBorders>
              <w:top w:val="single" w:color="000000" w:sz="4" w:space="0"/>
              <w:left w:val="single" w:color="000000" w:sz="4" w:space="0"/>
              <w:bottom w:val="single" w:color="000000" w:sz="4" w:space="0"/>
              <w:right w:val="single" w:color="000000" w:sz="4" w:space="0"/>
            </w:tcBorders>
            <w:vAlign w:val="center"/>
          </w:tcPr>
          <w:p w14:paraId="289715E0">
            <w:pPr>
              <w:keepNext w:val="0"/>
              <w:keepLines w:val="0"/>
              <w:widowControl/>
              <w:suppressLineNumbers w:val="0"/>
              <w:spacing w:before="0" w:beforeAutospacing="0" w:after="0" w:afterAutospacing="0"/>
              <w:ind w:left="0" w:right="0"/>
              <w:jc w:val="left"/>
              <w:rPr>
                <w:rFonts w:hint="default" w:ascii="宋体" w:hAnsi="宋体" w:cs="宋体"/>
                <w:color w:val="auto"/>
                <w:szCs w:val="21"/>
                <w:highlight w:val="none"/>
              </w:rPr>
            </w:pPr>
          </w:p>
        </w:tc>
        <w:tc>
          <w:tcPr>
            <w:tcW w:w="0" w:type="auto"/>
            <w:vMerge w:val="continue"/>
            <w:tcBorders>
              <w:top w:val="single" w:color="000000" w:sz="4" w:space="0"/>
              <w:left w:val="single" w:color="000000" w:sz="4" w:space="0"/>
              <w:bottom w:val="single" w:color="000000" w:sz="4" w:space="0"/>
              <w:right w:val="single" w:color="000000" w:sz="4" w:space="0"/>
            </w:tcBorders>
            <w:vAlign w:val="center"/>
          </w:tcPr>
          <w:p w14:paraId="2BA8901D">
            <w:pPr>
              <w:keepNext w:val="0"/>
              <w:keepLines w:val="0"/>
              <w:widowControl/>
              <w:suppressLineNumbers w:val="0"/>
              <w:spacing w:before="0" w:beforeAutospacing="0" w:after="0" w:afterAutospacing="0"/>
              <w:ind w:left="0" w:right="0"/>
              <w:jc w:val="left"/>
              <w:rPr>
                <w:rFonts w:hint="default" w:ascii="宋体" w:hAnsi="宋体" w:cs="宋体"/>
                <w:color w:val="auto"/>
                <w:szCs w:val="21"/>
                <w:highlight w:val="none"/>
              </w:rPr>
            </w:pPr>
          </w:p>
        </w:tc>
        <w:tc>
          <w:tcPr>
            <w:tcW w:w="0" w:type="auto"/>
            <w:vMerge w:val="continue"/>
            <w:tcBorders>
              <w:top w:val="single" w:color="000000" w:sz="4" w:space="0"/>
              <w:left w:val="single" w:color="000000" w:sz="4" w:space="0"/>
              <w:bottom w:val="single" w:color="000000" w:sz="4" w:space="0"/>
              <w:right w:val="single" w:color="000000" w:sz="4" w:space="0"/>
            </w:tcBorders>
            <w:vAlign w:val="center"/>
          </w:tcPr>
          <w:p w14:paraId="351D99BE">
            <w:pPr>
              <w:keepNext w:val="0"/>
              <w:keepLines w:val="0"/>
              <w:widowControl/>
              <w:suppressLineNumbers w:val="0"/>
              <w:spacing w:before="0" w:beforeAutospacing="0" w:after="0" w:afterAutospacing="0"/>
              <w:ind w:left="0" w:right="0"/>
              <w:jc w:val="left"/>
              <w:rPr>
                <w:rFonts w:hint="default" w:ascii="宋体" w:hAnsi="宋体" w:cs="宋体"/>
                <w:color w:val="auto"/>
                <w:szCs w:val="21"/>
                <w:highlight w:val="none"/>
              </w:rPr>
            </w:pPr>
          </w:p>
        </w:tc>
        <w:tc>
          <w:tcPr>
            <w:tcW w:w="1481" w:type="dxa"/>
            <w:tcBorders>
              <w:top w:val="single" w:color="000000" w:sz="4" w:space="0"/>
              <w:left w:val="single" w:color="000000" w:sz="4" w:space="0"/>
              <w:bottom w:val="single" w:color="000000" w:sz="4" w:space="0"/>
              <w:right w:val="single" w:color="000000" w:sz="4" w:space="0"/>
            </w:tcBorders>
            <w:vAlign w:val="center"/>
          </w:tcPr>
          <w:p w14:paraId="11B9965E">
            <w:pPr>
              <w:pStyle w:val="88"/>
              <w:keepNext w:val="0"/>
              <w:keepLines w:val="0"/>
              <w:suppressLineNumbers w:val="0"/>
              <w:spacing w:before="0" w:beforeAutospacing="0" w:after="0" w:afterAutospacing="0"/>
              <w:ind w:left="0" w:right="0"/>
              <w:jc w:val="center"/>
              <w:rPr>
                <w:rFonts w:hint="default" w:ascii="宋体" w:hAnsi="宋体" w:cs="宋体"/>
                <w:color w:val="auto"/>
                <w:kern w:val="2"/>
                <w:sz w:val="21"/>
                <w:szCs w:val="21"/>
                <w:highlight w:val="none"/>
              </w:rPr>
            </w:pPr>
            <w:r>
              <w:rPr>
                <w:rFonts w:hint="eastAsia" w:ascii="宋体" w:hAnsi="宋体" w:cs="宋体"/>
                <w:color w:val="auto"/>
                <w:w w:val="99"/>
                <w:kern w:val="2"/>
                <w:sz w:val="21"/>
                <w:szCs w:val="21"/>
                <w:highlight w:val="none"/>
              </w:rPr>
              <w:t>太阳能</w:t>
            </w:r>
            <w:r>
              <w:rPr>
                <w:rFonts w:hint="eastAsia" w:ascii="宋体" w:hAnsi="宋体" w:cs="宋体"/>
                <w:color w:val="auto"/>
                <w:spacing w:val="2"/>
                <w:w w:val="99"/>
                <w:kern w:val="2"/>
                <w:sz w:val="21"/>
                <w:szCs w:val="21"/>
                <w:highlight w:val="none"/>
              </w:rPr>
              <w:t>热</w:t>
            </w:r>
            <w:r>
              <w:rPr>
                <w:rFonts w:hint="eastAsia" w:ascii="宋体" w:hAnsi="宋体" w:cs="宋体"/>
                <w:color w:val="auto"/>
                <w:w w:val="99"/>
                <w:kern w:val="2"/>
                <w:sz w:val="21"/>
                <w:szCs w:val="21"/>
                <w:highlight w:val="none"/>
              </w:rPr>
              <w:t>水系统</w:t>
            </w:r>
          </w:p>
        </w:tc>
        <w:tc>
          <w:tcPr>
            <w:tcW w:w="4388" w:type="dxa"/>
            <w:tcBorders>
              <w:top w:val="single" w:color="000000" w:sz="4" w:space="0"/>
              <w:left w:val="single" w:color="000000" w:sz="4" w:space="0"/>
              <w:bottom w:val="single" w:color="000000" w:sz="4" w:space="0"/>
              <w:right w:val="single" w:color="000000" w:sz="4" w:space="0"/>
            </w:tcBorders>
          </w:tcPr>
          <w:p w14:paraId="17BFED81">
            <w:pPr>
              <w:pStyle w:val="88"/>
              <w:keepNext w:val="0"/>
              <w:keepLines w:val="0"/>
              <w:suppressLineNumbers w:val="0"/>
              <w:spacing w:before="131" w:beforeAutospacing="0" w:after="0" w:afterAutospacing="0" w:line="276" w:lineRule="auto"/>
              <w:ind w:left="7" w:right="4"/>
              <w:rPr>
                <w:rFonts w:hint="default" w:ascii="宋体" w:hAnsi="宋体" w:cs="宋体"/>
                <w:color w:val="auto"/>
                <w:spacing w:val="10"/>
                <w:kern w:val="2"/>
                <w:sz w:val="21"/>
                <w:szCs w:val="21"/>
                <w:highlight w:val="none"/>
                <w:lang w:eastAsia="zh-CN"/>
              </w:rPr>
            </w:pPr>
            <w:r>
              <w:rPr>
                <w:rFonts w:hint="eastAsia" w:ascii="宋体" w:hAnsi="宋体" w:cs="宋体"/>
                <w:color w:val="auto"/>
                <w:spacing w:val="10"/>
                <w:kern w:val="2"/>
                <w:sz w:val="21"/>
                <w:szCs w:val="21"/>
                <w:highlight w:val="none"/>
                <w:lang w:eastAsia="zh-CN"/>
              </w:rPr>
              <w:t>《家用太阳能热水系统能效限定值及能效等级》（GB26969）</w:t>
            </w:r>
          </w:p>
        </w:tc>
      </w:tr>
      <w:tr w14:paraId="66ABC2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71" w:type="dxa"/>
            <w:vMerge w:val="restart"/>
            <w:tcBorders>
              <w:top w:val="single" w:color="000000" w:sz="4" w:space="0"/>
              <w:left w:val="single" w:color="000000" w:sz="4" w:space="0"/>
              <w:bottom w:val="single" w:color="000000" w:sz="4" w:space="0"/>
              <w:right w:val="single" w:color="000000" w:sz="4" w:space="0"/>
            </w:tcBorders>
            <w:vAlign w:val="center"/>
          </w:tcPr>
          <w:p w14:paraId="51E79C4D">
            <w:pPr>
              <w:pStyle w:val="88"/>
              <w:keepNext w:val="0"/>
              <w:keepLines w:val="0"/>
              <w:suppressLineNumbers w:val="0"/>
              <w:spacing w:before="0" w:beforeAutospacing="0" w:after="0" w:afterAutospacing="0"/>
              <w:ind w:left="0" w:right="0"/>
              <w:jc w:val="center"/>
              <w:rPr>
                <w:rFonts w:hint="default" w:ascii="宋体" w:hAnsi="宋体" w:cs="宋体"/>
                <w:color w:val="auto"/>
                <w:kern w:val="2"/>
                <w:sz w:val="21"/>
                <w:szCs w:val="21"/>
                <w:highlight w:val="none"/>
              </w:rPr>
            </w:pPr>
            <w:r>
              <w:rPr>
                <w:rFonts w:hint="eastAsia" w:ascii="宋体" w:hAnsi="宋体"/>
                <w:color w:val="auto"/>
                <w:spacing w:val="1"/>
                <w:w w:val="99"/>
                <w:kern w:val="2"/>
                <w:sz w:val="21"/>
                <w:szCs w:val="21"/>
                <w:highlight w:val="none"/>
              </w:rPr>
              <w:t>1</w:t>
            </w:r>
            <w:r>
              <w:rPr>
                <w:rFonts w:hint="eastAsia" w:ascii="宋体" w:hAnsi="宋体"/>
                <w:color w:val="auto"/>
                <w:w w:val="99"/>
                <w:kern w:val="2"/>
                <w:sz w:val="21"/>
                <w:szCs w:val="21"/>
                <w:highlight w:val="none"/>
              </w:rPr>
              <w:t>1</w:t>
            </w:r>
          </w:p>
        </w:tc>
        <w:tc>
          <w:tcPr>
            <w:tcW w:w="1422" w:type="dxa"/>
            <w:vMerge w:val="restart"/>
            <w:tcBorders>
              <w:top w:val="single" w:color="000000" w:sz="4" w:space="0"/>
              <w:left w:val="single" w:color="000000" w:sz="4" w:space="0"/>
              <w:bottom w:val="single" w:color="000000" w:sz="4" w:space="0"/>
              <w:right w:val="single" w:color="000000" w:sz="4" w:space="0"/>
            </w:tcBorders>
            <w:vAlign w:val="center"/>
          </w:tcPr>
          <w:p w14:paraId="2440E253">
            <w:pPr>
              <w:pStyle w:val="88"/>
              <w:keepNext w:val="0"/>
              <w:keepLines w:val="0"/>
              <w:suppressLineNumbers w:val="0"/>
              <w:spacing w:before="157" w:beforeAutospacing="0" w:after="0" w:afterAutospacing="0"/>
              <w:ind w:left="0" w:right="0"/>
              <w:jc w:val="center"/>
              <w:rPr>
                <w:rFonts w:hint="default" w:ascii="宋体" w:hAnsi="宋体" w:cs="宋体"/>
                <w:color w:val="auto"/>
                <w:kern w:val="2"/>
                <w:sz w:val="21"/>
                <w:szCs w:val="21"/>
                <w:highlight w:val="none"/>
              </w:rPr>
            </w:pPr>
            <w:r>
              <w:rPr>
                <w:rFonts w:hint="eastAsia" w:ascii="宋体" w:hAnsi="宋体" w:cs="宋体"/>
                <w:color w:val="auto"/>
                <w:spacing w:val="1"/>
                <w:w w:val="99"/>
                <w:kern w:val="2"/>
                <w:sz w:val="21"/>
                <w:szCs w:val="21"/>
                <w:highlight w:val="none"/>
              </w:rPr>
              <w:t>A02</w:t>
            </w:r>
            <w:r>
              <w:rPr>
                <w:rFonts w:hint="eastAsia" w:ascii="宋体" w:hAnsi="宋体" w:cs="宋体"/>
                <w:color w:val="auto"/>
                <w:w w:val="99"/>
                <w:kern w:val="2"/>
                <w:sz w:val="21"/>
                <w:szCs w:val="21"/>
                <w:highlight w:val="none"/>
              </w:rPr>
              <w:t>06</w:t>
            </w:r>
            <w:r>
              <w:rPr>
                <w:rFonts w:hint="eastAsia" w:ascii="宋体" w:hAnsi="宋体" w:cs="宋体"/>
                <w:color w:val="auto"/>
                <w:spacing w:val="1"/>
                <w:w w:val="99"/>
                <w:kern w:val="2"/>
                <w:sz w:val="21"/>
                <w:szCs w:val="21"/>
                <w:highlight w:val="none"/>
              </w:rPr>
              <w:t>1</w:t>
            </w:r>
            <w:r>
              <w:rPr>
                <w:rFonts w:hint="eastAsia" w:ascii="宋体" w:hAnsi="宋体" w:cs="宋体"/>
                <w:color w:val="auto"/>
                <w:w w:val="99"/>
                <w:kern w:val="2"/>
                <w:sz w:val="21"/>
                <w:szCs w:val="21"/>
                <w:highlight w:val="none"/>
              </w:rPr>
              <w:t>900照明设备</w:t>
            </w:r>
          </w:p>
        </w:tc>
        <w:tc>
          <w:tcPr>
            <w:tcW w:w="1496" w:type="dxa"/>
            <w:tcBorders>
              <w:top w:val="single" w:color="000000" w:sz="4" w:space="0"/>
              <w:left w:val="single" w:color="000000" w:sz="4" w:space="0"/>
              <w:bottom w:val="single" w:color="000000" w:sz="4" w:space="0"/>
              <w:right w:val="single" w:color="000000" w:sz="4" w:space="0"/>
            </w:tcBorders>
            <w:vAlign w:val="center"/>
          </w:tcPr>
          <w:p w14:paraId="1AB5A332">
            <w:pPr>
              <w:pStyle w:val="88"/>
              <w:keepNext w:val="0"/>
              <w:keepLines w:val="0"/>
              <w:suppressLineNumbers w:val="0"/>
              <w:spacing w:before="133" w:beforeAutospacing="0" w:after="0" w:afterAutospacing="0" w:line="276" w:lineRule="auto"/>
              <w:ind w:left="7" w:right="7"/>
              <w:jc w:val="center"/>
              <w:rPr>
                <w:rFonts w:hint="default" w:ascii="宋体" w:hAnsi="宋体" w:cs="宋体"/>
                <w:color w:val="auto"/>
                <w:kern w:val="2"/>
                <w:sz w:val="21"/>
                <w:szCs w:val="21"/>
                <w:highlight w:val="none"/>
                <w:lang w:eastAsia="zh-CN"/>
              </w:rPr>
            </w:pPr>
            <w:r>
              <w:rPr>
                <w:rFonts w:hint="eastAsia" w:ascii="宋体" w:hAnsi="宋体" w:cs="宋体"/>
                <w:color w:val="auto"/>
                <w:w w:val="99"/>
                <w:kern w:val="2"/>
                <w:sz w:val="21"/>
                <w:szCs w:val="21"/>
                <w:highlight w:val="none"/>
                <w:lang w:eastAsia="zh-CN"/>
              </w:rPr>
              <w:t>★普通照明用双端荧光灯</w:t>
            </w:r>
          </w:p>
        </w:tc>
        <w:tc>
          <w:tcPr>
            <w:tcW w:w="1481" w:type="dxa"/>
            <w:tcBorders>
              <w:top w:val="single" w:color="000000" w:sz="4" w:space="0"/>
              <w:left w:val="single" w:color="000000" w:sz="4" w:space="0"/>
              <w:bottom w:val="single" w:color="000000" w:sz="4" w:space="0"/>
              <w:right w:val="single" w:color="000000" w:sz="4" w:space="0"/>
            </w:tcBorders>
            <w:vAlign w:val="center"/>
          </w:tcPr>
          <w:p w14:paraId="1E0B5E88">
            <w:pPr>
              <w:keepNext w:val="0"/>
              <w:keepLines w:val="0"/>
              <w:suppressLineNumbers w:val="0"/>
              <w:spacing w:before="0" w:beforeAutospacing="0" w:after="0" w:afterAutospacing="0"/>
              <w:ind w:left="0" w:right="0"/>
              <w:jc w:val="center"/>
              <w:rPr>
                <w:rFonts w:hint="default" w:ascii="宋体" w:hAnsi="宋体"/>
                <w:color w:val="auto"/>
                <w:szCs w:val="21"/>
                <w:highlight w:val="none"/>
              </w:rPr>
            </w:pPr>
          </w:p>
        </w:tc>
        <w:tc>
          <w:tcPr>
            <w:tcW w:w="4388" w:type="dxa"/>
            <w:tcBorders>
              <w:top w:val="single" w:color="000000" w:sz="4" w:space="0"/>
              <w:left w:val="single" w:color="000000" w:sz="4" w:space="0"/>
              <w:bottom w:val="single" w:color="000000" w:sz="4" w:space="0"/>
              <w:right w:val="single" w:color="000000" w:sz="4" w:space="0"/>
            </w:tcBorders>
          </w:tcPr>
          <w:p w14:paraId="12F5ACD3">
            <w:pPr>
              <w:pStyle w:val="88"/>
              <w:keepNext w:val="0"/>
              <w:keepLines w:val="0"/>
              <w:suppressLineNumbers w:val="0"/>
              <w:spacing w:before="131" w:beforeAutospacing="0" w:after="0" w:afterAutospacing="0" w:line="276" w:lineRule="auto"/>
              <w:ind w:left="7" w:right="4"/>
              <w:rPr>
                <w:rFonts w:hint="default" w:ascii="宋体" w:hAnsi="宋体" w:cs="宋体"/>
                <w:color w:val="auto"/>
                <w:spacing w:val="10"/>
                <w:kern w:val="2"/>
                <w:sz w:val="21"/>
                <w:szCs w:val="21"/>
                <w:highlight w:val="none"/>
                <w:lang w:eastAsia="zh-CN"/>
              </w:rPr>
            </w:pPr>
            <w:r>
              <w:rPr>
                <w:rFonts w:hint="eastAsia" w:ascii="宋体" w:hAnsi="宋体" w:cs="宋体"/>
                <w:color w:val="auto"/>
                <w:spacing w:val="10"/>
                <w:kern w:val="2"/>
                <w:sz w:val="21"/>
                <w:szCs w:val="21"/>
                <w:highlight w:val="none"/>
                <w:lang w:eastAsia="zh-CN"/>
              </w:rPr>
              <w:t>《普通照明用双端荧光灯能效限定值及能效等级》（GB19043）</w:t>
            </w:r>
          </w:p>
        </w:tc>
      </w:tr>
      <w:tr w14:paraId="231B28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0" w:type="auto"/>
            <w:vMerge w:val="continue"/>
            <w:tcBorders>
              <w:top w:val="single" w:color="000000" w:sz="4" w:space="0"/>
              <w:left w:val="single" w:color="000000" w:sz="4" w:space="0"/>
              <w:bottom w:val="single" w:color="000000" w:sz="4" w:space="0"/>
              <w:right w:val="single" w:color="000000" w:sz="4" w:space="0"/>
            </w:tcBorders>
            <w:vAlign w:val="center"/>
          </w:tcPr>
          <w:p w14:paraId="7C91886B">
            <w:pPr>
              <w:keepNext w:val="0"/>
              <w:keepLines w:val="0"/>
              <w:widowControl/>
              <w:suppressLineNumbers w:val="0"/>
              <w:spacing w:before="0" w:beforeAutospacing="0" w:after="0" w:afterAutospacing="0"/>
              <w:ind w:left="0" w:right="0"/>
              <w:jc w:val="left"/>
              <w:rPr>
                <w:rFonts w:hint="default" w:ascii="宋体" w:hAnsi="宋体" w:cs="宋体"/>
                <w:color w:val="auto"/>
                <w:szCs w:val="21"/>
                <w:highlight w:val="none"/>
              </w:rPr>
            </w:pPr>
          </w:p>
        </w:tc>
        <w:tc>
          <w:tcPr>
            <w:tcW w:w="0" w:type="auto"/>
            <w:vMerge w:val="continue"/>
            <w:tcBorders>
              <w:top w:val="single" w:color="000000" w:sz="4" w:space="0"/>
              <w:left w:val="single" w:color="000000" w:sz="4" w:space="0"/>
              <w:bottom w:val="single" w:color="000000" w:sz="4" w:space="0"/>
              <w:right w:val="single" w:color="000000" w:sz="4" w:space="0"/>
            </w:tcBorders>
            <w:vAlign w:val="center"/>
          </w:tcPr>
          <w:p w14:paraId="709AC70A">
            <w:pPr>
              <w:keepNext w:val="0"/>
              <w:keepLines w:val="0"/>
              <w:widowControl/>
              <w:suppressLineNumbers w:val="0"/>
              <w:spacing w:before="0" w:beforeAutospacing="0" w:after="0" w:afterAutospacing="0"/>
              <w:ind w:left="0" w:right="0"/>
              <w:jc w:val="left"/>
              <w:rPr>
                <w:rFonts w:hint="default" w:ascii="宋体" w:hAnsi="宋体" w:cs="宋体"/>
                <w:color w:val="auto"/>
                <w:szCs w:val="21"/>
                <w:highlight w:val="none"/>
              </w:rPr>
            </w:pPr>
          </w:p>
        </w:tc>
        <w:tc>
          <w:tcPr>
            <w:tcW w:w="1496" w:type="dxa"/>
            <w:tcBorders>
              <w:top w:val="single" w:color="000000" w:sz="4" w:space="0"/>
              <w:left w:val="single" w:color="000000" w:sz="4" w:space="0"/>
              <w:bottom w:val="single" w:color="000000" w:sz="4" w:space="0"/>
              <w:right w:val="single" w:color="000000" w:sz="4" w:space="0"/>
            </w:tcBorders>
            <w:vAlign w:val="center"/>
          </w:tcPr>
          <w:p w14:paraId="7B851F1D">
            <w:pPr>
              <w:pStyle w:val="88"/>
              <w:keepNext w:val="0"/>
              <w:keepLines w:val="0"/>
              <w:suppressLineNumbers w:val="0"/>
              <w:spacing w:before="92" w:beforeAutospacing="0" w:after="0" w:afterAutospacing="0" w:line="276" w:lineRule="auto"/>
              <w:ind w:left="7" w:right="2"/>
              <w:jc w:val="center"/>
              <w:rPr>
                <w:rFonts w:hint="default" w:ascii="宋体" w:hAnsi="宋体" w:cs="宋体"/>
                <w:color w:val="auto"/>
                <w:kern w:val="2"/>
                <w:sz w:val="21"/>
                <w:szCs w:val="21"/>
                <w:highlight w:val="none"/>
              </w:rPr>
            </w:pPr>
            <w:r>
              <w:rPr>
                <w:rFonts w:hint="eastAsia" w:ascii="宋体" w:hAnsi="宋体" w:cs="宋体"/>
                <w:color w:val="auto"/>
                <w:spacing w:val="1"/>
                <w:w w:val="99"/>
                <w:kern w:val="2"/>
                <w:sz w:val="21"/>
                <w:szCs w:val="21"/>
                <w:highlight w:val="none"/>
              </w:rPr>
              <w:t>LE</w:t>
            </w:r>
            <w:r>
              <w:rPr>
                <w:rFonts w:hint="eastAsia" w:ascii="宋体" w:hAnsi="宋体" w:cs="宋体"/>
                <w:color w:val="auto"/>
                <w:w w:val="99"/>
                <w:kern w:val="2"/>
                <w:sz w:val="21"/>
                <w:szCs w:val="21"/>
                <w:highlight w:val="none"/>
              </w:rPr>
              <w:t>D</w:t>
            </w:r>
            <w:r>
              <w:rPr>
                <w:rFonts w:hint="eastAsia" w:ascii="宋体" w:hAnsi="宋体" w:cs="宋体"/>
                <w:color w:val="auto"/>
                <w:spacing w:val="12"/>
                <w:w w:val="99"/>
                <w:kern w:val="2"/>
                <w:sz w:val="21"/>
                <w:szCs w:val="21"/>
                <w:highlight w:val="none"/>
              </w:rPr>
              <w:t>道</w:t>
            </w:r>
            <w:r>
              <w:rPr>
                <w:rFonts w:hint="eastAsia" w:ascii="宋体" w:hAnsi="宋体" w:cs="宋体"/>
                <w:color w:val="auto"/>
                <w:spacing w:val="9"/>
                <w:w w:val="99"/>
                <w:kern w:val="2"/>
                <w:sz w:val="21"/>
                <w:szCs w:val="21"/>
                <w:highlight w:val="none"/>
              </w:rPr>
              <w:t>路</w:t>
            </w:r>
            <w:r>
              <w:rPr>
                <w:rFonts w:hint="eastAsia" w:ascii="宋体" w:hAnsi="宋体" w:cs="宋体"/>
                <w:color w:val="auto"/>
                <w:spacing w:val="13"/>
                <w:w w:val="99"/>
                <w:kern w:val="2"/>
                <w:sz w:val="21"/>
                <w:szCs w:val="21"/>
                <w:highlight w:val="none"/>
              </w:rPr>
              <w:t>/</w:t>
            </w:r>
            <w:r>
              <w:rPr>
                <w:rFonts w:hint="eastAsia" w:ascii="宋体" w:hAnsi="宋体" w:cs="宋体"/>
                <w:color w:val="auto"/>
                <w:spacing w:val="12"/>
                <w:w w:val="99"/>
                <w:kern w:val="2"/>
                <w:sz w:val="21"/>
                <w:szCs w:val="21"/>
                <w:highlight w:val="none"/>
              </w:rPr>
              <w:t>隧道照</w:t>
            </w:r>
            <w:r>
              <w:rPr>
                <w:rFonts w:hint="eastAsia" w:ascii="宋体" w:hAnsi="宋体" w:cs="宋体"/>
                <w:color w:val="auto"/>
                <w:w w:val="99"/>
                <w:kern w:val="2"/>
                <w:sz w:val="21"/>
                <w:szCs w:val="21"/>
                <w:highlight w:val="none"/>
              </w:rPr>
              <w:t>明产品</w:t>
            </w:r>
          </w:p>
        </w:tc>
        <w:tc>
          <w:tcPr>
            <w:tcW w:w="1481" w:type="dxa"/>
            <w:tcBorders>
              <w:top w:val="single" w:color="000000" w:sz="4" w:space="0"/>
              <w:left w:val="single" w:color="000000" w:sz="4" w:space="0"/>
              <w:bottom w:val="single" w:color="000000" w:sz="4" w:space="0"/>
              <w:right w:val="single" w:color="000000" w:sz="4" w:space="0"/>
            </w:tcBorders>
            <w:vAlign w:val="center"/>
          </w:tcPr>
          <w:p w14:paraId="5F4FC98E">
            <w:pPr>
              <w:keepNext w:val="0"/>
              <w:keepLines w:val="0"/>
              <w:suppressLineNumbers w:val="0"/>
              <w:spacing w:before="0" w:beforeAutospacing="0" w:after="0" w:afterAutospacing="0"/>
              <w:ind w:left="0" w:right="0"/>
              <w:jc w:val="center"/>
              <w:rPr>
                <w:rFonts w:hint="default" w:ascii="宋体" w:hAnsi="宋体"/>
                <w:color w:val="auto"/>
                <w:szCs w:val="21"/>
                <w:highlight w:val="none"/>
              </w:rPr>
            </w:pPr>
          </w:p>
        </w:tc>
        <w:tc>
          <w:tcPr>
            <w:tcW w:w="4388" w:type="dxa"/>
            <w:tcBorders>
              <w:top w:val="single" w:color="000000" w:sz="4" w:space="0"/>
              <w:left w:val="single" w:color="000000" w:sz="4" w:space="0"/>
              <w:bottom w:val="single" w:color="000000" w:sz="4" w:space="0"/>
              <w:right w:val="single" w:color="000000" w:sz="4" w:space="0"/>
            </w:tcBorders>
          </w:tcPr>
          <w:p w14:paraId="6045FE3C">
            <w:pPr>
              <w:pStyle w:val="88"/>
              <w:keepNext w:val="0"/>
              <w:keepLines w:val="0"/>
              <w:suppressLineNumbers w:val="0"/>
              <w:spacing w:before="131" w:beforeAutospacing="0" w:after="0" w:afterAutospacing="0" w:line="276" w:lineRule="auto"/>
              <w:ind w:left="7" w:right="4"/>
              <w:rPr>
                <w:rFonts w:hint="default" w:ascii="宋体" w:hAnsi="宋体" w:cs="宋体"/>
                <w:color w:val="auto"/>
                <w:spacing w:val="10"/>
                <w:kern w:val="2"/>
                <w:sz w:val="21"/>
                <w:szCs w:val="21"/>
                <w:highlight w:val="none"/>
                <w:lang w:eastAsia="zh-CN"/>
              </w:rPr>
            </w:pPr>
            <w:r>
              <w:rPr>
                <w:rFonts w:hint="eastAsia" w:ascii="宋体" w:hAnsi="宋体" w:cs="宋体"/>
                <w:color w:val="auto"/>
                <w:spacing w:val="10"/>
                <w:kern w:val="2"/>
                <w:sz w:val="21"/>
                <w:szCs w:val="21"/>
                <w:highlight w:val="none"/>
                <w:lang w:eastAsia="zh-CN"/>
              </w:rPr>
              <w:t>《道路和隧道照明用LED灯具能效限定值及能效等级》（GB37478）</w:t>
            </w:r>
          </w:p>
        </w:tc>
      </w:tr>
      <w:tr w14:paraId="6AB35B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0" w:type="auto"/>
            <w:vMerge w:val="continue"/>
            <w:tcBorders>
              <w:top w:val="single" w:color="000000" w:sz="4" w:space="0"/>
              <w:left w:val="single" w:color="000000" w:sz="4" w:space="0"/>
              <w:bottom w:val="single" w:color="000000" w:sz="4" w:space="0"/>
              <w:right w:val="single" w:color="000000" w:sz="4" w:space="0"/>
            </w:tcBorders>
            <w:vAlign w:val="center"/>
          </w:tcPr>
          <w:p w14:paraId="4F42CB6A">
            <w:pPr>
              <w:keepNext w:val="0"/>
              <w:keepLines w:val="0"/>
              <w:widowControl/>
              <w:suppressLineNumbers w:val="0"/>
              <w:spacing w:before="0" w:beforeAutospacing="0" w:after="0" w:afterAutospacing="0"/>
              <w:ind w:left="0" w:right="0"/>
              <w:jc w:val="left"/>
              <w:rPr>
                <w:rFonts w:hint="default" w:ascii="宋体" w:hAnsi="宋体" w:cs="宋体"/>
                <w:color w:val="auto"/>
                <w:szCs w:val="21"/>
                <w:highlight w:val="none"/>
              </w:rPr>
            </w:pPr>
          </w:p>
        </w:tc>
        <w:tc>
          <w:tcPr>
            <w:tcW w:w="0" w:type="auto"/>
            <w:vMerge w:val="continue"/>
            <w:tcBorders>
              <w:top w:val="single" w:color="000000" w:sz="4" w:space="0"/>
              <w:left w:val="single" w:color="000000" w:sz="4" w:space="0"/>
              <w:bottom w:val="single" w:color="000000" w:sz="4" w:space="0"/>
              <w:right w:val="single" w:color="000000" w:sz="4" w:space="0"/>
            </w:tcBorders>
            <w:vAlign w:val="center"/>
          </w:tcPr>
          <w:p w14:paraId="7CAD4829">
            <w:pPr>
              <w:keepNext w:val="0"/>
              <w:keepLines w:val="0"/>
              <w:widowControl/>
              <w:suppressLineNumbers w:val="0"/>
              <w:spacing w:before="0" w:beforeAutospacing="0" w:after="0" w:afterAutospacing="0"/>
              <w:ind w:left="0" w:right="0"/>
              <w:jc w:val="left"/>
              <w:rPr>
                <w:rFonts w:hint="default" w:ascii="宋体" w:hAnsi="宋体" w:cs="宋体"/>
                <w:color w:val="auto"/>
                <w:szCs w:val="21"/>
                <w:highlight w:val="none"/>
              </w:rPr>
            </w:pPr>
          </w:p>
        </w:tc>
        <w:tc>
          <w:tcPr>
            <w:tcW w:w="1496" w:type="dxa"/>
            <w:tcBorders>
              <w:top w:val="single" w:color="000000" w:sz="4" w:space="0"/>
              <w:left w:val="single" w:color="000000" w:sz="4" w:space="0"/>
              <w:bottom w:val="single" w:color="000000" w:sz="4" w:space="0"/>
              <w:right w:val="single" w:color="000000" w:sz="4" w:space="0"/>
            </w:tcBorders>
            <w:vAlign w:val="center"/>
          </w:tcPr>
          <w:p w14:paraId="32ED3331">
            <w:pPr>
              <w:pStyle w:val="88"/>
              <w:keepNext w:val="0"/>
              <w:keepLines w:val="0"/>
              <w:suppressLineNumbers w:val="0"/>
              <w:spacing w:before="0" w:beforeAutospacing="0" w:after="0" w:afterAutospacing="0"/>
              <w:ind w:left="0" w:right="0"/>
              <w:jc w:val="center"/>
              <w:rPr>
                <w:rFonts w:hint="default" w:ascii="宋体" w:hAnsi="宋体" w:cs="宋体"/>
                <w:color w:val="auto"/>
                <w:kern w:val="2"/>
                <w:sz w:val="21"/>
                <w:szCs w:val="21"/>
                <w:highlight w:val="none"/>
              </w:rPr>
            </w:pPr>
            <w:r>
              <w:rPr>
                <w:rFonts w:hint="eastAsia" w:ascii="宋体" w:hAnsi="宋体" w:cs="宋体"/>
                <w:color w:val="auto"/>
                <w:spacing w:val="1"/>
                <w:w w:val="99"/>
                <w:kern w:val="2"/>
                <w:sz w:val="21"/>
                <w:szCs w:val="21"/>
                <w:highlight w:val="none"/>
              </w:rPr>
              <w:t>LE</w:t>
            </w:r>
            <w:r>
              <w:rPr>
                <w:rFonts w:hint="eastAsia" w:ascii="宋体" w:hAnsi="宋体" w:cs="宋体"/>
                <w:color w:val="auto"/>
                <w:w w:val="99"/>
                <w:kern w:val="2"/>
                <w:sz w:val="21"/>
                <w:szCs w:val="21"/>
                <w:highlight w:val="none"/>
              </w:rPr>
              <w:t>D筒灯</w:t>
            </w:r>
          </w:p>
        </w:tc>
        <w:tc>
          <w:tcPr>
            <w:tcW w:w="1481" w:type="dxa"/>
            <w:tcBorders>
              <w:top w:val="single" w:color="000000" w:sz="4" w:space="0"/>
              <w:left w:val="single" w:color="000000" w:sz="4" w:space="0"/>
              <w:bottom w:val="single" w:color="000000" w:sz="4" w:space="0"/>
              <w:right w:val="single" w:color="000000" w:sz="4" w:space="0"/>
            </w:tcBorders>
            <w:vAlign w:val="center"/>
          </w:tcPr>
          <w:p w14:paraId="0857E9F2">
            <w:pPr>
              <w:keepNext w:val="0"/>
              <w:keepLines w:val="0"/>
              <w:suppressLineNumbers w:val="0"/>
              <w:spacing w:before="0" w:beforeAutospacing="0" w:after="0" w:afterAutospacing="0"/>
              <w:ind w:left="0" w:right="0"/>
              <w:jc w:val="center"/>
              <w:rPr>
                <w:rFonts w:hint="default" w:ascii="宋体" w:hAnsi="宋体"/>
                <w:color w:val="auto"/>
                <w:szCs w:val="21"/>
                <w:highlight w:val="none"/>
              </w:rPr>
            </w:pPr>
          </w:p>
        </w:tc>
        <w:tc>
          <w:tcPr>
            <w:tcW w:w="4388" w:type="dxa"/>
            <w:tcBorders>
              <w:top w:val="single" w:color="000000" w:sz="4" w:space="0"/>
              <w:left w:val="single" w:color="000000" w:sz="4" w:space="0"/>
              <w:bottom w:val="single" w:color="000000" w:sz="4" w:space="0"/>
              <w:right w:val="single" w:color="000000" w:sz="4" w:space="0"/>
            </w:tcBorders>
          </w:tcPr>
          <w:p w14:paraId="5D0D2C32">
            <w:pPr>
              <w:pStyle w:val="88"/>
              <w:keepNext w:val="0"/>
              <w:keepLines w:val="0"/>
              <w:suppressLineNumbers w:val="0"/>
              <w:spacing w:before="131" w:beforeAutospacing="0" w:after="0" w:afterAutospacing="0" w:line="276" w:lineRule="auto"/>
              <w:ind w:left="7" w:right="4"/>
              <w:rPr>
                <w:rFonts w:hint="default" w:ascii="宋体" w:hAnsi="宋体" w:cs="宋体"/>
                <w:color w:val="auto"/>
                <w:spacing w:val="10"/>
                <w:kern w:val="2"/>
                <w:sz w:val="21"/>
                <w:szCs w:val="21"/>
                <w:highlight w:val="none"/>
                <w:lang w:eastAsia="zh-CN"/>
              </w:rPr>
            </w:pPr>
            <w:r>
              <w:rPr>
                <w:rFonts w:hint="eastAsia" w:ascii="宋体" w:hAnsi="宋体" w:cs="宋体"/>
                <w:color w:val="auto"/>
                <w:spacing w:val="10"/>
                <w:kern w:val="2"/>
                <w:sz w:val="21"/>
                <w:szCs w:val="21"/>
                <w:highlight w:val="none"/>
                <w:lang w:eastAsia="zh-CN"/>
              </w:rPr>
              <w:t>《室内照明用LED产品能效限定值及能效等级》（GB30255）</w:t>
            </w:r>
          </w:p>
        </w:tc>
      </w:tr>
      <w:tr w14:paraId="3B7905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0" w:type="auto"/>
            <w:vMerge w:val="continue"/>
            <w:tcBorders>
              <w:top w:val="single" w:color="000000" w:sz="4" w:space="0"/>
              <w:left w:val="single" w:color="000000" w:sz="4" w:space="0"/>
              <w:bottom w:val="single" w:color="000000" w:sz="4" w:space="0"/>
              <w:right w:val="single" w:color="000000" w:sz="4" w:space="0"/>
            </w:tcBorders>
            <w:vAlign w:val="center"/>
          </w:tcPr>
          <w:p w14:paraId="51C13ECD">
            <w:pPr>
              <w:keepNext w:val="0"/>
              <w:keepLines w:val="0"/>
              <w:widowControl/>
              <w:suppressLineNumbers w:val="0"/>
              <w:spacing w:before="0" w:beforeAutospacing="0" w:after="0" w:afterAutospacing="0"/>
              <w:ind w:left="0" w:right="0"/>
              <w:jc w:val="left"/>
              <w:rPr>
                <w:rFonts w:hint="default" w:ascii="宋体" w:hAnsi="宋体" w:cs="宋体"/>
                <w:color w:val="auto"/>
                <w:szCs w:val="21"/>
                <w:highlight w:val="none"/>
              </w:rPr>
            </w:pPr>
          </w:p>
        </w:tc>
        <w:tc>
          <w:tcPr>
            <w:tcW w:w="0" w:type="auto"/>
            <w:vMerge w:val="continue"/>
            <w:tcBorders>
              <w:top w:val="single" w:color="000000" w:sz="4" w:space="0"/>
              <w:left w:val="single" w:color="000000" w:sz="4" w:space="0"/>
              <w:bottom w:val="single" w:color="000000" w:sz="4" w:space="0"/>
              <w:right w:val="single" w:color="000000" w:sz="4" w:space="0"/>
            </w:tcBorders>
            <w:vAlign w:val="center"/>
          </w:tcPr>
          <w:p w14:paraId="300EAE7B">
            <w:pPr>
              <w:keepNext w:val="0"/>
              <w:keepLines w:val="0"/>
              <w:widowControl/>
              <w:suppressLineNumbers w:val="0"/>
              <w:spacing w:before="0" w:beforeAutospacing="0" w:after="0" w:afterAutospacing="0"/>
              <w:ind w:left="0" w:right="0"/>
              <w:jc w:val="left"/>
              <w:rPr>
                <w:rFonts w:hint="default" w:ascii="宋体" w:hAnsi="宋体" w:cs="宋体"/>
                <w:color w:val="auto"/>
                <w:szCs w:val="21"/>
                <w:highlight w:val="none"/>
              </w:rPr>
            </w:pPr>
          </w:p>
        </w:tc>
        <w:tc>
          <w:tcPr>
            <w:tcW w:w="1496" w:type="dxa"/>
            <w:tcBorders>
              <w:top w:val="single" w:color="000000" w:sz="4" w:space="0"/>
              <w:left w:val="single" w:color="000000" w:sz="4" w:space="0"/>
              <w:bottom w:val="single" w:color="000000" w:sz="4" w:space="0"/>
              <w:right w:val="single" w:color="000000" w:sz="4" w:space="0"/>
            </w:tcBorders>
            <w:vAlign w:val="center"/>
          </w:tcPr>
          <w:p w14:paraId="42EBAF70">
            <w:pPr>
              <w:pStyle w:val="88"/>
              <w:keepNext w:val="0"/>
              <w:keepLines w:val="0"/>
              <w:suppressLineNumbers w:val="0"/>
              <w:spacing w:before="0" w:beforeAutospacing="0" w:after="0" w:afterAutospacing="0" w:line="276" w:lineRule="auto"/>
              <w:ind w:left="0" w:right="7"/>
              <w:jc w:val="center"/>
              <w:rPr>
                <w:rFonts w:hint="default" w:ascii="宋体" w:hAnsi="宋体" w:cs="宋体"/>
                <w:color w:val="auto"/>
                <w:kern w:val="2"/>
                <w:sz w:val="21"/>
                <w:szCs w:val="21"/>
                <w:highlight w:val="none"/>
                <w:lang w:eastAsia="zh-CN"/>
              </w:rPr>
            </w:pPr>
            <w:r>
              <w:rPr>
                <w:rFonts w:hint="eastAsia" w:ascii="宋体" w:hAnsi="宋体" w:cs="宋体"/>
                <w:color w:val="auto"/>
                <w:w w:val="99"/>
                <w:kern w:val="2"/>
                <w:sz w:val="21"/>
                <w:szCs w:val="21"/>
                <w:highlight w:val="none"/>
                <w:lang w:eastAsia="zh-CN"/>
              </w:rPr>
              <w:t>普</w:t>
            </w:r>
            <w:r>
              <w:rPr>
                <w:rFonts w:hint="eastAsia" w:ascii="宋体" w:hAnsi="宋体" w:cs="宋体"/>
                <w:color w:val="auto"/>
                <w:spacing w:val="24"/>
                <w:w w:val="99"/>
                <w:kern w:val="2"/>
                <w:sz w:val="21"/>
                <w:szCs w:val="21"/>
                <w:highlight w:val="none"/>
                <w:lang w:eastAsia="zh-CN"/>
              </w:rPr>
              <w:t>通</w:t>
            </w:r>
            <w:r>
              <w:rPr>
                <w:rFonts w:hint="eastAsia" w:ascii="宋体" w:hAnsi="宋体" w:cs="宋体"/>
                <w:color w:val="auto"/>
                <w:w w:val="99"/>
                <w:kern w:val="2"/>
                <w:sz w:val="21"/>
                <w:szCs w:val="21"/>
                <w:highlight w:val="none"/>
                <w:lang w:eastAsia="zh-CN"/>
              </w:rPr>
              <w:t>照明用非</w:t>
            </w:r>
            <w:r>
              <w:rPr>
                <w:rFonts w:hint="eastAsia" w:ascii="宋体" w:hAnsi="宋体" w:cs="宋体"/>
                <w:color w:val="auto"/>
                <w:spacing w:val="24"/>
                <w:w w:val="99"/>
                <w:kern w:val="2"/>
                <w:sz w:val="21"/>
                <w:szCs w:val="21"/>
                <w:highlight w:val="none"/>
                <w:lang w:eastAsia="zh-CN"/>
              </w:rPr>
              <w:t>定</w:t>
            </w:r>
            <w:r>
              <w:rPr>
                <w:rFonts w:hint="eastAsia" w:ascii="宋体" w:hAnsi="宋体" w:cs="宋体"/>
                <w:color w:val="auto"/>
                <w:w w:val="99"/>
                <w:kern w:val="2"/>
                <w:sz w:val="21"/>
                <w:szCs w:val="21"/>
                <w:highlight w:val="none"/>
                <w:lang w:eastAsia="zh-CN"/>
              </w:rPr>
              <w:t>向自镇流</w:t>
            </w:r>
            <w:r>
              <w:rPr>
                <w:rFonts w:hint="eastAsia" w:ascii="宋体" w:hAnsi="宋体" w:cs="宋体"/>
                <w:color w:val="auto"/>
                <w:spacing w:val="1"/>
                <w:w w:val="99"/>
                <w:kern w:val="2"/>
                <w:sz w:val="21"/>
                <w:szCs w:val="21"/>
                <w:highlight w:val="none"/>
                <w:lang w:eastAsia="zh-CN"/>
              </w:rPr>
              <w:t>LE</w:t>
            </w:r>
            <w:r>
              <w:rPr>
                <w:rFonts w:hint="eastAsia" w:ascii="宋体" w:hAnsi="宋体" w:cs="宋体"/>
                <w:color w:val="auto"/>
                <w:w w:val="99"/>
                <w:kern w:val="2"/>
                <w:sz w:val="21"/>
                <w:szCs w:val="21"/>
                <w:highlight w:val="none"/>
                <w:lang w:eastAsia="zh-CN"/>
              </w:rPr>
              <w:t>D灯</w:t>
            </w:r>
          </w:p>
        </w:tc>
        <w:tc>
          <w:tcPr>
            <w:tcW w:w="1481" w:type="dxa"/>
            <w:tcBorders>
              <w:top w:val="single" w:color="000000" w:sz="4" w:space="0"/>
              <w:left w:val="single" w:color="000000" w:sz="4" w:space="0"/>
              <w:bottom w:val="single" w:color="000000" w:sz="4" w:space="0"/>
              <w:right w:val="single" w:color="000000" w:sz="4" w:space="0"/>
            </w:tcBorders>
            <w:vAlign w:val="center"/>
          </w:tcPr>
          <w:p w14:paraId="7460E7E0">
            <w:pPr>
              <w:keepNext w:val="0"/>
              <w:keepLines w:val="0"/>
              <w:suppressLineNumbers w:val="0"/>
              <w:spacing w:before="0" w:beforeAutospacing="0" w:after="0" w:afterAutospacing="0"/>
              <w:ind w:left="0" w:right="0"/>
              <w:jc w:val="center"/>
              <w:rPr>
                <w:rFonts w:hint="default" w:ascii="宋体" w:hAnsi="宋体"/>
                <w:color w:val="auto"/>
                <w:szCs w:val="21"/>
                <w:highlight w:val="none"/>
              </w:rPr>
            </w:pPr>
          </w:p>
        </w:tc>
        <w:tc>
          <w:tcPr>
            <w:tcW w:w="4388" w:type="dxa"/>
            <w:tcBorders>
              <w:top w:val="single" w:color="000000" w:sz="4" w:space="0"/>
              <w:left w:val="single" w:color="000000" w:sz="4" w:space="0"/>
              <w:bottom w:val="single" w:color="000000" w:sz="4" w:space="0"/>
              <w:right w:val="single" w:color="000000" w:sz="4" w:space="0"/>
            </w:tcBorders>
          </w:tcPr>
          <w:p w14:paraId="511F1BE3">
            <w:pPr>
              <w:pStyle w:val="88"/>
              <w:keepNext w:val="0"/>
              <w:keepLines w:val="0"/>
              <w:suppressLineNumbers w:val="0"/>
              <w:spacing w:before="131" w:beforeAutospacing="0" w:after="0" w:afterAutospacing="0" w:line="276" w:lineRule="auto"/>
              <w:ind w:left="7" w:right="4"/>
              <w:rPr>
                <w:rFonts w:hint="default" w:ascii="宋体" w:hAnsi="宋体" w:cs="宋体"/>
                <w:color w:val="auto"/>
                <w:spacing w:val="10"/>
                <w:kern w:val="2"/>
                <w:sz w:val="21"/>
                <w:szCs w:val="21"/>
                <w:highlight w:val="none"/>
                <w:lang w:eastAsia="zh-CN"/>
              </w:rPr>
            </w:pPr>
            <w:r>
              <w:rPr>
                <w:rFonts w:hint="eastAsia" w:ascii="宋体" w:hAnsi="宋体" w:cs="宋体"/>
                <w:color w:val="auto"/>
                <w:spacing w:val="10"/>
                <w:kern w:val="2"/>
                <w:sz w:val="21"/>
                <w:szCs w:val="21"/>
                <w:highlight w:val="none"/>
                <w:lang w:eastAsia="zh-CN"/>
              </w:rPr>
              <w:t>《室内照明用LED产品能效限定值及能效等级》（GB30255）</w:t>
            </w:r>
          </w:p>
        </w:tc>
      </w:tr>
      <w:tr w14:paraId="4E00CC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71" w:type="dxa"/>
            <w:tcBorders>
              <w:top w:val="single" w:color="000000" w:sz="4" w:space="0"/>
              <w:left w:val="single" w:color="000000" w:sz="4" w:space="0"/>
              <w:bottom w:val="single" w:color="000000" w:sz="4" w:space="0"/>
              <w:right w:val="single" w:color="000000" w:sz="4" w:space="0"/>
            </w:tcBorders>
            <w:vAlign w:val="center"/>
          </w:tcPr>
          <w:p w14:paraId="2805371F">
            <w:pPr>
              <w:pStyle w:val="88"/>
              <w:keepNext w:val="0"/>
              <w:keepLines w:val="0"/>
              <w:suppressLineNumbers w:val="0"/>
              <w:spacing w:before="0" w:beforeAutospacing="0" w:after="0" w:afterAutospacing="0"/>
              <w:ind w:left="0" w:right="0"/>
              <w:jc w:val="center"/>
              <w:rPr>
                <w:rFonts w:hint="default" w:ascii="宋体" w:hAnsi="宋体" w:cs="宋体"/>
                <w:color w:val="auto"/>
                <w:kern w:val="2"/>
                <w:sz w:val="21"/>
                <w:szCs w:val="21"/>
                <w:highlight w:val="none"/>
              </w:rPr>
            </w:pPr>
            <w:r>
              <w:rPr>
                <w:rFonts w:hint="eastAsia" w:ascii="宋体" w:hAnsi="宋体"/>
                <w:color w:val="auto"/>
                <w:spacing w:val="1"/>
                <w:w w:val="99"/>
                <w:kern w:val="2"/>
                <w:sz w:val="21"/>
                <w:szCs w:val="21"/>
                <w:highlight w:val="none"/>
              </w:rPr>
              <w:t>1</w:t>
            </w:r>
            <w:r>
              <w:rPr>
                <w:rFonts w:hint="eastAsia" w:ascii="宋体" w:hAnsi="宋体"/>
                <w:color w:val="auto"/>
                <w:w w:val="99"/>
                <w:kern w:val="2"/>
                <w:sz w:val="21"/>
                <w:szCs w:val="21"/>
                <w:highlight w:val="none"/>
              </w:rPr>
              <w:t>2</w:t>
            </w:r>
          </w:p>
        </w:tc>
        <w:tc>
          <w:tcPr>
            <w:tcW w:w="1422" w:type="dxa"/>
            <w:tcBorders>
              <w:top w:val="single" w:color="000000" w:sz="4" w:space="0"/>
              <w:left w:val="single" w:color="000000" w:sz="4" w:space="0"/>
              <w:bottom w:val="single" w:color="000000" w:sz="4" w:space="0"/>
              <w:right w:val="single" w:color="000000" w:sz="4" w:space="0"/>
            </w:tcBorders>
            <w:vAlign w:val="center"/>
          </w:tcPr>
          <w:p w14:paraId="18E0DD5F">
            <w:pPr>
              <w:pStyle w:val="88"/>
              <w:keepNext w:val="0"/>
              <w:keepLines w:val="0"/>
              <w:suppressLineNumbers w:val="0"/>
              <w:spacing w:before="81" w:beforeAutospacing="0" w:after="0" w:afterAutospacing="0"/>
              <w:ind w:left="7" w:right="0"/>
              <w:jc w:val="center"/>
              <w:rPr>
                <w:rFonts w:hint="default" w:ascii="宋体" w:hAnsi="宋体" w:cs="宋体"/>
                <w:color w:val="auto"/>
                <w:kern w:val="2"/>
                <w:sz w:val="21"/>
                <w:szCs w:val="21"/>
                <w:highlight w:val="none"/>
              </w:rPr>
            </w:pPr>
            <w:r>
              <w:rPr>
                <w:rFonts w:hint="eastAsia" w:ascii="宋体" w:hAnsi="宋体" w:cs="宋体"/>
                <w:color w:val="auto"/>
                <w:w w:val="99"/>
                <w:kern w:val="2"/>
                <w:sz w:val="21"/>
                <w:szCs w:val="21"/>
                <w:highlight w:val="none"/>
              </w:rPr>
              <w:t>★</w:t>
            </w:r>
            <w:r>
              <w:rPr>
                <w:rFonts w:hint="eastAsia" w:ascii="宋体" w:hAnsi="宋体" w:cs="宋体"/>
                <w:color w:val="auto"/>
                <w:spacing w:val="1"/>
                <w:w w:val="99"/>
                <w:kern w:val="2"/>
                <w:sz w:val="21"/>
                <w:szCs w:val="21"/>
                <w:highlight w:val="none"/>
              </w:rPr>
              <w:t>A020</w:t>
            </w:r>
            <w:r>
              <w:rPr>
                <w:rFonts w:hint="eastAsia" w:ascii="宋体" w:hAnsi="宋体" w:cs="宋体"/>
                <w:color w:val="auto"/>
                <w:w w:val="99"/>
                <w:kern w:val="2"/>
                <w:sz w:val="21"/>
                <w:szCs w:val="21"/>
                <w:highlight w:val="none"/>
              </w:rPr>
              <w:t>91000电视设备</w:t>
            </w:r>
          </w:p>
        </w:tc>
        <w:tc>
          <w:tcPr>
            <w:tcW w:w="1496" w:type="dxa"/>
            <w:tcBorders>
              <w:top w:val="single" w:color="000000" w:sz="4" w:space="0"/>
              <w:left w:val="single" w:color="000000" w:sz="4" w:space="0"/>
              <w:bottom w:val="single" w:color="000000" w:sz="4" w:space="0"/>
              <w:right w:val="single" w:color="000000" w:sz="4" w:space="0"/>
            </w:tcBorders>
            <w:vAlign w:val="center"/>
          </w:tcPr>
          <w:p w14:paraId="053435D7">
            <w:pPr>
              <w:pStyle w:val="88"/>
              <w:keepNext w:val="0"/>
              <w:keepLines w:val="0"/>
              <w:suppressLineNumbers w:val="0"/>
              <w:spacing w:before="81" w:beforeAutospacing="0" w:after="0" w:afterAutospacing="0" w:line="276" w:lineRule="auto"/>
              <w:ind w:left="7" w:right="5"/>
              <w:jc w:val="center"/>
              <w:rPr>
                <w:rFonts w:hint="default" w:ascii="宋体" w:hAnsi="宋体" w:cs="宋体"/>
                <w:color w:val="auto"/>
                <w:kern w:val="2"/>
                <w:sz w:val="21"/>
                <w:szCs w:val="21"/>
                <w:highlight w:val="none"/>
                <w:lang w:eastAsia="zh-CN"/>
              </w:rPr>
            </w:pPr>
            <w:r>
              <w:rPr>
                <w:rFonts w:hint="eastAsia" w:ascii="宋体" w:hAnsi="宋体" w:cs="宋体"/>
                <w:color w:val="auto"/>
                <w:spacing w:val="1"/>
                <w:w w:val="99"/>
                <w:kern w:val="2"/>
                <w:sz w:val="21"/>
                <w:szCs w:val="21"/>
                <w:highlight w:val="none"/>
                <w:lang w:eastAsia="zh-CN"/>
              </w:rPr>
              <w:t>A02</w:t>
            </w:r>
            <w:r>
              <w:rPr>
                <w:rFonts w:hint="eastAsia" w:ascii="宋体" w:hAnsi="宋体" w:cs="宋体"/>
                <w:color w:val="auto"/>
                <w:w w:val="99"/>
                <w:kern w:val="2"/>
                <w:sz w:val="21"/>
                <w:szCs w:val="21"/>
                <w:highlight w:val="none"/>
                <w:lang w:eastAsia="zh-CN"/>
              </w:rPr>
              <w:t>09</w:t>
            </w:r>
            <w:r>
              <w:rPr>
                <w:rFonts w:hint="eastAsia" w:ascii="宋体" w:hAnsi="宋体" w:cs="宋体"/>
                <w:color w:val="auto"/>
                <w:spacing w:val="1"/>
                <w:w w:val="99"/>
                <w:kern w:val="2"/>
                <w:sz w:val="21"/>
                <w:szCs w:val="21"/>
                <w:highlight w:val="none"/>
                <w:lang w:eastAsia="zh-CN"/>
              </w:rPr>
              <w:t>1</w:t>
            </w:r>
            <w:r>
              <w:rPr>
                <w:rFonts w:hint="eastAsia" w:ascii="宋体" w:hAnsi="宋体" w:cs="宋体"/>
                <w:color w:val="auto"/>
                <w:w w:val="99"/>
                <w:kern w:val="2"/>
                <w:sz w:val="21"/>
                <w:szCs w:val="21"/>
                <w:highlight w:val="none"/>
                <w:lang w:eastAsia="zh-CN"/>
              </w:rPr>
              <w:t>001普通电视设备（</w:t>
            </w:r>
            <w:r>
              <w:rPr>
                <w:rFonts w:hint="eastAsia" w:ascii="宋体" w:hAnsi="宋体" w:cs="宋体"/>
                <w:color w:val="auto"/>
                <w:spacing w:val="2"/>
                <w:w w:val="99"/>
                <w:kern w:val="2"/>
                <w:sz w:val="21"/>
                <w:szCs w:val="21"/>
                <w:highlight w:val="none"/>
                <w:lang w:eastAsia="zh-CN"/>
              </w:rPr>
              <w:t>电</w:t>
            </w:r>
            <w:r>
              <w:rPr>
                <w:rFonts w:hint="eastAsia" w:ascii="宋体" w:hAnsi="宋体" w:cs="宋体"/>
                <w:color w:val="auto"/>
                <w:w w:val="99"/>
                <w:kern w:val="2"/>
                <w:sz w:val="21"/>
                <w:szCs w:val="21"/>
                <w:highlight w:val="none"/>
                <w:lang w:eastAsia="zh-CN"/>
              </w:rPr>
              <w:t>视机）</w:t>
            </w:r>
          </w:p>
        </w:tc>
        <w:tc>
          <w:tcPr>
            <w:tcW w:w="1481" w:type="dxa"/>
            <w:tcBorders>
              <w:top w:val="single" w:color="000000" w:sz="4" w:space="0"/>
              <w:left w:val="single" w:color="000000" w:sz="4" w:space="0"/>
              <w:bottom w:val="single" w:color="000000" w:sz="4" w:space="0"/>
              <w:right w:val="single" w:color="000000" w:sz="4" w:space="0"/>
            </w:tcBorders>
            <w:vAlign w:val="center"/>
          </w:tcPr>
          <w:p w14:paraId="0B2D3F7D">
            <w:pPr>
              <w:keepNext w:val="0"/>
              <w:keepLines w:val="0"/>
              <w:suppressLineNumbers w:val="0"/>
              <w:spacing w:before="0" w:beforeAutospacing="0" w:after="0" w:afterAutospacing="0"/>
              <w:ind w:left="0" w:right="0"/>
              <w:jc w:val="center"/>
              <w:rPr>
                <w:rFonts w:hint="default" w:ascii="宋体" w:hAnsi="宋体"/>
                <w:color w:val="auto"/>
                <w:szCs w:val="21"/>
                <w:highlight w:val="none"/>
              </w:rPr>
            </w:pPr>
          </w:p>
        </w:tc>
        <w:tc>
          <w:tcPr>
            <w:tcW w:w="4388" w:type="dxa"/>
            <w:tcBorders>
              <w:top w:val="single" w:color="000000" w:sz="4" w:space="0"/>
              <w:left w:val="single" w:color="000000" w:sz="4" w:space="0"/>
              <w:bottom w:val="single" w:color="000000" w:sz="4" w:space="0"/>
              <w:right w:val="single" w:color="000000" w:sz="4" w:space="0"/>
            </w:tcBorders>
          </w:tcPr>
          <w:p w14:paraId="01600F71">
            <w:pPr>
              <w:pStyle w:val="88"/>
              <w:keepNext w:val="0"/>
              <w:keepLines w:val="0"/>
              <w:suppressLineNumbers w:val="0"/>
              <w:spacing w:before="131" w:beforeAutospacing="0" w:after="0" w:afterAutospacing="0" w:line="276" w:lineRule="auto"/>
              <w:ind w:left="7" w:right="4"/>
              <w:rPr>
                <w:rFonts w:hint="default" w:ascii="宋体" w:hAnsi="宋体" w:cs="宋体"/>
                <w:color w:val="auto"/>
                <w:spacing w:val="10"/>
                <w:kern w:val="2"/>
                <w:sz w:val="21"/>
                <w:szCs w:val="21"/>
                <w:highlight w:val="none"/>
                <w:lang w:eastAsia="zh-CN"/>
              </w:rPr>
            </w:pPr>
            <w:r>
              <w:rPr>
                <w:rFonts w:hint="eastAsia" w:ascii="宋体" w:hAnsi="宋体" w:cs="宋体"/>
                <w:color w:val="auto"/>
                <w:spacing w:val="10"/>
                <w:kern w:val="2"/>
                <w:sz w:val="21"/>
                <w:szCs w:val="21"/>
                <w:highlight w:val="none"/>
                <w:lang w:eastAsia="zh-CN"/>
              </w:rPr>
              <w:t>（GB24850）</w:t>
            </w:r>
          </w:p>
        </w:tc>
      </w:tr>
      <w:tr w14:paraId="40B02A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71" w:type="dxa"/>
            <w:tcBorders>
              <w:top w:val="single" w:color="000000" w:sz="4" w:space="0"/>
              <w:left w:val="single" w:color="000000" w:sz="4" w:space="0"/>
              <w:bottom w:val="single" w:color="000000" w:sz="4" w:space="0"/>
              <w:right w:val="single" w:color="000000" w:sz="4" w:space="0"/>
            </w:tcBorders>
            <w:vAlign w:val="center"/>
          </w:tcPr>
          <w:p w14:paraId="4CE638D2">
            <w:pPr>
              <w:pStyle w:val="88"/>
              <w:keepNext w:val="0"/>
              <w:keepLines w:val="0"/>
              <w:suppressLineNumbers w:val="0"/>
              <w:spacing w:before="0" w:beforeAutospacing="0" w:after="0" w:afterAutospacing="0"/>
              <w:ind w:left="0" w:right="0"/>
              <w:jc w:val="center"/>
              <w:rPr>
                <w:rFonts w:hint="default" w:ascii="宋体" w:hAnsi="宋体" w:cs="宋体"/>
                <w:color w:val="auto"/>
                <w:kern w:val="2"/>
                <w:sz w:val="21"/>
                <w:szCs w:val="21"/>
                <w:highlight w:val="none"/>
              </w:rPr>
            </w:pPr>
            <w:r>
              <w:rPr>
                <w:rFonts w:hint="eastAsia" w:ascii="宋体" w:hAnsi="宋体"/>
                <w:color w:val="auto"/>
                <w:spacing w:val="1"/>
                <w:w w:val="99"/>
                <w:kern w:val="2"/>
                <w:sz w:val="21"/>
                <w:szCs w:val="21"/>
                <w:highlight w:val="none"/>
              </w:rPr>
              <w:t>1</w:t>
            </w:r>
            <w:r>
              <w:rPr>
                <w:rFonts w:hint="eastAsia" w:ascii="宋体" w:hAnsi="宋体"/>
                <w:color w:val="auto"/>
                <w:w w:val="99"/>
                <w:kern w:val="2"/>
                <w:sz w:val="21"/>
                <w:szCs w:val="21"/>
                <w:highlight w:val="none"/>
              </w:rPr>
              <w:t>3</w:t>
            </w:r>
          </w:p>
        </w:tc>
        <w:tc>
          <w:tcPr>
            <w:tcW w:w="1422" w:type="dxa"/>
            <w:tcBorders>
              <w:top w:val="single" w:color="000000" w:sz="4" w:space="0"/>
              <w:left w:val="single" w:color="000000" w:sz="4" w:space="0"/>
              <w:bottom w:val="single" w:color="000000" w:sz="4" w:space="0"/>
              <w:right w:val="single" w:color="000000" w:sz="4" w:space="0"/>
            </w:tcBorders>
            <w:vAlign w:val="center"/>
          </w:tcPr>
          <w:p w14:paraId="7A84A39B">
            <w:pPr>
              <w:pStyle w:val="88"/>
              <w:keepNext w:val="0"/>
              <w:keepLines w:val="0"/>
              <w:suppressLineNumbers w:val="0"/>
              <w:spacing w:before="0" w:beforeAutospacing="0" w:after="0" w:afterAutospacing="0"/>
              <w:ind w:left="0" w:right="0"/>
              <w:jc w:val="center"/>
              <w:rPr>
                <w:rFonts w:hint="default" w:ascii="宋体" w:hAnsi="宋体" w:cs="宋体"/>
                <w:color w:val="auto"/>
                <w:kern w:val="2"/>
                <w:sz w:val="21"/>
                <w:szCs w:val="21"/>
                <w:highlight w:val="none"/>
              </w:rPr>
            </w:pPr>
            <w:r>
              <w:rPr>
                <w:rFonts w:hint="eastAsia" w:ascii="宋体" w:hAnsi="宋体" w:cs="宋体"/>
                <w:color w:val="auto"/>
                <w:w w:val="99"/>
                <w:kern w:val="2"/>
                <w:sz w:val="21"/>
                <w:szCs w:val="21"/>
                <w:highlight w:val="none"/>
              </w:rPr>
              <w:t>★</w:t>
            </w:r>
            <w:r>
              <w:rPr>
                <w:rFonts w:hint="eastAsia" w:ascii="宋体" w:hAnsi="宋体" w:cs="宋体"/>
                <w:color w:val="auto"/>
                <w:spacing w:val="1"/>
                <w:w w:val="99"/>
                <w:kern w:val="2"/>
                <w:sz w:val="21"/>
                <w:szCs w:val="21"/>
                <w:highlight w:val="none"/>
              </w:rPr>
              <w:t>A020</w:t>
            </w:r>
            <w:r>
              <w:rPr>
                <w:rFonts w:hint="eastAsia" w:ascii="宋体" w:hAnsi="宋体" w:cs="宋体"/>
                <w:color w:val="auto"/>
                <w:w w:val="99"/>
                <w:kern w:val="2"/>
                <w:sz w:val="21"/>
                <w:szCs w:val="21"/>
                <w:highlight w:val="none"/>
              </w:rPr>
              <w:t>91100视频设备</w:t>
            </w:r>
          </w:p>
        </w:tc>
        <w:tc>
          <w:tcPr>
            <w:tcW w:w="1496" w:type="dxa"/>
            <w:tcBorders>
              <w:top w:val="single" w:color="000000" w:sz="4" w:space="0"/>
              <w:left w:val="single" w:color="000000" w:sz="4" w:space="0"/>
              <w:bottom w:val="single" w:color="000000" w:sz="4" w:space="0"/>
              <w:right w:val="single" w:color="000000" w:sz="4" w:space="0"/>
            </w:tcBorders>
            <w:vAlign w:val="center"/>
          </w:tcPr>
          <w:p w14:paraId="64C1CC4C">
            <w:pPr>
              <w:pStyle w:val="88"/>
              <w:keepNext w:val="0"/>
              <w:keepLines w:val="0"/>
              <w:suppressLineNumbers w:val="0"/>
              <w:spacing w:before="0" w:beforeAutospacing="0" w:after="0" w:afterAutospacing="0" w:line="276" w:lineRule="auto"/>
              <w:ind w:left="0" w:right="5"/>
              <w:jc w:val="center"/>
              <w:rPr>
                <w:rFonts w:hint="default" w:ascii="宋体" w:hAnsi="宋体" w:cs="宋体"/>
                <w:color w:val="auto"/>
                <w:kern w:val="2"/>
                <w:sz w:val="21"/>
                <w:szCs w:val="21"/>
                <w:highlight w:val="none"/>
              </w:rPr>
            </w:pPr>
            <w:r>
              <w:rPr>
                <w:rFonts w:hint="eastAsia" w:ascii="宋体" w:hAnsi="宋体" w:cs="宋体"/>
                <w:color w:val="auto"/>
                <w:spacing w:val="1"/>
                <w:w w:val="99"/>
                <w:kern w:val="2"/>
                <w:sz w:val="21"/>
                <w:szCs w:val="21"/>
                <w:highlight w:val="none"/>
              </w:rPr>
              <w:t>A02</w:t>
            </w:r>
            <w:r>
              <w:rPr>
                <w:rFonts w:hint="eastAsia" w:ascii="宋体" w:hAnsi="宋体" w:cs="宋体"/>
                <w:color w:val="auto"/>
                <w:w w:val="99"/>
                <w:kern w:val="2"/>
                <w:sz w:val="21"/>
                <w:szCs w:val="21"/>
                <w:highlight w:val="none"/>
              </w:rPr>
              <w:t>09</w:t>
            </w:r>
            <w:r>
              <w:rPr>
                <w:rFonts w:hint="eastAsia" w:ascii="宋体" w:hAnsi="宋体" w:cs="宋体"/>
                <w:color w:val="auto"/>
                <w:spacing w:val="1"/>
                <w:w w:val="99"/>
                <w:kern w:val="2"/>
                <w:sz w:val="21"/>
                <w:szCs w:val="21"/>
                <w:highlight w:val="none"/>
              </w:rPr>
              <w:t>1</w:t>
            </w:r>
            <w:r>
              <w:rPr>
                <w:rFonts w:hint="eastAsia" w:ascii="宋体" w:hAnsi="宋体" w:cs="宋体"/>
                <w:color w:val="auto"/>
                <w:w w:val="99"/>
                <w:kern w:val="2"/>
                <w:sz w:val="21"/>
                <w:szCs w:val="21"/>
                <w:highlight w:val="none"/>
              </w:rPr>
              <w:t>107视频监控设备</w:t>
            </w:r>
          </w:p>
        </w:tc>
        <w:tc>
          <w:tcPr>
            <w:tcW w:w="1481" w:type="dxa"/>
            <w:tcBorders>
              <w:top w:val="single" w:color="000000" w:sz="4" w:space="0"/>
              <w:left w:val="single" w:color="000000" w:sz="4" w:space="0"/>
              <w:bottom w:val="single" w:color="000000" w:sz="4" w:space="0"/>
              <w:right w:val="single" w:color="000000" w:sz="4" w:space="0"/>
            </w:tcBorders>
            <w:vAlign w:val="center"/>
          </w:tcPr>
          <w:p w14:paraId="31147421">
            <w:pPr>
              <w:pStyle w:val="88"/>
              <w:keepNext w:val="0"/>
              <w:keepLines w:val="0"/>
              <w:suppressLineNumbers w:val="0"/>
              <w:spacing w:before="0" w:beforeAutospacing="0" w:after="0" w:afterAutospacing="0"/>
              <w:ind w:left="0" w:right="0"/>
              <w:jc w:val="center"/>
              <w:rPr>
                <w:rFonts w:hint="default" w:ascii="宋体" w:hAnsi="宋体" w:cs="宋体"/>
                <w:color w:val="auto"/>
                <w:kern w:val="2"/>
                <w:sz w:val="21"/>
                <w:szCs w:val="21"/>
                <w:highlight w:val="none"/>
              </w:rPr>
            </w:pPr>
            <w:r>
              <w:rPr>
                <w:rFonts w:hint="eastAsia" w:ascii="宋体" w:hAnsi="宋体" w:cs="宋体"/>
                <w:color w:val="auto"/>
                <w:w w:val="99"/>
                <w:kern w:val="2"/>
                <w:sz w:val="21"/>
                <w:szCs w:val="21"/>
                <w:highlight w:val="none"/>
              </w:rPr>
              <w:t>监视器</w:t>
            </w:r>
          </w:p>
        </w:tc>
        <w:tc>
          <w:tcPr>
            <w:tcW w:w="4388" w:type="dxa"/>
            <w:tcBorders>
              <w:top w:val="single" w:color="000000" w:sz="4" w:space="0"/>
              <w:left w:val="single" w:color="000000" w:sz="4" w:space="0"/>
              <w:bottom w:val="single" w:color="000000" w:sz="4" w:space="0"/>
              <w:right w:val="single" w:color="000000" w:sz="4" w:space="0"/>
            </w:tcBorders>
          </w:tcPr>
          <w:p w14:paraId="071FA2DA">
            <w:pPr>
              <w:pStyle w:val="88"/>
              <w:keepNext w:val="0"/>
              <w:keepLines w:val="0"/>
              <w:suppressLineNumbers w:val="0"/>
              <w:spacing w:before="131" w:beforeAutospacing="0" w:after="0" w:afterAutospacing="0" w:line="276" w:lineRule="auto"/>
              <w:ind w:left="7" w:right="4"/>
              <w:rPr>
                <w:rFonts w:hint="default" w:ascii="宋体" w:hAnsi="宋体" w:cs="宋体"/>
                <w:color w:val="auto"/>
                <w:spacing w:val="10"/>
                <w:kern w:val="2"/>
                <w:sz w:val="21"/>
                <w:szCs w:val="21"/>
                <w:highlight w:val="none"/>
                <w:lang w:eastAsia="zh-CN"/>
              </w:rPr>
            </w:pPr>
            <w:r>
              <w:rPr>
                <w:rFonts w:hint="eastAsia" w:ascii="宋体" w:hAnsi="宋体" w:cs="宋体"/>
                <w:color w:val="auto"/>
                <w:spacing w:val="10"/>
                <w:kern w:val="2"/>
                <w:sz w:val="21"/>
                <w:szCs w:val="21"/>
                <w:highlight w:val="none"/>
                <w:lang w:eastAsia="zh-CN"/>
              </w:rPr>
              <w:t>以射频信号为主要信号输入的监视器应符合（GB24850），以数字信号为主要信号输入的监视器应符合《计算机显示器能效限定值及能效等级》（GB21520）</w:t>
            </w:r>
          </w:p>
        </w:tc>
      </w:tr>
      <w:tr w14:paraId="2F4BA8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71" w:type="dxa"/>
            <w:tcBorders>
              <w:top w:val="single" w:color="000000" w:sz="4" w:space="0"/>
              <w:left w:val="single" w:color="000000" w:sz="4" w:space="0"/>
              <w:bottom w:val="single" w:color="000000" w:sz="4" w:space="0"/>
              <w:right w:val="single" w:color="000000" w:sz="4" w:space="0"/>
            </w:tcBorders>
            <w:vAlign w:val="center"/>
          </w:tcPr>
          <w:p w14:paraId="3F1D65C3">
            <w:pPr>
              <w:pStyle w:val="88"/>
              <w:keepNext w:val="0"/>
              <w:keepLines w:val="0"/>
              <w:suppressLineNumbers w:val="0"/>
              <w:spacing w:before="0" w:beforeAutospacing="0" w:after="0" w:afterAutospacing="0"/>
              <w:ind w:left="0" w:right="0"/>
              <w:jc w:val="center"/>
              <w:rPr>
                <w:rFonts w:hint="default" w:ascii="宋体" w:hAnsi="宋体" w:cs="宋体"/>
                <w:color w:val="auto"/>
                <w:kern w:val="2"/>
                <w:sz w:val="21"/>
                <w:szCs w:val="21"/>
                <w:highlight w:val="none"/>
              </w:rPr>
            </w:pPr>
            <w:r>
              <w:rPr>
                <w:rFonts w:hint="eastAsia" w:ascii="宋体" w:hAnsi="宋体"/>
                <w:color w:val="auto"/>
                <w:spacing w:val="1"/>
                <w:w w:val="99"/>
                <w:kern w:val="2"/>
                <w:sz w:val="21"/>
                <w:szCs w:val="21"/>
                <w:highlight w:val="none"/>
              </w:rPr>
              <w:t>1</w:t>
            </w:r>
            <w:r>
              <w:rPr>
                <w:rFonts w:hint="eastAsia" w:ascii="宋体" w:hAnsi="宋体"/>
                <w:color w:val="auto"/>
                <w:w w:val="99"/>
                <w:kern w:val="2"/>
                <w:sz w:val="21"/>
                <w:szCs w:val="21"/>
                <w:highlight w:val="none"/>
              </w:rPr>
              <w:t>4</w:t>
            </w:r>
          </w:p>
        </w:tc>
        <w:tc>
          <w:tcPr>
            <w:tcW w:w="1422" w:type="dxa"/>
            <w:tcBorders>
              <w:top w:val="single" w:color="000000" w:sz="4" w:space="0"/>
              <w:left w:val="single" w:color="000000" w:sz="4" w:space="0"/>
              <w:bottom w:val="single" w:color="000000" w:sz="4" w:space="0"/>
              <w:right w:val="single" w:color="000000" w:sz="4" w:space="0"/>
            </w:tcBorders>
            <w:vAlign w:val="center"/>
          </w:tcPr>
          <w:p w14:paraId="6255CA4E">
            <w:pPr>
              <w:pStyle w:val="88"/>
              <w:keepNext w:val="0"/>
              <w:keepLines w:val="0"/>
              <w:suppressLineNumbers w:val="0"/>
              <w:spacing w:before="76" w:beforeAutospacing="0" w:after="0" w:afterAutospacing="0"/>
              <w:ind w:left="7" w:right="0"/>
              <w:jc w:val="center"/>
              <w:rPr>
                <w:rFonts w:hint="default" w:ascii="宋体" w:hAnsi="宋体" w:cs="宋体"/>
                <w:color w:val="auto"/>
                <w:kern w:val="2"/>
                <w:sz w:val="21"/>
                <w:szCs w:val="21"/>
                <w:highlight w:val="none"/>
              </w:rPr>
            </w:pPr>
            <w:r>
              <w:rPr>
                <w:rFonts w:hint="eastAsia" w:ascii="宋体" w:hAnsi="宋体" w:cs="方正仿宋_GB2312"/>
                <w:color w:val="auto"/>
                <w:kern w:val="2"/>
                <w:sz w:val="21"/>
                <w:szCs w:val="21"/>
                <w:highlight w:val="none"/>
              </w:rPr>
              <w:t>A02241000</w:t>
            </w:r>
            <w:r>
              <w:rPr>
                <w:rFonts w:hint="eastAsia" w:ascii="宋体" w:hAnsi="宋体" w:cs="宋体"/>
                <w:color w:val="auto"/>
                <w:w w:val="99"/>
                <w:kern w:val="2"/>
                <w:sz w:val="21"/>
                <w:szCs w:val="21"/>
                <w:highlight w:val="none"/>
              </w:rPr>
              <w:t>饮食炊事机械</w:t>
            </w:r>
          </w:p>
        </w:tc>
        <w:tc>
          <w:tcPr>
            <w:tcW w:w="1496" w:type="dxa"/>
            <w:tcBorders>
              <w:top w:val="single" w:color="000000" w:sz="4" w:space="0"/>
              <w:left w:val="single" w:color="000000" w:sz="4" w:space="0"/>
              <w:bottom w:val="single" w:color="000000" w:sz="4" w:space="0"/>
              <w:right w:val="single" w:color="000000" w:sz="4" w:space="0"/>
            </w:tcBorders>
            <w:vAlign w:val="center"/>
          </w:tcPr>
          <w:p w14:paraId="41C12418">
            <w:pPr>
              <w:pStyle w:val="88"/>
              <w:keepNext w:val="0"/>
              <w:keepLines w:val="0"/>
              <w:suppressLineNumbers w:val="0"/>
              <w:spacing w:before="0" w:beforeAutospacing="0" w:after="0" w:afterAutospacing="0"/>
              <w:ind w:left="0" w:right="0"/>
              <w:jc w:val="center"/>
              <w:rPr>
                <w:rFonts w:hint="default" w:ascii="宋体" w:hAnsi="宋体" w:cs="宋体"/>
                <w:color w:val="auto"/>
                <w:kern w:val="2"/>
                <w:sz w:val="21"/>
                <w:szCs w:val="21"/>
                <w:highlight w:val="none"/>
              </w:rPr>
            </w:pPr>
            <w:r>
              <w:rPr>
                <w:rFonts w:hint="eastAsia" w:ascii="宋体" w:hAnsi="宋体" w:cs="宋体"/>
                <w:color w:val="auto"/>
                <w:w w:val="99"/>
                <w:kern w:val="2"/>
                <w:sz w:val="21"/>
                <w:szCs w:val="21"/>
                <w:highlight w:val="none"/>
              </w:rPr>
              <w:t>商用燃</w:t>
            </w:r>
            <w:r>
              <w:rPr>
                <w:rFonts w:hint="eastAsia" w:ascii="宋体" w:hAnsi="宋体" w:cs="宋体"/>
                <w:color w:val="auto"/>
                <w:spacing w:val="2"/>
                <w:w w:val="99"/>
                <w:kern w:val="2"/>
                <w:sz w:val="21"/>
                <w:szCs w:val="21"/>
                <w:highlight w:val="none"/>
              </w:rPr>
              <w:t>气</w:t>
            </w:r>
            <w:r>
              <w:rPr>
                <w:rFonts w:hint="eastAsia" w:ascii="宋体" w:hAnsi="宋体" w:cs="宋体"/>
                <w:color w:val="auto"/>
                <w:w w:val="99"/>
                <w:kern w:val="2"/>
                <w:sz w:val="21"/>
                <w:szCs w:val="21"/>
                <w:highlight w:val="none"/>
              </w:rPr>
              <w:t>灶具</w:t>
            </w:r>
          </w:p>
        </w:tc>
        <w:tc>
          <w:tcPr>
            <w:tcW w:w="1481" w:type="dxa"/>
            <w:tcBorders>
              <w:top w:val="single" w:color="000000" w:sz="4" w:space="0"/>
              <w:left w:val="single" w:color="000000" w:sz="4" w:space="0"/>
              <w:bottom w:val="single" w:color="000000" w:sz="4" w:space="0"/>
              <w:right w:val="single" w:color="000000" w:sz="4" w:space="0"/>
            </w:tcBorders>
            <w:vAlign w:val="center"/>
          </w:tcPr>
          <w:p w14:paraId="1C9B39D5">
            <w:pPr>
              <w:keepNext w:val="0"/>
              <w:keepLines w:val="0"/>
              <w:suppressLineNumbers w:val="0"/>
              <w:spacing w:before="0" w:beforeAutospacing="0" w:after="0" w:afterAutospacing="0"/>
              <w:ind w:left="0" w:right="0"/>
              <w:jc w:val="center"/>
              <w:rPr>
                <w:rFonts w:hint="default" w:ascii="宋体" w:hAnsi="宋体"/>
                <w:color w:val="auto"/>
                <w:szCs w:val="21"/>
                <w:highlight w:val="none"/>
              </w:rPr>
            </w:pPr>
          </w:p>
        </w:tc>
        <w:tc>
          <w:tcPr>
            <w:tcW w:w="4388" w:type="dxa"/>
            <w:tcBorders>
              <w:top w:val="single" w:color="000000" w:sz="4" w:space="0"/>
              <w:left w:val="single" w:color="000000" w:sz="4" w:space="0"/>
              <w:bottom w:val="single" w:color="000000" w:sz="4" w:space="0"/>
              <w:right w:val="single" w:color="000000" w:sz="4" w:space="0"/>
            </w:tcBorders>
          </w:tcPr>
          <w:p w14:paraId="5F44463A">
            <w:pPr>
              <w:pStyle w:val="88"/>
              <w:keepNext w:val="0"/>
              <w:keepLines w:val="0"/>
              <w:suppressLineNumbers w:val="0"/>
              <w:spacing w:before="131" w:beforeAutospacing="0" w:after="0" w:afterAutospacing="0" w:line="276" w:lineRule="auto"/>
              <w:ind w:left="7" w:right="4"/>
              <w:rPr>
                <w:rFonts w:hint="default" w:ascii="宋体" w:hAnsi="宋体" w:cs="宋体"/>
                <w:color w:val="auto"/>
                <w:kern w:val="2"/>
                <w:sz w:val="21"/>
                <w:szCs w:val="21"/>
                <w:highlight w:val="none"/>
                <w:lang w:eastAsia="zh-CN"/>
              </w:rPr>
            </w:pPr>
            <w:r>
              <w:rPr>
                <w:rFonts w:hint="eastAsia" w:ascii="宋体" w:hAnsi="宋体" w:cs="宋体"/>
                <w:color w:val="auto"/>
                <w:kern w:val="2"/>
                <w:sz w:val="21"/>
                <w:szCs w:val="21"/>
                <w:highlight w:val="none"/>
                <w:lang w:eastAsia="zh-CN"/>
              </w:rPr>
              <w:t>《商用燃气灶具能效限定值及能效等级》（GB30531）</w:t>
            </w:r>
          </w:p>
        </w:tc>
      </w:tr>
      <w:tr w14:paraId="6CCCBE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71" w:type="dxa"/>
            <w:vMerge w:val="restart"/>
            <w:tcBorders>
              <w:top w:val="single" w:color="000000" w:sz="4" w:space="0"/>
              <w:left w:val="single" w:color="000000" w:sz="4" w:space="0"/>
              <w:bottom w:val="single" w:color="000000" w:sz="4" w:space="0"/>
              <w:right w:val="single" w:color="000000" w:sz="4" w:space="0"/>
            </w:tcBorders>
            <w:vAlign w:val="center"/>
          </w:tcPr>
          <w:p w14:paraId="245794EB">
            <w:pPr>
              <w:keepNext w:val="0"/>
              <w:keepLines w:val="0"/>
              <w:suppressLineNumbers w:val="0"/>
              <w:spacing w:before="0" w:beforeAutospacing="0" w:after="0" w:afterAutospacing="0"/>
              <w:ind w:left="0" w:right="0"/>
              <w:jc w:val="center"/>
              <w:rPr>
                <w:rFonts w:hint="default" w:ascii="宋体" w:hAnsi="宋体"/>
                <w:color w:val="auto"/>
                <w:szCs w:val="21"/>
                <w:highlight w:val="none"/>
              </w:rPr>
            </w:pPr>
            <w:r>
              <w:rPr>
                <w:rFonts w:hint="eastAsia" w:ascii="宋体" w:hAnsi="宋体"/>
                <w:color w:val="auto"/>
                <w:szCs w:val="21"/>
                <w:highlight w:val="none"/>
              </w:rPr>
              <w:t>15</w:t>
            </w:r>
          </w:p>
        </w:tc>
        <w:tc>
          <w:tcPr>
            <w:tcW w:w="1422" w:type="dxa"/>
            <w:vMerge w:val="restart"/>
            <w:tcBorders>
              <w:top w:val="single" w:color="000000" w:sz="4" w:space="0"/>
              <w:left w:val="single" w:color="000000" w:sz="4" w:space="0"/>
              <w:bottom w:val="single" w:color="000000" w:sz="4" w:space="0"/>
              <w:right w:val="single" w:color="000000" w:sz="4" w:space="0"/>
            </w:tcBorders>
            <w:vAlign w:val="center"/>
          </w:tcPr>
          <w:p w14:paraId="3F6F1844">
            <w:pPr>
              <w:pStyle w:val="88"/>
              <w:keepNext w:val="0"/>
              <w:keepLines w:val="0"/>
              <w:suppressLineNumbers w:val="0"/>
              <w:spacing w:before="0" w:beforeAutospacing="0" w:after="0" w:afterAutospacing="0"/>
              <w:ind w:left="0" w:right="0"/>
              <w:jc w:val="center"/>
              <w:rPr>
                <w:rFonts w:hint="default" w:ascii="宋体" w:hAnsi="宋体" w:cs="宋体"/>
                <w:color w:val="auto"/>
                <w:w w:val="99"/>
                <w:kern w:val="2"/>
                <w:sz w:val="21"/>
                <w:szCs w:val="21"/>
                <w:highlight w:val="none"/>
              </w:rPr>
            </w:pPr>
            <w:r>
              <w:rPr>
                <w:rFonts w:hint="eastAsia" w:ascii="宋体" w:hAnsi="宋体" w:cs="宋体"/>
                <w:color w:val="auto"/>
                <w:w w:val="99"/>
                <w:kern w:val="2"/>
                <w:sz w:val="21"/>
                <w:szCs w:val="21"/>
                <w:highlight w:val="none"/>
              </w:rPr>
              <w:t>★</w:t>
            </w:r>
            <w:r>
              <w:rPr>
                <w:rFonts w:hint="eastAsia" w:ascii="宋体" w:hAnsi="宋体" w:cs="方正仿宋_GB2312"/>
                <w:color w:val="auto"/>
                <w:kern w:val="2"/>
                <w:sz w:val="21"/>
                <w:szCs w:val="21"/>
                <w:highlight w:val="none"/>
              </w:rPr>
              <w:t>A05020105</w:t>
            </w:r>
            <w:r>
              <w:rPr>
                <w:rFonts w:hint="eastAsia" w:ascii="宋体" w:hAnsi="宋体" w:cs="宋体"/>
                <w:color w:val="auto"/>
                <w:w w:val="99"/>
                <w:kern w:val="2"/>
                <w:sz w:val="21"/>
                <w:szCs w:val="21"/>
                <w:highlight w:val="none"/>
              </w:rPr>
              <w:t>便器</w:t>
            </w:r>
          </w:p>
        </w:tc>
        <w:tc>
          <w:tcPr>
            <w:tcW w:w="1496" w:type="dxa"/>
            <w:tcBorders>
              <w:top w:val="single" w:color="000000" w:sz="4" w:space="0"/>
              <w:left w:val="single" w:color="000000" w:sz="4" w:space="0"/>
              <w:bottom w:val="single" w:color="000000" w:sz="4" w:space="0"/>
              <w:right w:val="single" w:color="000000" w:sz="4" w:space="0"/>
            </w:tcBorders>
            <w:vAlign w:val="center"/>
          </w:tcPr>
          <w:p w14:paraId="145FF92F">
            <w:pPr>
              <w:pStyle w:val="88"/>
              <w:keepNext w:val="0"/>
              <w:keepLines w:val="0"/>
              <w:suppressLineNumbers w:val="0"/>
              <w:spacing w:before="0" w:beforeAutospacing="0" w:after="0" w:afterAutospacing="0"/>
              <w:ind w:left="0" w:right="0"/>
              <w:jc w:val="center"/>
              <w:rPr>
                <w:rFonts w:hint="default" w:ascii="宋体" w:hAnsi="宋体" w:cs="宋体"/>
                <w:color w:val="auto"/>
                <w:kern w:val="2"/>
                <w:sz w:val="21"/>
                <w:szCs w:val="21"/>
                <w:highlight w:val="none"/>
              </w:rPr>
            </w:pPr>
            <w:r>
              <w:rPr>
                <w:rFonts w:hint="eastAsia" w:ascii="宋体" w:hAnsi="宋体" w:cs="宋体"/>
                <w:color w:val="auto"/>
                <w:w w:val="99"/>
                <w:kern w:val="2"/>
                <w:sz w:val="21"/>
                <w:szCs w:val="21"/>
                <w:highlight w:val="none"/>
              </w:rPr>
              <w:t>坐便器</w:t>
            </w:r>
          </w:p>
        </w:tc>
        <w:tc>
          <w:tcPr>
            <w:tcW w:w="1481" w:type="dxa"/>
            <w:tcBorders>
              <w:top w:val="single" w:color="000000" w:sz="4" w:space="0"/>
              <w:left w:val="single" w:color="000000" w:sz="4" w:space="0"/>
              <w:bottom w:val="single" w:color="000000" w:sz="4" w:space="0"/>
              <w:right w:val="single" w:color="000000" w:sz="4" w:space="0"/>
            </w:tcBorders>
            <w:vAlign w:val="center"/>
          </w:tcPr>
          <w:p w14:paraId="67C2B690">
            <w:pPr>
              <w:keepNext w:val="0"/>
              <w:keepLines w:val="0"/>
              <w:suppressLineNumbers w:val="0"/>
              <w:spacing w:before="0" w:beforeAutospacing="0" w:after="0" w:afterAutospacing="0"/>
              <w:ind w:left="0" w:right="0"/>
              <w:jc w:val="center"/>
              <w:rPr>
                <w:rFonts w:hint="default" w:ascii="宋体" w:hAnsi="宋体"/>
                <w:color w:val="auto"/>
                <w:szCs w:val="21"/>
                <w:highlight w:val="none"/>
              </w:rPr>
            </w:pPr>
          </w:p>
        </w:tc>
        <w:tc>
          <w:tcPr>
            <w:tcW w:w="4388" w:type="dxa"/>
            <w:tcBorders>
              <w:top w:val="single" w:color="000000" w:sz="4" w:space="0"/>
              <w:left w:val="single" w:color="000000" w:sz="4" w:space="0"/>
              <w:bottom w:val="single" w:color="000000" w:sz="4" w:space="0"/>
              <w:right w:val="single" w:color="000000" w:sz="4" w:space="0"/>
            </w:tcBorders>
          </w:tcPr>
          <w:p w14:paraId="2929D768">
            <w:pPr>
              <w:pStyle w:val="88"/>
              <w:keepNext w:val="0"/>
              <w:keepLines w:val="0"/>
              <w:suppressLineNumbers w:val="0"/>
              <w:spacing w:before="131" w:beforeAutospacing="0" w:after="0" w:afterAutospacing="0" w:line="276" w:lineRule="auto"/>
              <w:ind w:left="7" w:right="4"/>
              <w:rPr>
                <w:rFonts w:hint="default" w:ascii="宋体" w:hAnsi="宋体" w:cs="宋体"/>
                <w:color w:val="auto"/>
                <w:kern w:val="2"/>
                <w:sz w:val="21"/>
                <w:szCs w:val="21"/>
                <w:highlight w:val="none"/>
                <w:lang w:eastAsia="zh-CN"/>
              </w:rPr>
            </w:pPr>
            <w:r>
              <w:rPr>
                <w:rFonts w:hint="eastAsia" w:ascii="宋体" w:hAnsi="宋体" w:cs="宋体"/>
                <w:color w:val="auto"/>
                <w:kern w:val="2"/>
                <w:sz w:val="21"/>
                <w:szCs w:val="21"/>
                <w:highlight w:val="none"/>
                <w:lang w:eastAsia="zh-CN"/>
              </w:rPr>
              <w:t>《坐便器水效限定值及水效等级》</w:t>
            </w:r>
          </w:p>
          <w:p w14:paraId="71C4C6EE">
            <w:pPr>
              <w:pStyle w:val="88"/>
              <w:keepNext w:val="0"/>
              <w:keepLines w:val="0"/>
              <w:suppressLineNumbers w:val="0"/>
              <w:spacing w:before="131" w:beforeAutospacing="0" w:after="0" w:afterAutospacing="0" w:line="276" w:lineRule="auto"/>
              <w:ind w:left="7" w:right="4"/>
              <w:rPr>
                <w:rFonts w:hint="default" w:ascii="宋体" w:hAnsi="宋体" w:cs="宋体"/>
                <w:color w:val="auto"/>
                <w:kern w:val="2"/>
                <w:sz w:val="21"/>
                <w:szCs w:val="21"/>
                <w:highlight w:val="none"/>
                <w:lang w:eastAsia="zh-CN"/>
              </w:rPr>
            </w:pPr>
            <w:r>
              <w:rPr>
                <w:rFonts w:hint="eastAsia" w:ascii="宋体" w:hAnsi="宋体" w:cs="宋体"/>
                <w:color w:val="auto"/>
                <w:kern w:val="2"/>
                <w:sz w:val="21"/>
                <w:szCs w:val="21"/>
                <w:highlight w:val="none"/>
                <w:lang w:eastAsia="zh-CN"/>
              </w:rPr>
              <w:t>（GB25502）</w:t>
            </w:r>
          </w:p>
        </w:tc>
      </w:tr>
      <w:tr w14:paraId="07F37D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0" w:type="auto"/>
            <w:vMerge w:val="continue"/>
            <w:tcBorders>
              <w:top w:val="single" w:color="000000" w:sz="4" w:space="0"/>
              <w:left w:val="single" w:color="000000" w:sz="4" w:space="0"/>
              <w:bottom w:val="single" w:color="000000" w:sz="4" w:space="0"/>
              <w:right w:val="single" w:color="000000" w:sz="4" w:space="0"/>
            </w:tcBorders>
            <w:vAlign w:val="center"/>
          </w:tcPr>
          <w:p w14:paraId="611B0591">
            <w:pPr>
              <w:keepNext w:val="0"/>
              <w:keepLines w:val="0"/>
              <w:widowControl/>
              <w:suppressLineNumbers w:val="0"/>
              <w:spacing w:before="0" w:beforeAutospacing="0" w:after="0" w:afterAutospacing="0"/>
              <w:ind w:left="0" w:right="0"/>
              <w:jc w:val="left"/>
              <w:rPr>
                <w:rFonts w:hint="default" w:ascii="宋体" w:hAnsi="宋体"/>
                <w:color w:val="auto"/>
                <w:szCs w:val="21"/>
                <w:highlight w:val="none"/>
              </w:rPr>
            </w:pPr>
          </w:p>
        </w:tc>
        <w:tc>
          <w:tcPr>
            <w:tcW w:w="0" w:type="auto"/>
            <w:vMerge w:val="continue"/>
            <w:tcBorders>
              <w:top w:val="single" w:color="000000" w:sz="4" w:space="0"/>
              <w:left w:val="single" w:color="000000" w:sz="4" w:space="0"/>
              <w:bottom w:val="single" w:color="000000" w:sz="4" w:space="0"/>
              <w:right w:val="single" w:color="000000" w:sz="4" w:space="0"/>
            </w:tcBorders>
            <w:vAlign w:val="center"/>
          </w:tcPr>
          <w:p w14:paraId="142E8B4C">
            <w:pPr>
              <w:keepNext w:val="0"/>
              <w:keepLines w:val="0"/>
              <w:widowControl/>
              <w:suppressLineNumbers w:val="0"/>
              <w:spacing w:before="0" w:beforeAutospacing="0" w:after="0" w:afterAutospacing="0"/>
              <w:ind w:left="0" w:right="0"/>
              <w:jc w:val="left"/>
              <w:rPr>
                <w:rFonts w:hint="default" w:ascii="宋体" w:hAnsi="宋体" w:cs="宋体"/>
                <w:color w:val="auto"/>
                <w:w w:val="99"/>
                <w:szCs w:val="21"/>
                <w:highlight w:val="none"/>
                <w:lang w:eastAsia="en-US"/>
              </w:rPr>
            </w:pPr>
          </w:p>
        </w:tc>
        <w:tc>
          <w:tcPr>
            <w:tcW w:w="1496" w:type="dxa"/>
            <w:tcBorders>
              <w:top w:val="single" w:color="000000" w:sz="4" w:space="0"/>
              <w:left w:val="single" w:color="000000" w:sz="4" w:space="0"/>
              <w:bottom w:val="single" w:color="000000" w:sz="4" w:space="0"/>
              <w:right w:val="single" w:color="000000" w:sz="4" w:space="0"/>
            </w:tcBorders>
            <w:vAlign w:val="center"/>
          </w:tcPr>
          <w:p w14:paraId="50A0631A">
            <w:pPr>
              <w:pStyle w:val="88"/>
              <w:keepNext w:val="0"/>
              <w:keepLines w:val="0"/>
              <w:suppressLineNumbers w:val="0"/>
              <w:spacing w:before="0" w:beforeAutospacing="0" w:after="0" w:afterAutospacing="0"/>
              <w:ind w:left="0" w:right="0"/>
              <w:jc w:val="center"/>
              <w:rPr>
                <w:rFonts w:hint="default" w:ascii="宋体" w:hAnsi="宋体" w:cs="宋体"/>
                <w:color w:val="auto"/>
                <w:kern w:val="2"/>
                <w:sz w:val="21"/>
                <w:szCs w:val="21"/>
                <w:highlight w:val="none"/>
              </w:rPr>
            </w:pPr>
            <w:r>
              <w:rPr>
                <w:rFonts w:hint="eastAsia" w:ascii="宋体" w:hAnsi="宋体" w:cs="宋体"/>
                <w:color w:val="auto"/>
                <w:w w:val="99"/>
                <w:kern w:val="2"/>
                <w:sz w:val="21"/>
                <w:szCs w:val="21"/>
                <w:highlight w:val="none"/>
              </w:rPr>
              <w:t>蹲便器</w:t>
            </w:r>
          </w:p>
        </w:tc>
        <w:tc>
          <w:tcPr>
            <w:tcW w:w="1481" w:type="dxa"/>
            <w:tcBorders>
              <w:top w:val="single" w:color="000000" w:sz="4" w:space="0"/>
              <w:left w:val="single" w:color="000000" w:sz="4" w:space="0"/>
              <w:bottom w:val="single" w:color="000000" w:sz="4" w:space="0"/>
              <w:right w:val="single" w:color="000000" w:sz="4" w:space="0"/>
            </w:tcBorders>
            <w:vAlign w:val="center"/>
          </w:tcPr>
          <w:p w14:paraId="7B5879FD">
            <w:pPr>
              <w:keepNext w:val="0"/>
              <w:keepLines w:val="0"/>
              <w:suppressLineNumbers w:val="0"/>
              <w:spacing w:before="0" w:beforeAutospacing="0" w:after="0" w:afterAutospacing="0"/>
              <w:ind w:left="0" w:right="0"/>
              <w:jc w:val="center"/>
              <w:rPr>
                <w:rFonts w:hint="default" w:ascii="宋体" w:hAnsi="宋体"/>
                <w:color w:val="auto"/>
                <w:szCs w:val="21"/>
                <w:highlight w:val="none"/>
              </w:rPr>
            </w:pPr>
          </w:p>
        </w:tc>
        <w:tc>
          <w:tcPr>
            <w:tcW w:w="4388" w:type="dxa"/>
            <w:tcBorders>
              <w:top w:val="single" w:color="000000" w:sz="4" w:space="0"/>
              <w:left w:val="single" w:color="000000" w:sz="4" w:space="0"/>
              <w:bottom w:val="single" w:color="000000" w:sz="4" w:space="0"/>
              <w:right w:val="single" w:color="000000" w:sz="4" w:space="0"/>
            </w:tcBorders>
          </w:tcPr>
          <w:p w14:paraId="25361498">
            <w:pPr>
              <w:pStyle w:val="88"/>
              <w:keepNext w:val="0"/>
              <w:keepLines w:val="0"/>
              <w:suppressLineNumbers w:val="0"/>
              <w:spacing w:before="131" w:beforeAutospacing="0" w:after="0" w:afterAutospacing="0" w:line="276" w:lineRule="auto"/>
              <w:ind w:left="7" w:right="4"/>
              <w:rPr>
                <w:rFonts w:hint="default" w:ascii="宋体" w:hAnsi="宋体" w:cs="宋体"/>
                <w:color w:val="auto"/>
                <w:kern w:val="2"/>
                <w:sz w:val="21"/>
                <w:szCs w:val="21"/>
                <w:highlight w:val="none"/>
                <w:lang w:eastAsia="zh-CN"/>
              </w:rPr>
            </w:pPr>
            <w:r>
              <w:rPr>
                <w:rFonts w:hint="eastAsia" w:ascii="宋体" w:hAnsi="宋体" w:cs="宋体"/>
                <w:color w:val="auto"/>
                <w:kern w:val="2"/>
                <w:sz w:val="21"/>
                <w:szCs w:val="21"/>
                <w:highlight w:val="none"/>
                <w:lang w:eastAsia="zh-CN"/>
              </w:rPr>
              <w:t>《蹲便器用水效率限定值及用水效率等级》（GB30717）</w:t>
            </w:r>
          </w:p>
        </w:tc>
      </w:tr>
      <w:tr w14:paraId="160D75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0" w:type="auto"/>
            <w:vMerge w:val="continue"/>
            <w:tcBorders>
              <w:top w:val="single" w:color="000000" w:sz="4" w:space="0"/>
              <w:left w:val="single" w:color="000000" w:sz="4" w:space="0"/>
              <w:bottom w:val="single" w:color="000000" w:sz="4" w:space="0"/>
              <w:right w:val="single" w:color="000000" w:sz="4" w:space="0"/>
            </w:tcBorders>
            <w:vAlign w:val="center"/>
          </w:tcPr>
          <w:p w14:paraId="28FE2F32">
            <w:pPr>
              <w:keepNext w:val="0"/>
              <w:keepLines w:val="0"/>
              <w:widowControl/>
              <w:suppressLineNumbers w:val="0"/>
              <w:spacing w:before="0" w:beforeAutospacing="0" w:after="0" w:afterAutospacing="0"/>
              <w:ind w:left="0" w:right="0"/>
              <w:jc w:val="left"/>
              <w:rPr>
                <w:rFonts w:hint="default" w:ascii="宋体" w:hAnsi="宋体"/>
                <w:color w:val="auto"/>
                <w:szCs w:val="21"/>
                <w:highlight w:val="none"/>
              </w:rPr>
            </w:pPr>
          </w:p>
        </w:tc>
        <w:tc>
          <w:tcPr>
            <w:tcW w:w="0" w:type="auto"/>
            <w:vMerge w:val="continue"/>
            <w:tcBorders>
              <w:top w:val="single" w:color="000000" w:sz="4" w:space="0"/>
              <w:left w:val="single" w:color="000000" w:sz="4" w:space="0"/>
              <w:bottom w:val="single" w:color="000000" w:sz="4" w:space="0"/>
              <w:right w:val="single" w:color="000000" w:sz="4" w:space="0"/>
            </w:tcBorders>
            <w:vAlign w:val="center"/>
          </w:tcPr>
          <w:p w14:paraId="3E84CCF5">
            <w:pPr>
              <w:keepNext w:val="0"/>
              <w:keepLines w:val="0"/>
              <w:widowControl/>
              <w:suppressLineNumbers w:val="0"/>
              <w:spacing w:before="0" w:beforeAutospacing="0" w:after="0" w:afterAutospacing="0"/>
              <w:ind w:left="0" w:right="0"/>
              <w:jc w:val="left"/>
              <w:rPr>
                <w:rFonts w:hint="default" w:ascii="宋体" w:hAnsi="宋体" w:cs="宋体"/>
                <w:color w:val="auto"/>
                <w:w w:val="99"/>
                <w:szCs w:val="21"/>
                <w:highlight w:val="none"/>
              </w:rPr>
            </w:pPr>
          </w:p>
        </w:tc>
        <w:tc>
          <w:tcPr>
            <w:tcW w:w="1496" w:type="dxa"/>
            <w:tcBorders>
              <w:top w:val="single" w:color="000000" w:sz="4" w:space="0"/>
              <w:left w:val="single" w:color="000000" w:sz="4" w:space="0"/>
              <w:bottom w:val="single" w:color="000000" w:sz="4" w:space="0"/>
              <w:right w:val="single" w:color="000000" w:sz="4" w:space="0"/>
            </w:tcBorders>
            <w:vAlign w:val="center"/>
          </w:tcPr>
          <w:p w14:paraId="283679CB">
            <w:pPr>
              <w:pStyle w:val="88"/>
              <w:keepNext w:val="0"/>
              <w:keepLines w:val="0"/>
              <w:suppressLineNumbers w:val="0"/>
              <w:spacing w:before="0" w:beforeAutospacing="0" w:after="0" w:afterAutospacing="0"/>
              <w:ind w:left="0" w:right="0"/>
              <w:jc w:val="center"/>
              <w:rPr>
                <w:rFonts w:hint="default" w:ascii="宋体" w:hAnsi="宋体" w:cs="宋体"/>
                <w:color w:val="auto"/>
                <w:kern w:val="2"/>
                <w:sz w:val="21"/>
                <w:szCs w:val="21"/>
                <w:highlight w:val="none"/>
              </w:rPr>
            </w:pPr>
            <w:r>
              <w:rPr>
                <w:rFonts w:hint="eastAsia" w:ascii="宋体" w:hAnsi="宋体" w:cs="宋体"/>
                <w:color w:val="auto"/>
                <w:w w:val="99"/>
                <w:kern w:val="2"/>
                <w:sz w:val="21"/>
                <w:szCs w:val="21"/>
                <w:highlight w:val="none"/>
              </w:rPr>
              <w:t>小便器</w:t>
            </w:r>
          </w:p>
        </w:tc>
        <w:tc>
          <w:tcPr>
            <w:tcW w:w="1481" w:type="dxa"/>
            <w:tcBorders>
              <w:top w:val="single" w:color="000000" w:sz="4" w:space="0"/>
              <w:left w:val="single" w:color="000000" w:sz="4" w:space="0"/>
              <w:bottom w:val="single" w:color="000000" w:sz="4" w:space="0"/>
              <w:right w:val="single" w:color="000000" w:sz="4" w:space="0"/>
            </w:tcBorders>
            <w:vAlign w:val="center"/>
          </w:tcPr>
          <w:p w14:paraId="4D6C500B">
            <w:pPr>
              <w:keepNext w:val="0"/>
              <w:keepLines w:val="0"/>
              <w:suppressLineNumbers w:val="0"/>
              <w:spacing w:before="0" w:beforeAutospacing="0" w:after="0" w:afterAutospacing="0"/>
              <w:ind w:left="0" w:right="0"/>
              <w:jc w:val="center"/>
              <w:rPr>
                <w:rFonts w:hint="default" w:ascii="宋体" w:hAnsi="宋体"/>
                <w:color w:val="auto"/>
                <w:szCs w:val="21"/>
                <w:highlight w:val="none"/>
              </w:rPr>
            </w:pPr>
          </w:p>
        </w:tc>
        <w:tc>
          <w:tcPr>
            <w:tcW w:w="4388" w:type="dxa"/>
            <w:tcBorders>
              <w:top w:val="single" w:color="000000" w:sz="4" w:space="0"/>
              <w:left w:val="single" w:color="000000" w:sz="4" w:space="0"/>
              <w:bottom w:val="single" w:color="000000" w:sz="4" w:space="0"/>
              <w:right w:val="single" w:color="000000" w:sz="4" w:space="0"/>
            </w:tcBorders>
          </w:tcPr>
          <w:p w14:paraId="04713C36">
            <w:pPr>
              <w:pStyle w:val="88"/>
              <w:keepNext w:val="0"/>
              <w:keepLines w:val="0"/>
              <w:suppressLineNumbers w:val="0"/>
              <w:spacing w:before="131" w:beforeAutospacing="0" w:after="0" w:afterAutospacing="0" w:line="276" w:lineRule="auto"/>
              <w:ind w:left="7" w:right="4"/>
              <w:rPr>
                <w:rFonts w:hint="default" w:ascii="宋体" w:hAnsi="宋体" w:cs="宋体"/>
                <w:color w:val="auto"/>
                <w:kern w:val="2"/>
                <w:sz w:val="21"/>
                <w:szCs w:val="21"/>
                <w:highlight w:val="none"/>
                <w:lang w:eastAsia="zh-CN"/>
              </w:rPr>
            </w:pPr>
            <w:r>
              <w:rPr>
                <w:rFonts w:hint="eastAsia" w:ascii="宋体" w:hAnsi="宋体" w:cs="宋体"/>
                <w:color w:val="auto"/>
                <w:kern w:val="2"/>
                <w:sz w:val="21"/>
                <w:szCs w:val="21"/>
                <w:highlight w:val="none"/>
                <w:lang w:eastAsia="zh-CN"/>
              </w:rPr>
              <w:t>《小便器用水效率限定值及用水效率等级》（GB28377）</w:t>
            </w:r>
          </w:p>
        </w:tc>
      </w:tr>
      <w:tr w14:paraId="366343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71" w:type="dxa"/>
            <w:tcBorders>
              <w:top w:val="single" w:color="000000" w:sz="4" w:space="0"/>
              <w:left w:val="single" w:color="000000" w:sz="4" w:space="0"/>
              <w:bottom w:val="single" w:color="000000" w:sz="4" w:space="0"/>
              <w:right w:val="single" w:color="000000" w:sz="4" w:space="0"/>
            </w:tcBorders>
            <w:vAlign w:val="center"/>
          </w:tcPr>
          <w:p w14:paraId="7DE14F9F">
            <w:pPr>
              <w:pStyle w:val="88"/>
              <w:keepNext w:val="0"/>
              <w:keepLines w:val="0"/>
              <w:suppressLineNumbers w:val="0"/>
              <w:spacing w:before="0" w:beforeAutospacing="0" w:after="0" w:afterAutospacing="0"/>
              <w:ind w:left="0" w:right="0"/>
              <w:jc w:val="center"/>
              <w:rPr>
                <w:rFonts w:hint="default" w:ascii="宋体" w:hAnsi="宋体" w:cs="宋体"/>
                <w:color w:val="auto"/>
                <w:kern w:val="2"/>
                <w:sz w:val="21"/>
                <w:szCs w:val="21"/>
                <w:highlight w:val="none"/>
              </w:rPr>
            </w:pPr>
            <w:r>
              <w:rPr>
                <w:rFonts w:hint="eastAsia" w:ascii="宋体" w:hAnsi="宋体"/>
                <w:color w:val="auto"/>
                <w:kern w:val="2"/>
                <w:sz w:val="21"/>
                <w:szCs w:val="21"/>
                <w:highlight w:val="none"/>
              </w:rPr>
              <w:t>16</w:t>
            </w:r>
          </w:p>
        </w:tc>
        <w:tc>
          <w:tcPr>
            <w:tcW w:w="1422" w:type="dxa"/>
            <w:tcBorders>
              <w:top w:val="single" w:color="000000" w:sz="4" w:space="0"/>
              <w:left w:val="single" w:color="000000" w:sz="4" w:space="0"/>
              <w:bottom w:val="single" w:color="000000" w:sz="4" w:space="0"/>
              <w:right w:val="single" w:color="000000" w:sz="4" w:space="0"/>
            </w:tcBorders>
            <w:vAlign w:val="center"/>
          </w:tcPr>
          <w:p w14:paraId="4326855E">
            <w:pPr>
              <w:pStyle w:val="88"/>
              <w:keepNext w:val="0"/>
              <w:keepLines w:val="0"/>
              <w:suppressLineNumbers w:val="0"/>
              <w:spacing w:before="153" w:beforeAutospacing="0" w:after="0" w:afterAutospacing="0"/>
              <w:ind w:left="7" w:right="0"/>
              <w:jc w:val="center"/>
              <w:rPr>
                <w:rFonts w:hint="default" w:ascii="宋体" w:hAnsi="宋体" w:cs="宋体"/>
                <w:color w:val="auto"/>
                <w:kern w:val="2"/>
                <w:sz w:val="21"/>
                <w:szCs w:val="21"/>
                <w:highlight w:val="none"/>
              </w:rPr>
            </w:pPr>
            <w:r>
              <w:rPr>
                <w:rFonts w:hint="eastAsia" w:ascii="宋体" w:hAnsi="宋体" w:cs="宋体"/>
                <w:color w:val="auto"/>
                <w:kern w:val="2"/>
                <w:sz w:val="21"/>
                <w:szCs w:val="21"/>
                <w:highlight w:val="none"/>
              </w:rPr>
              <w:t>★</w:t>
            </w:r>
            <w:r>
              <w:rPr>
                <w:rFonts w:hint="eastAsia" w:ascii="宋体" w:hAnsi="宋体" w:cs="方正仿宋_GB2312"/>
                <w:color w:val="auto"/>
                <w:kern w:val="2"/>
                <w:sz w:val="21"/>
                <w:szCs w:val="21"/>
                <w:highlight w:val="none"/>
              </w:rPr>
              <w:t>A05020106</w:t>
            </w:r>
            <w:r>
              <w:rPr>
                <w:rFonts w:hint="eastAsia" w:ascii="宋体" w:hAnsi="宋体" w:cs="宋体"/>
                <w:color w:val="auto"/>
                <w:kern w:val="2"/>
                <w:sz w:val="21"/>
                <w:szCs w:val="21"/>
                <w:highlight w:val="none"/>
              </w:rPr>
              <w:t>水</w:t>
            </w:r>
            <w:r>
              <w:rPr>
                <w:rFonts w:hint="eastAsia" w:ascii="宋体" w:hAnsi="宋体" w:cs="宋体"/>
                <w:color w:val="auto"/>
                <w:w w:val="99"/>
                <w:kern w:val="2"/>
                <w:sz w:val="21"/>
                <w:szCs w:val="21"/>
                <w:highlight w:val="none"/>
              </w:rPr>
              <w:t>嘴</w:t>
            </w:r>
          </w:p>
        </w:tc>
        <w:tc>
          <w:tcPr>
            <w:tcW w:w="1496" w:type="dxa"/>
            <w:tcBorders>
              <w:top w:val="single" w:color="000000" w:sz="4" w:space="0"/>
              <w:left w:val="single" w:color="000000" w:sz="4" w:space="0"/>
              <w:bottom w:val="single" w:color="000000" w:sz="4" w:space="0"/>
              <w:right w:val="single" w:color="000000" w:sz="4" w:space="0"/>
            </w:tcBorders>
            <w:vAlign w:val="center"/>
          </w:tcPr>
          <w:p w14:paraId="47FDBABA">
            <w:pPr>
              <w:keepNext w:val="0"/>
              <w:keepLines w:val="0"/>
              <w:suppressLineNumbers w:val="0"/>
              <w:spacing w:before="0" w:beforeAutospacing="0" w:after="0" w:afterAutospacing="0"/>
              <w:ind w:left="0" w:right="0"/>
              <w:jc w:val="center"/>
              <w:rPr>
                <w:rFonts w:hint="default" w:ascii="宋体" w:hAnsi="宋体"/>
                <w:color w:val="auto"/>
                <w:szCs w:val="21"/>
                <w:highlight w:val="none"/>
                <w:lang w:eastAsia="en-US"/>
              </w:rPr>
            </w:pPr>
          </w:p>
        </w:tc>
        <w:tc>
          <w:tcPr>
            <w:tcW w:w="1481" w:type="dxa"/>
            <w:tcBorders>
              <w:top w:val="single" w:color="000000" w:sz="4" w:space="0"/>
              <w:left w:val="single" w:color="000000" w:sz="4" w:space="0"/>
              <w:bottom w:val="single" w:color="000000" w:sz="4" w:space="0"/>
              <w:right w:val="single" w:color="000000" w:sz="4" w:space="0"/>
            </w:tcBorders>
            <w:vAlign w:val="center"/>
          </w:tcPr>
          <w:p w14:paraId="50344240">
            <w:pPr>
              <w:keepNext w:val="0"/>
              <w:keepLines w:val="0"/>
              <w:suppressLineNumbers w:val="0"/>
              <w:spacing w:before="0" w:beforeAutospacing="0" w:after="0" w:afterAutospacing="0"/>
              <w:ind w:left="0" w:right="0"/>
              <w:jc w:val="center"/>
              <w:rPr>
                <w:rFonts w:hint="default" w:ascii="宋体" w:hAnsi="宋体"/>
                <w:color w:val="auto"/>
                <w:szCs w:val="21"/>
                <w:highlight w:val="none"/>
                <w:lang w:eastAsia="en-US"/>
              </w:rPr>
            </w:pPr>
          </w:p>
        </w:tc>
        <w:tc>
          <w:tcPr>
            <w:tcW w:w="4388" w:type="dxa"/>
            <w:tcBorders>
              <w:top w:val="single" w:color="000000" w:sz="4" w:space="0"/>
              <w:left w:val="single" w:color="000000" w:sz="4" w:space="0"/>
              <w:bottom w:val="single" w:color="000000" w:sz="4" w:space="0"/>
              <w:right w:val="single" w:color="000000" w:sz="4" w:space="0"/>
            </w:tcBorders>
          </w:tcPr>
          <w:p w14:paraId="2E8F793F">
            <w:pPr>
              <w:pStyle w:val="88"/>
              <w:keepNext w:val="0"/>
              <w:keepLines w:val="0"/>
              <w:suppressLineNumbers w:val="0"/>
              <w:spacing w:before="153" w:beforeAutospacing="0" w:after="0" w:afterAutospacing="0" w:line="276" w:lineRule="auto"/>
              <w:ind w:left="7" w:right="4"/>
              <w:rPr>
                <w:rFonts w:hint="default" w:ascii="宋体" w:hAnsi="宋体" w:cs="宋体"/>
                <w:color w:val="auto"/>
                <w:kern w:val="2"/>
                <w:sz w:val="21"/>
                <w:szCs w:val="21"/>
                <w:highlight w:val="none"/>
                <w:lang w:eastAsia="zh-CN"/>
              </w:rPr>
            </w:pPr>
            <w:r>
              <w:rPr>
                <w:rFonts w:hint="eastAsia" w:ascii="宋体" w:hAnsi="宋体" w:cs="宋体"/>
                <w:color w:val="auto"/>
                <w:spacing w:val="10"/>
                <w:kern w:val="2"/>
                <w:sz w:val="21"/>
                <w:szCs w:val="21"/>
                <w:highlight w:val="none"/>
                <w:lang w:eastAsia="zh-CN"/>
              </w:rPr>
              <w:t>《水嘴用水效率限定值及用水效</w:t>
            </w:r>
            <w:r>
              <w:rPr>
                <w:rFonts w:hint="eastAsia" w:ascii="宋体" w:hAnsi="宋体" w:cs="宋体"/>
                <w:color w:val="auto"/>
                <w:kern w:val="2"/>
                <w:sz w:val="21"/>
                <w:szCs w:val="21"/>
                <w:highlight w:val="none"/>
                <w:lang w:eastAsia="zh-CN"/>
              </w:rPr>
              <w:t>率等级》（GB 25501）</w:t>
            </w:r>
          </w:p>
        </w:tc>
      </w:tr>
      <w:tr w14:paraId="658BF9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71" w:type="dxa"/>
            <w:tcBorders>
              <w:top w:val="single" w:color="000000" w:sz="4" w:space="0"/>
              <w:left w:val="single" w:color="000000" w:sz="4" w:space="0"/>
              <w:bottom w:val="single" w:color="000000" w:sz="4" w:space="0"/>
              <w:right w:val="single" w:color="000000" w:sz="4" w:space="0"/>
            </w:tcBorders>
            <w:vAlign w:val="center"/>
          </w:tcPr>
          <w:p w14:paraId="428FE8D7">
            <w:pPr>
              <w:pStyle w:val="88"/>
              <w:keepNext w:val="0"/>
              <w:keepLines w:val="0"/>
              <w:suppressLineNumbers w:val="0"/>
              <w:spacing w:before="0" w:beforeAutospacing="0" w:after="0" w:afterAutospacing="0"/>
              <w:ind w:left="0" w:right="0"/>
              <w:jc w:val="center"/>
              <w:rPr>
                <w:rFonts w:hint="default" w:ascii="宋体" w:hAnsi="宋体" w:cs="宋体"/>
                <w:color w:val="auto"/>
                <w:kern w:val="2"/>
                <w:sz w:val="21"/>
                <w:szCs w:val="21"/>
                <w:highlight w:val="none"/>
              </w:rPr>
            </w:pPr>
            <w:r>
              <w:rPr>
                <w:rFonts w:hint="eastAsia" w:ascii="宋体" w:hAnsi="宋体"/>
                <w:color w:val="auto"/>
                <w:kern w:val="2"/>
                <w:sz w:val="21"/>
                <w:szCs w:val="21"/>
                <w:highlight w:val="none"/>
              </w:rPr>
              <w:t>17</w:t>
            </w:r>
          </w:p>
        </w:tc>
        <w:tc>
          <w:tcPr>
            <w:tcW w:w="1422" w:type="dxa"/>
            <w:tcBorders>
              <w:top w:val="single" w:color="000000" w:sz="4" w:space="0"/>
              <w:left w:val="single" w:color="000000" w:sz="4" w:space="0"/>
              <w:bottom w:val="single" w:color="000000" w:sz="4" w:space="0"/>
              <w:right w:val="single" w:color="000000" w:sz="4" w:space="0"/>
            </w:tcBorders>
            <w:vAlign w:val="center"/>
          </w:tcPr>
          <w:p w14:paraId="545457BE">
            <w:pPr>
              <w:pStyle w:val="88"/>
              <w:keepNext w:val="0"/>
              <w:keepLines w:val="0"/>
              <w:suppressLineNumbers w:val="0"/>
              <w:spacing w:before="112" w:beforeAutospacing="0" w:after="0" w:afterAutospacing="0"/>
              <w:ind w:left="7" w:right="0"/>
              <w:jc w:val="center"/>
              <w:rPr>
                <w:rFonts w:hint="default" w:ascii="宋体" w:hAnsi="宋体" w:cs="宋体"/>
                <w:color w:val="auto"/>
                <w:kern w:val="2"/>
                <w:sz w:val="21"/>
                <w:szCs w:val="21"/>
                <w:highlight w:val="none"/>
              </w:rPr>
            </w:pPr>
            <w:r>
              <w:rPr>
                <w:rFonts w:hint="eastAsia" w:ascii="宋体" w:hAnsi="宋体" w:cs="方正仿宋_GB2312"/>
                <w:color w:val="auto"/>
                <w:kern w:val="2"/>
                <w:sz w:val="21"/>
                <w:szCs w:val="21"/>
                <w:highlight w:val="none"/>
              </w:rPr>
              <w:t>A05020107</w:t>
            </w:r>
            <w:r>
              <w:rPr>
                <w:rFonts w:hint="eastAsia" w:ascii="宋体" w:hAnsi="宋体" w:cs="宋体"/>
                <w:color w:val="auto"/>
                <w:kern w:val="2"/>
                <w:sz w:val="21"/>
                <w:szCs w:val="21"/>
                <w:highlight w:val="none"/>
              </w:rPr>
              <w:t>便器冲洗阀</w:t>
            </w:r>
          </w:p>
        </w:tc>
        <w:tc>
          <w:tcPr>
            <w:tcW w:w="1496" w:type="dxa"/>
            <w:tcBorders>
              <w:top w:val="single" w:color="000000" w:sz="4" w:space="0"/>
              <w:left w:val="single" w:color="000000" w:sz="4" w:space="0"/>
              <w:bottom w:val="single" w:color="000000" w:sz="4" w:space="0"/>
              <w:right w:val="single" w:color="000000" w:sz="4" w:space="0"/>
            </w:tcBorders>
            <w:vAlign w:val="center"/>
          </w:tcPr>
          <w:p w14:paraId="3293EB75">
            <w:pPr>
              <w:keepNext w:val="0"/>
              <w:keepLines w:val="0"/>
              <w:suppressLineNumbers w:val="0"/>
              <w:spacing w:before="0" w:beforeAutospacing="0" w:after="0" w:afterAutospacing="0"/>
              <w:ind w:left="0" w:right="0"/>
              <w:jc w:val="center"/>
              <w:rPr>
                <w:rFonts w:hint="default" w:ascii="宋体" w:hAnsi="宋体"/>
                <w:color w:val="auto"/>
                <w:szCs w:val="21"/>
                <w:highlight w:val="none"/>
                <w:lang w:eastAsia="en-US"/>
              </w:rPr>
            </w:pPr>
          </w:p>
        </w:tc>
        <w:tc>
          <w:tcPr>
            <w:tcW w:w="1481" w:type="dxa"/>
            <w:tcBorders>
              <w:top w:val="single" w:color="000000" w:sz="4" w:space="0"/>
              <w:left w:val="single" w:color="000000" w:sz="4" w:space="0"/>
              <w:bottom w:val="single" w:color="000000" w:sz="4" w:space="0"/>
              <w:right w:val="single" w:color="000000" w:sz="4" w:space="0"/>
            </w:tcBorders>
            <w:vAlign w:val="center"/>
          </w:tcPr>
          <w:p w14:paraId="14F6C713">
            <w:pPr>
              <w:keepNext w:val="0"/>
              <w:keepLines w:val="0"/>
              <w:suppressLineNumbers w:val="0"/>
              <w:spacing w:before="0" w:beforeAutospacing="0" w:after="0" w:afterAutospacing="0"/>
              <w:ind w:left="0" w:right="0"/>
              <w:jc w:val="center"/>
              <w:rPr>
                <w:rFonts w:hint="default" w:ascii="宋体" w:hAnsi="宋体"/>
                <w:color w:val="auto"/>
                <w:szCs w:val="21"/>
                <w:highlight w:val="none"/>
                <w:lang w:eastAsia="en-US"/>
              </w:rPr>
            </w:pPr>
          </w:p>
        </w:tc>
        <w:tc>
          <w:tcPr>
            <w:tcW w:w="4388" w:type="dxa"/>
            <w:tcBorders>
              <w:top w:val="single" w:color="000000" w:sz="4" w:space="0"/>
              <w:left w:val="single" w:color="000000" w:sz="4" w:space="0"/>
              <w:bottom w:val="single" w:color="000000" w:sz="4" w:space="0"/>
              <w:right w:val="single" w:color="000000" w:sz="4" w:space="0"/>
            </w:tcBorders>
          </w:tcPr>
          <w:p w14:paraId="18B61B05">
            <w:pPr>
              <w:pStyle w:val="88"/>
              <w:keepNext w:val="0"/>
              <w:keepLines w:val="0"/>
              <w:suppressLineNumbers w:val="0"/>
              <w:spacing w:before="112" w:beforeAutospacing="0" w:after="0" w:afterAutospacing="0" w:line="276" w:lineRule="auto"/>
              <w:ind w:left="7" w:right="4"/>
              <w:rPr>
                <w:rFonts w:hint="default" w:ascii="宋体" w:hAnsi="宋体" w:cs="宋体"/>
                <w:color w:val="auto"/>
                <w:kern w:val="2"/>
                <w:sz w:val="21"/>
                <w:szCs w:val="21"/>
                <w:highlight w:val="none"/>
                <w:lang w:eastAsia="zh-CN"/>
              </w:rPr>
            </w:pPr>
            <w:r>
              <w:rPr>
                <w:rFonts w:hint="eastAsia" w:ascii="宋体" w:hAnsi="宋体" w:cs="宋体"/>
                <w:color w:val="auto"/>
                <w:spacing w:val="10"/>
                <w:kern w:val="2"/>
                <w:sz w:val="21"/>
                <w:szCs w:val="21"/>
                <w:highlight w:val="none"/>
                <w:lang w:eastAsia="zh-CN"/>
              </w:rPr>
              <w:t>《便器冲洗阀用水效率限定值及</w:t>
            </w:r>
            <w:r>
              <w:rPr>
                <w:rFonts w:hint="eastAsia" w:ascii="宋体" w:hAnsi="宋体" w:cs="宋体"/>
                <w:color w:val="auto"/>
                <w:kern w:val="2"/>
                <w:sz w:val="21"/>
                <w:szCs w:val="21"/>
                <w:highlight w:val="none"/>
                <w:lang w:eastAsia="zh-CN"/>
              </w:rPr>
              <w:t>用水效率等级》（GB28379）</w:t>
            </w:r>
          </w:p>
        </w:tc>
      </w:tr>
      <w:tr w14:paraId="787E36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71" w:type="dxa"/>
            <w:tcBorders>
              <w:top w:val="single" w:color="000000" w:sz="4" w:space="0"/>
              <w:left w:val="single" w:color="000000" w:sz="4" w:space="0"/>
              <w:bottom w:val="single" w:color="000000" w:sz="4" w:space="0"/>
              <w:right w:val="single" w:color="000000" w:sz="4" w:space="0"/>
            </w:tcBorders>
            <w:vAlign w:val="center"/>
          </w:tcPr>
          <w:p w14:paraId="7427CB72">
            <w:pPr>
              <w:pStyle w:val="88"/>
              <w:keepNext w:val="0"/>
              <w:keepLines w:val="0"/>
              <w:suppressLineNumbers w:val="0"/>
              <w:spacing w:before="0" w:beforeAutospacing="0" w:after="0" w:afterAutospacing="0"/>
              <w:ind w:left="0" w:right="0"/>
              <w:jc w:val="center"/>
              <w:rPr>
                <w:rFonts w:hint="default" w:ascii="宋体" w:hAnsi="宋体" w:cs="宋体"/>
                <w:color w:val="auto"/>
                <w:kern w:val="2"/>
                <w:sz w:val="21"/>
                <w:szCs w:val="21"/>
                <w:highlight w:val="none"/>
              </w:rPr>
            </w:pPr>
            <w:r>
              <w:rPr>
                <w:rFonts w:hint="eastAsia" w:ascii="宋体" w:hAnsi="宋体"/>
                <w:color w:val="auto"/>
                <w:kern w:val="2"/>
                <w:sz w:val="21"/>
                <w:szCs w:val="21"/>
                <w:highlight w:val="none"/>
              </w:rPr>
              <w:t>18</w:t>
            </w:r>
          </w:p>
        </w:tc>
        <w:tc>
          <w:tcPr>
            <w:tcW w:w="1422" w:type="dxa"/>
            <w:tcBorders>
              <w:top w:val="single" w:color="000000" w:sz="4" w:space="0"/>
              <w:left w:val="single" w:color="000000" w:sz="4" w:space="0"/>
              <w:bottom w:val="single" w:color="000000" w:sz="4" w:space="0"/>
              <w:right w:val="single" w:color="000000" w:sz="4" w:space="0"/>
            </w:tcBorders>
            <w:vAlign w:val="center"/>
          </w:tcPr>
          <w:p w14:paraId="300CB45D">
            <w:pPr>
              <w:pStyle w:val="88"/>
              <w:keepNext w:val="0"/>
              <w:keepLines w:val="0"/>
              <w:suppressLineNumbers w:val="0"/>
              <w:spacing w:before="131" w:beforeAutospacing="0" w:after="0" w:afterAutospacing="0"/>
              <w:ind w:left="7" w:right="0"/>
              <w:jc w:val="center"/>
              <w:rPr>
                <w:rFonts w:hint="default" w:ascii="宋体" w:hAnsi="宋体" w:cs="宋体"/>
                <w:color w:val="auto"/>
                <w:kern w:val="2"/>
                <w:sz w:val="21"/>
                <w:szCs w:val="21"/>
                <w:highlight w:val="none"/>
              </w:rPr>
            </w:pPr>
            <w:r>
              <w:rPr>
                <w:rFonts w:hint="eastAsia" w:ascii="宋体" w:hAnsi="宋体" w:cs="方正仿宋_GB2312"/>
                <w:color w:val="auto"/>
                <w:kern w:val="2"/>
                <w:sz w:val="21"/>
                <w:szCs w:val="21"/>
                <w:highlight w:val="none"/>
              </w:rPr>
              <w:t>A05020110</w:t>
            </w:r>
            <w:r>
              <w:rPr>
                <w:rFonts w:hint="eastAsia" w:ascii="宋体" w:hAnsi="宋体" w:cs="宋体"/>
                <w:color w:val="auto"/>
                <w:kern w:val="2"/>
                <w:sz w:val="21"/>
                <w:szCs w:val="21"/>
                <w:highlight w:val="none"/>
              </w:rPr>
              <w:t>淋浴</w:t>
            </w:r>
            <w:r>
              <w:rPr>
                <w:rFonts w:hint="eastAsia" w:ascii="宋体" w:hAnsi="宋体" w:cs="宋体"/>
                <w:color w:val="auto"/>
                <w:w w:val="99"/>
                <w:kern w:val="2"/>
                <w:sz w:val="21"/>
                <w:szCs w:val="21"/>
                <w:highlight w:val="none"/>
              </w:rPr>
              <w:t>器</w:t>
            </w:r>
          </w:p>
        </w:tc>
        <w:tc>
          <w:tcPr>
            <w:tcW w:w="1496" w:type="dxa"/>
            <w:tcBorders>
              <w:top w:val="single" w:color="000000" w:sz="4" w:space="0"/>
              <w:left w:val="single" w:color="000000" w:sz="4" w:space="0"/>
              <w:bottom w:val="single" w:color="000000" w:sz="4" w:space="0"/>
              <w:right w:val="single" w:color="000000" w:sz="4" w:space="0"/>
            </w:tcBorders>
            <w:vAlign w:val="center"/>
          </w:tcPr>
          <w:p w14:paraId="7F636D0D">
            <w:pPr>
              <w:keepNext w:val="0"/>
              <w:keepLines w:val="0"/>
              <w:suppressLineNumbers w:val="0"/>
              <w:spacing w:before="0" w:beforeAutospacing="0" w:after="0" w:afterAutospacing="0"/>
              <w:ind w:left="0" w:right="0"/>
              <w:jc w:val="center"/>
              <w:rPr>
                <w:rFonts w:hint="default" w:ascii="宋体" w:hAnsi="宋体"/>
                <w:color w:val="auto"/>
                <w:szCs w:val="21"/>
                <w:highlight w:val="none"/>
                <w:lang w:eastAsia="en-US"/>
              </w:rPr>
            </w:pPr>
          </w:p>
        </w:tc>
        <w:tc>
          <w:tcPr>
            <w:tcW w:w="1481" w:type="dxa"/>
            <w:tcBorders>
              <w:top w:val="single" w:color="000000" w:sz="4" w:space="0"/>
              <w:left w:val="single" w:color="000000" w:sz="4" w:space="0"/>
              <w:bottom w:val="single" w:color="000000" w:sz="4" w:space="0"/>
              <w:right w:val="single" w:color="000000" w:sz="4" w:space="0"/>
            </w:tcBorders>
            <w:vAlign w:val="center"/>
          </w:tcPr>
          <w:p w14:paraId="0B54B63F">
            <w:pPr>
              <w:keepNext w:val="0"/>
              <w:keepLines w:val="0"/>
              <w:suppressLineNumbers w:val="0"/>
              <w:spacing w:before="0" w:beforeAutospacing="0" w:after="0" w:afterAutospacing="0"/>
              <w:ind w:left="0" w:right="0"/>
              <w:jc w:val="center"/>
              <w:rPr>
                <w:rFonts w:hint="default" w:ascii="宋体" w:hAnsi="宋体"/>
                <w:color w:val="auto"/>
                <w:szCs w:val="21"/>
                <w:highlight w:val="none"/>
                <w:lang w:eastAsia="en-US"/>
              </w:rPr>
            </w:pPr>
          </w:p>
        </w:tc>
        <w:tc>
          <w:tcPr>
            <w:tcW w:w="4388" w:type="dxa"/>
            <w:tcBorders>
              <w:top w:val="single" w:color="000000" w:sz="4" w:space="0"/>
              <w:left w:val="single" w:color="000000" w:sz="4" w:space="0"/>
              <w:bottom w:val="single" w:color="000000" w:sz="4" w:space="0"/>
              <w:right w:val="single" w:color="000000" w:sz="4" w:space="0"/>
            </w:tcBorders>
          </w:tcPr>
          <w:p w14:paraId="119F5C08">
            <w:pPr>
              <w:pStyle w:val="88"/>
              <w:keepNext w:val="0"/>
              <w:keepLines w:val="0"/>
              <w:suppressLineNumbers w:val="0"/>
              <w:spacing w:before="131" w:beforeAutospacing="0" w:after="0" w:afterAutospacing="0" w:line="276" w:lineRule="auto"/>
              <w:ind w:left="7" w:right="4"/>
              <w:rPr>
                <w:rFonts w:hint="default" w:ascii="宋体" w:hAnsi="宋体" w:cs="宋体"/>
                <w:color w:val="auto"/>
                <w:kern w:val="2"/>
                <w:sz w:val="21"/>
                <w:szCs w:val="21"/>
                <w:highlight w:val="none"/>
                <w:lang w:eastAsia="zh-CN"/>
              </w:rPr>
            </w:pPr>
            <w:r>
              <w:rPr>
                <w:rFonts w:hint="eastAsia" w:ascii="宋体" w:hAnsi="宋体" w:cs="宋体"/>
                <w:color w:val="auto"/>
                <w:spacing w:val="10"/>
                <w:kern w:val="2"/>
                <w:sz w:val="21"/>
                <w:szCs w:val="21"/>
                <w:highlight w:val="none"/>
                <w:lang w:eastAsia="zh-CN"/>
              </w:rPr>
              <w:t>《淋浴器用水效率限定值及用水</w:t>
            </w:r>
            <w:r>
              <w:rPr>
                <w:rFonts w:hint="eastAsia" w:ascii="宋体" w:hAnsi="宋体" w:cs="宋体"/>
                <w:color w:val="auto"/>
                <w:kern w:val="2"/>
                <w:sz w:val="21"/>
                <w:szCs w:val="21"/>
                <w:highlight w:val="none"/>
                <w:lang w:eastAsia="zh-CN"/>
              </w:rPr>
              <w:t>效率等级》（GB28378）</w:t>
            </w:r>
          </w:p>
        </w:tc>
      </w:tr>
    </w:tbl>
    <w:p w14:paraId="2F629E6C">
      <w:pPr>
        <w:pStyle w:val="6"/>
        <w:spacing w:line="360" w:lineRule="auto"/>
        <w:rPr>
          <w:rFonts w:ascii="宋体" w:hAnsi="宋体"/>
          <w:color w:val="auto"/>
          <w:szCs w:val="21"/>
          <w:highlight w:val="none"/>
        </w:rPr>
      </w:pPr>
      <w:r>
        <w:rPr>
          <w:rFonts w:hint="eastAsia" w:ascii="宋体" w:hAnsi="宋体"/>
          <w:color w:val="auto"/>
          <w:spacing w:val="-3"/>
          <w:szCs w:val="21"/>
          <w:highlight w:val="none"/>
        </w:rPr>
        <w:t>注：1.节能产品认证应依据相关国家标准的最新版本，依据国家标准中二级能效（水效）</w:t>
      </w:r>
      <w:r>
        <w:rPr>
          <w:rFonts w:hint="eastAsia" w:ascii="宋体" w:hAnsi="宋体"/>
          <w:color w:val="auto"/>
          <w:szCs w:val="21"/>
          <w:highlight w:val="none"/>
        </w:rPr>
        <w:t>指标。</w:t>
      </w:r>
    </w:p>
    <w:p w14:paraId="6AE493B7">
      <w:pPr>
        <w:pStyle w:val="6"/>
        <w:spacing w:line="360" w:lineRule="auto"/>
        <w:ind w:firstLine="465"/>
        <w:rPr>
          <w:rFonts w:ascii="宋体" w:hAnsi="宋体"/>
          <w:color w:val="auto"/>
          <w:szCs w:val="21"/>
          <w:highlight w:val="none"/>
        </w:rPr>
      </w:pPr>
      <w:r>
        <w:rPr>
          <w:rFonts w:hint="eastAsia" w:ascii="宋体" w:hAnsi="宋体"/>
          <w:color w:val="auto"/>
          <w:szCs w:val="21"/>
          <w:highlight w:val="none"/>
        </w:rPr>
        <w:t>2.以“★”标注的为政府强制采购产品。</w:t>
      </w:r>
    </w:p>
    <w:p w14:paraId="1B445027">
      <w:pPr>
        <w:pStyle w:val="6"/>
        <w:spacing w:line="360" w:lineRule="auto"/>
        <w:ind w:firstLine="465"/>
        <w:rPr>
          <w:rFonts w:ascii="Arial Unicode MS" w:hAnsi="Arial Unicode MS" w:eastAsia="Arial Unicode MS" w:cs="Arial Unicode MS"/>
          <w:color w:val="auto"/>
          <w:sz w:val="32"/>
          <w:szCs w:val="32"/>
          <w:highlight w:val="none"/>
        </w:rPr>
      </w:pPr>
      <w:r>
        <w:rPr>
          <w:rFonts w:hint="eastAsia" w:ascii="宋体" w:hAnsi="宋体"/>
          <w:color w:val="auto"/>
          <w:szCs w:val="21"/>
          <w:highlight w:val="none"/>
        </w:rPr>
        <w:t>3.本表格原为《关于印发节能产品政府采购品目清单的通知》（财库〔2019〕19号）规定的表格附件，其中名称及编码已根据《财政部关于印发〈政府采购品目分类目录〉的通知》（财库〔2022〕31号）修改。</w:t>
      </w:r>
      <w:r>
        <w:rPr>
          <w:rFonts w:hint="eastAsia" w:hAnsi="宋体"/>
          <w:color w:val="auto"/>
          <w:highlight w:val="none"/>
        </w:rPr>
        <w:br w:type="page"/>
      </w:r>
      <w:r>
        <w:rPr>
          <w:rFonts w:hint="eastAsia" w:ascii="微软雅黑" w:hAnsi="微软雅黑" w:eastAsia="微软雅黑" w:cs="微软雅黑"/>
          <w:color w:val="auto"/>
          <w:sz w:val="32"/>
          <w:szCs w:val="32"/>
          <w:highlight w:val="none"/>
        </w:rPr>
        <w:t>附件</w:t>
      </w:r>
      <w:r>
        <w:rPr>
          <w:rFonts w:ascii="Arial Unicode MS" w:hAnsi="Arial Unicode MS" w:eastAsia="Arial Unicode MS" w:cs="Arial Unicode MS"/>
          <w:color w:val="auto"/>
          <w:sz w:val="32"/>
          <w:szCs w:val="32"/>
          <w:highlight w:val="none"/>
        </w:rPr>
        <w:t>2</w:t>
      </w:r>
      <w:r>
        <w:rPr>
          <w:rFonts w:hint="eastAsia" w:ascii="微软雅黑" w:hAnsi="微软雅黑" w:eastAsia="微软雅黑" w:cs="微软雅黑"/>
          <w:color w:val="auto"/>
          <w:sz w:val="32"/>
          <w:szCs w:val="32"/>
          <w:highlight w:val="none"/>
        </w:rPr>
        <w:t>：</w:t>
      </w:r>
    </w:p>
    <w:p w14:paraId="799FA94C">
      <w:pPr>
        <w:spacing w:line="528" w:lineRule="exact"/>
        <w:ind w:left="1871"/>
        <w:rPr>
          <w:rFonts w:ascii="Arial Unicode MS" w:hAnsi="Arial Unicode MS" w:eastAsia="Arial Unicode MS" w:cs="Arial Unicode MS"/>
          <w:color w:val="auto"/>
          <w:sz w:val="40"/>
          <w:szCs w:val="40"/>
          <w:highlight w:val="none"/>
        </w:rPr>
      </w:pPr>
      <w:r>
        <w:rPr>
          <w:rFonts w:hint="eastAsia" w:ascii="微软雅黑" w:hAnsi="微软雅黑" w:eastAsia="微软雅黑" w:cs="微软雅黑"/>
          <w:color w:val="auto"/>
          <w:sz w:val="40"/>
          <w:szCs w:val="40"/>
          <w:highlight w:val="none"/>
        </w:rPr>
        <w:t>中小微企业划型标准</w:t>
      </w:r>
    </w:p>
    <w:tbl>
      <w:tblPr>
        <w:tblStyle w:val="37"/>
        <w:tblW w:w="9077" w:type="dxa"/>
        <w:tblInd w:w="250" w:type="dxa"/>
        <w:tblLayout w:type="fixed"/>
        <w:tblCellMar>
          <w:top w:w="0" w:type="dxa"/>
          <w:left w:w="108" w:type="dxa"/>
          <w:bottom w:w="0" w:type="dxa"/>
          <w:right w:w="108" w:type="dxa"/>
        </w:tblCellMar>
      </w:tblPr>
      <w:tblGrid>
        <w:gridCol w:w="1701"/>
        <w:gridCol w:w="1383"/>
        <w:gridCol w:w="913"/>
        <w:gridCol w:w="1619"/>
        <w:gridCol w:w="1439"/>
        <w:gridCol w:w="2022"/>
      </w:tblGrid>
      <w:tr w14:paraId="550F19D5">
        <w:tblPrEx>
          <w:tblCellMar>
            <w:top w:w="0" w:type="dxa"/>
            <w:left w:w="108" w:type="dxa"/>
            <w:bottom w:w="0" w:type="dxa"/>
            <w:right w:w="108" w:type="dxa"/>
          </w:tblCellMar>
        </w:tblPrEx>
        <w:trPr>
          <w:trHeight w:val="285" w:hRule="atLeast"/>
        </w:trPr>
        <w:tc>
          <w:tcPr>
            <w:tcW w:w="1701" w:type="dxa"/>
            <w:tcBorders>
              <w:top w:val="single" w:color="auto" w:sz="4" w:space="0"/>
              <w:left w:val="single" w:color="auto" w:sz="4" w:space="0"/>
              <w:bottom w:val="single" w:color="auto" w:sz="4" w:space="0"/>
              <w:right w:val="single" w:color="auto" w:sz="4" w:space="0"/>
            </w:tcBorders>
            <w:vAlign w:val="center"/>
          </w:tcPr>
          <w:p w14:paraId="78792262">
            <w:pPr>
              <w:keepNext w:val="0"/>
              <w:keepLines w:val="0"/>
              <w:widowControl/>
              <w:suppressLineNumbers w:val="0"/>
              <w:spacing w:before="0" w:beforeAutospacing="0" w:after="0" w:afterAutospacing="0"/>
              <w:ind w:left="0" w:right="0"/>
              <w:jc w:val="left"/>
              <w:rPr>
                <w:rFonts w:hint="default" w:ascii="方正仿宋_GB2312" w:hAnsi="仿宋" w:eastAsia="方正仿宋_GB2312" w:cs="宋体"/>
                <w:b/>
                <w:color w:val="auto"/>
                <w:kern w:val="0"/>
                <w:sz w:val="24"/>
                <w:highlight w:val="none"/>
              </w:rPr>
            </w:pPr>
            <w:r>
              <w:rPr>
                <w:rFonts w:hint="eastAsia" w:ascii="方正仿宋_GB2312" w:hAnsi="仿宋" w:eastAsia="方正仿宋_GB2312" w:cs="宋体"/>
                <w:b/>
                <w:color w:val="auto"/>
                <w:kern w:val="0"/>
                <w:sz w:val="24"/>
                <w:highlight w:val="none"/>
              </w:rPr>
              <w:t>行业名称</w:t>
            </w:r>
          </w:p>
        </w:tc>
        <w:tc>
          <w:tcPr>
            <w:tcW w:w="1383" w:type="dxa"/>
            <w:tcBorders>
              <w:top w:val="single" w:color="auto" w:sz="4" w:space="0"/>
              <w:left w:val="nil"/>
              <w:bottom w:val="single" w:color="auto" w:sz="4" w:space="0"/>
              <w:right w:val="single" w:color="auto" w:sz="4" w:space="0"/>
            </w:tcBorders>
            <w:vAlign w:val="center"/>
          </w:tcPr>
          <w:p w14:paraId="51AC2BD9">
            <w:pPr>
              <w:keepNext w:val="0"/>
              <w:keepLines w:val="0"/>
              <w:widowControl/>
              <w:suppressLineNumbers w:val="0"/>
              <w:spacing w:before="0" w:beforeAutospacing="0" w:after="0" w:afterAutospacing="0"/>
              <w:ind w:left="0" w:right="0"/>
              <w:jc w:val="left"/>
              <w:rPr>
                <w:rFonts w:hint="default" w:ascii="方正仿宋_GB2312" w:hAnsi="仿宋" w:eastAsia="方正仿宋_GB2312" w:cs="宋体"/>
                <w:b/>
                <w:color w:val="auto"/>
                <w:kern w:val="0"/>
                <w:sz w:val="24"/>
                <w:highlight w:val="none"/>
              </w:rPr>
            </w:pPr>
            <w:r>
              <w:rPr>
                <w:rFonts w:hint="eastAsia" w:ascii="方正仿宋_GB2312" w:hAnsi="仿宋" w:eastAsia="方正仿宋_GB2312" w:cs="宋体"/>
                <w:b/>
                <w:color w:val="auto"/>
                <w:kern w:val="0"/>
                <w:sz w:val="24"/>
                <w:highlight w:val="none"/>
              </w:rPr>
              <w:t>指标名称</w:t>
            </w:r>
          </w:p>
        </w:tc>
        <w:tc>
          <w:tcPr>
            <w:tcW w:w="913" w:type="dxa"/>
            <w:tcBorders>
              <w:top w:val="single" w:color="auto" w:sz="4" w:space="0"/>
              <w:left w:val="nil"/>
              <w:bottom w:val="single" w:color="auto" w:sz="4" w:space="0"/>
              <w:right w:val="single" w:color="auto" w:sz="4" w:space="0"/>
            </w:tcBorders>
            <w:vAlign w:val="center"/>
          </w:tcPr>
          <w:p w14:paraId="3E5564CE">
            <w:pPr>
              <w:keepNext w:val="0"/>
              <w:keepLines w:val="0"/>
              <w:widowControl/>
              <w:suppressLineNumbers w:val="0"/>
              <w:spacing w:before="0" w:beforeAutospacing="0" w:after="0" w:afterAutospacing="0"/>
              <w:ind w:left="0" w:right="0"/>
              <w:jc w:val="left"/>
              <w:rPr>
                <w:rFonts w:hint="default" w:ascii="方正仿宋_GB2312" w:hAnsi="仿宋" w:eastAsia="方正仿宋_GB2312" w:cs="宋体"/>
                <w:b/>
                <w:color w:val="auto"/>
                <w:kern w:val="0"/>
                <w:sz w:val="24"/>
                <w:highlight w:val="none"/>
              </w:rPr>
            </w:pPr>
            <w:r>
              <w:rPr>
                <w:rFonts w:hint="eastAsia" w:ascii="方正仿宋_GB2312" w:hAnsi="仿宋" w:eastAsia="方正仿宋_GB2312" w:cs="宋体"/>
                <w:b/>
                <w:color w:val="auto"/>
                <w:kern w:val="0"/>
                <w:sz w:val="24"/>
                <w:highlight w:val="none"/>
              </w:rPr>
              <w:t>计量单位</w:t>
            </w:r>
          </w:p>
        </w:tc>
        <w:tc>
          <w:tcPr>
            <w:tcW w:w="1619" w:type="dxa"/>
            <w:tcBorders>
              <w:top w:val="single" w:color="auto" w:sz="4" w:space="0"/>
              <w:left w:val="nil"/>
              <w:bottom w:val="single" w:color="auto" w:sz="4" w:space="0"/>
              <w:right w:val="single" w:color="auto" w:sz="4" w:space="0"/>
            </w:tcBorders>
            <w:vAlign w:val="center"/>
          </w:tcPr>
          <w:p w14:paraId="01EB3167">
            <w:pPr>
              <w:keepNext w:val="0"/>
              <w:keepLines w:val="0"/>
              <w:widowControl/>
              <w:suppressLineNumbers w:val="0"/>
              <w:spacing w:before="0" w:beforeAutospacing="0" w:after="0" w:afterAutospacing="0"/>
              <w:ind w:left="0" w:right="0"/>
              <w:jc w:val="left"/>
              <w:rPr>
                <w:rFonts w:hint="default" w:ascii="方正仿宋_GB2312" w:hAnsi="仿宋" w:eastAsia="方正仿宋_GB2312" w:cs="宋体"/>
                <w:b/>
                <w:color w:val="auto"/>
                <w:kern w:val="0"/>
                <w:sz w:val="24"/>
                <w:highlight w:val="none"/>
              </w:rPr>
            </w:pPr>
            <w:r>
              <w:rPr>
                <w:rFonts w:hint="eastAsia" w:ascii="方正仿宋_GB2312" w:hAnsi="仿宋" w:eastAsia="方正仿宋_GB2312" w:cs="宋体"/>
                <w:b/>
                <w:color w:val="auto"/>
                <w:kern w:val="0"/>
                <w:sz w:val="24"/>
                <w:highlight w:val="none"/>
              </w:rPr>
              <w:t>中型</w:t>
            </w:r>
          </w:p>
        </w:tc>
        <w:tc>
          <w:tcPr>
            <w:tcW w:w="1439" w:type="dxa"/>
            <w:tcBorders>
              <w:top w:val="single" w:color="auto" w:sz="4" w:space="0"/>
              <w:left w:val="nil"/>
              <w:bottom w:val="single" w:color="auto" w:sz="4" w:space="0"/>
              <w:right w:val="single" w:color="auto" w:sz="4" w:space="0"/>
            </w:tcBorders>
            <w:vAlign w:val="center"/>
          </w:tcPr>
          <w:p w14:paraId="28336B2B">
            <w:pPr>
              <w:keepNext w:val="0"/>
              <w:keepLines w:val="0"/>
              <w:widowControl/>
              <w:suppressLineNumbers w:val="0"/>
              <w:spacing w:before="0" w:beforeAutospacing="0" w:after="0" w:afterAutospacing="0"/>
              <w:ind w:left="0" w:right="0"/>
              <w:jc w:val="left"/>
              <w:rPr>
                <w:rFonts w:hint="default" w:ascii="方正仿宋_GB2312" w:hAnsi="仿宋" w:eastAsia="方正仿宋_GB2312" w:cs="宋体"/>
                <w:b/>
                <w:color w:val="auto"/>
                <w:kern w:val="0"/>
                <w:sz w:val="24"/>
                <w:highlight w:val="none"/>
              </w:rPr>
            </w:pPr>
            <w:r>
              <w:rPr>
                <w:rFonts w:hint="eastAsia" w:ascii="方正仿宋_GB2312" w:hAnsi="仿宋" w:eastAsia="方正仿宋_GB2312" w:cs="宋体"/>
                <w:b/>
                <w:color w:val="auto"/>
                <w:kern w:val="0"/>
                <w:sz w:val="24"/>
                <w:highlight w:val="none"/>
              </w:rPr>
              <w:t>小型</w:t>
            </w:r>
          </w:p>
        </w:tc>
        <w:tc>
          <w:tcPr>
            <w:tcW w:w="2022" w:type="dxa"/>
            <w:tcBorders>
              <w:top w:val="single" w:color="auto" w:sz="4" w:space="0"/>
              <w:left w:val="nil"/>
              <w:bottom w:val="single" w:color="auto" w:sz="4" w:space="0"/>
              <w:right w:val="single" w:color="auto" w:sz="4" w:space="0"/>
            </w:tcBorders>
            <w:vAlign w:val="center"/>
          </w:tcPr>
          <w:p w14:paraId="631B8F66">
            <w:pPr>
              <w:keepNext w:val="0"/>
              <w:keepLines w:val="0"/>
              <w:widowControl/>
              <w:suppressLineNumbers w:val="0"/>
              <w:spacing w:before="0" w:beforeAutospacing="0" w:after="0" w:afterAutospacing="0"/>
              <w:ind w:left="0" w:right="0"/>
              <w:jc w:val="left"/>
              <w:rPr>
                <w:rFonts w:hint="default" w:ascii="方正仿宋_GB2312" w:hAnsi="仿宋" w:eastAsia="方正仿宋_GB2312" w:cs="宋体"/>
                <w:b/>
                <w:color w:val="auto"/>
                <w:kern w:val="0"/>
                <w:sz w:val="24"/>
                <w:highlight w:val="none"/>
              </w:rPr>
            </w:pPr>
            <w:r>
              <w:rPr>
                <w:rFonts w:hint="eastAsia" w:ascii="方正仿宋_GB2312" w:hAnsi="仿宋" w:eastAsia="方正仿宋_GB2312" w:cs="宋体"/>
                <w:b/>
                <w:color w:val="auto"/>
                <w:kern w:val="0"/>
                <w:sz w:val="24"/>
                <w:highlight w:val="none"/>
              </w:rPr>
              <w:t>微型</w:t>
            </w:r>
          </w:p>
        </w:tc>
      </w:tr>
      <w:tr w14:paraId="3FC43C42">
        <w:tblPrEx>
          <w:tblCellMar>
            <w:top w:w="0" w:type="dxa"/>
            <w:left w:w="108" w:type="dxa"/>
            <w:bottom w:w="0" w:type="dxa"/>
            <w:right w:w="108" w:type="dxa"/>
          </w:tblCellMar>
        </w:tblPrEx>
        <w:trPr>
          <w:trHeight w:val="225" w:hRule="atLeast"/>
        </w:trPr>
        <w:tc>
          <w:tcPr>
            <w:tcW w:w="1701" w:type="dxa"/>
            <w:tcBorders>
              <w:top w:val="nil"/>
              <w:left w:val="single" w:color="auto" w:sz="4" w:space="0"/>
              <w:bottom w:val="single" w:color="auto" w:sz="4" w:space="0"/>
              <w:right w:val="single" w:color="auto" w:sz="4" w:space="0"/>
            </w:tcBorders>
            <w:vAlign w:val="bottom"/>
          </w:tcPr>
          <w:p w14:paraId="3834BB2A">
            <w:pPr>
              <w:keepNext w:val="0"/>
              <w:keepLines w:val="0"/>
              <w:widowControl/>
              <w:suppressLineNumbers w:val="0"/>
              <w:spacing w:before="0" w:beforeAutospacing="0" w:after="0" w:afterAutospacing="0"/>
              <w:ind w:left="0" w:right="0"/>
              <w:jc w:val="center"/>
              <w:rPr>
                <w:rFonts w:hint="default" w:ascii="方正仿宋_GB2312" w:hAnsi="仿宋" w:eastAsia="方正仿宋_GB2312" w:cs="宋体"/>
                <w:b/>
                <w:bCs/>
                <w:color w:val="auto"/>
                <w:kern w:val="0"/>
                <w:sz w:val="18"/>
                <w:szCs w:val="18"/>
                <w:highlight w:val="none"/>
              </w:rPr>
            </w:pPr>
            <w:r>
              <w:rPr>
                <w:rFonts w:hint="eastAsia" w:ascii="方正仿宋_GB2312" w:hAnsi="仿宋" w:eastAsia="方正仿宋_GB2312" w:cs="宋体"/>
                <w:b/>
                <w:bCs/>
                <w:color w:val="auto"/>
                <w:kern w:val="0"/>
                <w:sz w:val="18"/>
                <w:szCs w:val="18"/>
                <w:highlight w:val="none"/>
              </w:rPr>
              <w:t>农、林、牧、渔</w:t>
            </w:r>
          </w:p>
        </w:tc>
        <w:tc>
          <w:tcPr>
            <w:tcW w:w="1383" w:type="dxa"/>
            <w:tcBorders>
              <w:top w:val="nil"/>
              <w:left w:val="nil"/>
              <w:bottom w:val="single" w:color="auto" w:sz="4" w:space="0"/>
              <w:right w:val="single" w:color="auto" w:sz="4" w:space="0"/>
            </w:tcBorders>
            <w:vAlign w:val="center"/>
          </w:tcPr>
          <w:p w14:paraId="3216DB3A">
            <w:pPr>
              <w:keepNext w:val="0"/>
              <w:keepLines w:val="0"/>
              <w:widowControl/>
              <w:suppressLineNumbers w:val="0"/>
              <w:spacing w:before="0" w:beforeAutospacing="0" w:after="0" w:afterAutospacing="0"/>
              <w:ind w:left="0" w:right="0"/>
              <w:jc w:val="left"/>
              <w:rPr>
                <w:rFonts w:hint="default" w:ascii="方正仿宋_GB2312" w:hAnsi="仿宋" w:eastAsia="方正仿宋_GB2312" w:cs="宋体"/>
                <w:color w:val="auto"/>
                <w:kern w:val="0"/>
                <w:sz w:val="18"/>
                <w:szCs w:val="18"/>
                <w:highlight w:val="none"/>
              </w:rPr>
            </w:pPr>
            <w:r>
              <w:rPr>
                <w:rFonts w:hint="eastAsia" w:ascii="方正仿宋_GB2312" w:hAnsi="仿宋" w:eastAsia="方正仿宋_GB2312" w:cs="宋体"/>
                <w:color w:val="auto"/>
                <w:kern w:val="0"/>
                <w:sz w:val="18"/>
                <w:szCs w:val="18"/>
                <w:highlight w:val="none"/>
              </w:rPr>
              <w:t>营业收入（Y）</w:t>
            </w:r>
          </w:p>
        </w:tc>
        <w:tc>
          <w:tcPr>
            <w:tcW w:w="913" w:type="dxa"/>
            <w:tcBorders>
              <w:top w:val="nil"/>
              <w:left w:val="nil"/>
              <w:bottom w:val="single" w:color="auto" w:sz="4" w:space="0"/>
              <w:right w:val="single" w:color="auto" w:sz="4" w:space="0"/>
            </w:tcBorders>
            <w:vAlign w:val="center"/>
          </w:tcPr>
          <w:p w14:paraId="210231E4">
            <w:pPr>
              <w:keepNext w:val="0"/>
              <w:keepLines w:val="0"/>
              <w:widowControl/>
              <w:suppressLineNumbers w:val="0"/>
              <w:spacing w:before="0" w:beforeAutospacing="0" w:after="0" w:afterAutospacing="0"/>
              <w:ind w:left="0" w:right="0"/>
              <w:jc w:val="left"/>
              <w:rPr>
                <w:rFonts w:hint="default" w:ascii="方正仿宋_GB2312" w:hAnsi="仿宋" w:eastAsia="方正仿宋_GB2312" w:cs="宋体"/>
                <w:color w:val="auto"/>
                <w:kern w:val="0"/>
                <w:sz w:val="18"/>
                <w:szCs w:val="18"/>
                <w:highlight w:val="none"/>
              </w:rPr>
            </w:pPr>
            <w:r>
              <w:rPr>
                <w:rFonts w:hint="eastAsia" w:ascii="方正仿宋_GB2312" w:hAnsi="仿宋" w:eastAsia="方正仿宋_GB2312" w:cs="宋体"/>
                <w:color w:val="auto"/>
                <w:kern w:val="0"/>
                <w:sz w:val="18"/>
                <w:szCs w:val="18"/>
                <w:highlight w:val="none"/>
              </w:rPr>
              <w:t>万元</w:t>
            </w:r>
          </w:p>
        </w:tc>
        <w:tc>
          <w:tcPr>
            <w:tcW w:w="1619" w:type="dxa"/>
            <w:tcBorders>
              <w:top w:val="nil"/>
              <w:left w:val="nil"/>
              <w:bottom w:val="single" w:color="auto" w:sz="4" w:space="0"/>
              <w:right w:val="single" w:color="auto" w:sz="4" w:space="0"/>
            </w:tcBorders>
            <w:vAlign w:val="center"/>
          </w:tcPr>
          <w:p w14:paraId="0C64FD1B">
            <w:pPr>
              <w:keepNext w:val="0"/>
              <w:keepLines w:val="0"/>
              <w:widowControl/>
              <w:suppressLineNumbers w:val="0"/>
              <w:spacing w:before="0" w:beforeAutospacing="0" w:after="0" w:afterAutospacing="0"/>
              <w:ind w:left="0" w:right="0"/>
              <w:jc w:val="left"/>
              <w:rPr>
                <w:rFonts w:hint="default" w:ascii="方正仿宋_GB2312" w:hAnsi="仿宋" w:eastAsia="方正仿宋_GB2312" w:cs="宋体"/>
                <w:color w:val="auto"/>
                <w:kern w:val="0"/>
                <w:sz w:val="18"/>
                <w:szCs w:val="18"/>
                <w:highlight w:val="none"/>
              </w:rPr>
            </w:pPr>
            <w:r>
              <w:rPr>
                <w:rFonts w:hint="eastAsia" w:ascii="方正仿宋_GB2312" w:hAnsi="仿宋" w:eastAsia="方正仿宋_GB2312" w:cs="宋体"/>
                <w:color w:val="auto"/>
                <w:kern w:val="0"/>
                <w:sz w:val="18"/>
                <w:szCs w:val="18"/>
                <w:highlight w:val="none"/>
              </w:rPr>
              <w:t>500≤Y＜20000</w:t>
            </w:r>
          </w:p>
        </w:tc>
        <w:tc>
          <w:tcPr>
            <w:tcW w:w="1439" w:type="dxa"/>
            <w:tcBorders>
              <w:top w:val="nil"/>
              <w:left w:val="nil"/>
              <w:bottom w:val="single" w:color="auto" w:sz="4" w:space="0"/>
              <w:right w:val="single" w:color="auto" w:sz="4" w:space="0"/>
            </w:tcBorders>
            <w:vAlign w:val="center"/>
          </w:tcPr>
          <w:p w14:paraId="297B7BFD">
            <w:pPr>
              <w:keepNext w:val="0"/>
              <w:keepLines w:val="0"/>
              <w:widowControl/>
              <w:suppressLineNumbers w:val="0"/>
              <w:spacing w:before="0" w:beforeAutospacing="0" w:after="0" w:afterAutospacing="0"/>
              <w:ind w:left="0" w:right="0"/>
              <w:jc w:val="left"/>
              <w:rPr>
                <w:rFonts w:hint="default" w:ascii="方正仿宋_GB2312" w:hAnsi="仿宋" w:eastAsia="方正仿宋_GB2312" w:cs="宋体"/>
                <w:color w:val="auto"/>
                <w:kern w:val="0"/>
                <w:sz w:val="18"/>
                <w:szCs w:val="18"/>
                <w:highlight w:val="none"/>
              </w:rPr>
            </w:pPr>
            <w:r>
              <w:rPr>
                <w:rFonts w:hint="eastAsia" w:ascii="方正仿宋_GB2312" w:hAnsi="仿宋" w:eastAsia="方正仿宋_GB2312" w:cs="宋体"/>
                <w:color w:val="auto"/>
                <w:kern w:val="0"/>
                <w:sz w:val="18"/>
                <w:szCs w:val="18"/>
                <w:highlight w:val="none"/>
              </w:rPr>
              <w:t>50≤Y＜500</w:t>
            </w:r>
          </w:p>
        </w:tc>
        <w:tc>
          <w:tcPr>
            <w:tcW w:w="2022" w:type="dxa"/>
            <w:tcBorders>
              <w:top w:val="nil"/>
              <w:left w:val="nil"/>
              <w:bottom w:val="single" w:color="auto" w:sz="4" w:space="0"/>
              <w:right w:val="single" w:color="auto" w:sz="4" w:space="0"/>
            </w:tcBorders>
            <w:vAlign w:val="center"/>
          </w:tcPr>
          <w:p w14:paraId="6BC49208">
            <w:pPr>
              <w:keepNext w:val="0"/>
              <w:keepLines w:val="0"/>
              <w:widowControl/>
              <w:suppressLineNumbers w:val="0"/>
              <w:spacing w:before="0" w:beforeAutospacing="0" w:after="0" w:afterAutospacing="0"/>
              <w:ind w:left="0" w:right="0"/>
              <w:jc w:val="left"/>
              <w:rPr>
                <w:rFonts w:hint="default" w:ascii="方正仿宋_GB2312" w:hAnsi="仿宋" w:eastAsia="方正仿宋_GB2312" w:cs="宋体"/>
                <w:color w:val="auto"/>
                <w:kern w:val="0"/>
                <w:sz w:val="18"/>
                <w:szCs w:val="18"/>
                <w:highlight w:val="none"/>
              </w:rPr>
            </w:pPr>
            <w:r>
              <w:rPr>
                <w:rFonts w:hint="eastAsia" w:ascii="方正仿宋_GB2312" w:hAnsi="仿宋" w:eastAsia="方正仿宋_GB2312" w:cs="宋体"/>
                <w:color w:val="auto"/>
                <w:kern w:val="0"/>
                <w:sz w:val="18"/>
                <w:szCs w:val="18"/>
                <w:highlight w:val="none"/>
              </w:rPr>
              <w:t>Y＜50</w:t>
            </w:r>
          </w:p>
        </w:tc>
      </w:tr>
      <w:tr w14:paraId="3926CB1C">
        <w:tblPrEx>
          <w:tblCellMar>
            <w:top w:w="0" w:type="dxa"/>
            <w:left w:w="108" w:type="dxa"/>
            <w:bottom w:w="0" w:type="dxa"/>
            <w:right w:w="108" w:type="dxa"/>
          </w:tblCellMar>
        </w:tblPrEx>
        <w:trPr>
          <w:trHeight w:val="225" w:hRule="atLeast"/>
        </w:trPr>
        <w:tc>
          <w:tcPr>
            <w:tcW w:w="1701" w:type="dxa"/>
            <w:vMerge w:val="restart"/>
            <w:tcBorders>
              <w:top w:val="nil"/>
              <w:left w:val="single" w:color="auto" w:sz="4" w:space="0"/>
              <w:bottom w:val="single" w:color="auto" w:sz="4" w:space="0"/>
              <w:right w:val="single" w:color="auto" w:sz="4" w:space="0"/>
            </w:tcBorders>
            <w:vAlign w:val="bottom"/>
          </w:tcPr>
          <w:p w14:paraId="38099B0C">
            <w:pPr>
              <w:keepNext w:val="0"/>
              <w:keepLines w:val="0"/>
              <w:widowControl/>
              <w:suppressLineNumbers w:val="0"/>
              <w:spacing w:before="0" w:beforeAutospacing="0" w:after="0" w:afterAutospacing="0"/>
              <w:ind w:left="0" w:right="0"/>
              <w:jc w:val="center"/>
              <w:rPr>
                <w:rFonts w:hint="default" w:ascii="方正仿宋_GB2312" w:hAnsi="仿宋" w:eastAsia="方正仿宋_GB2312" w:cs="宋体"/>
                <w:b/>
                <w:bCs/>
                <w:color w:val="auto"/>
                <w:kern w:val="0"/>
                <w:sz w:val="18"/>
                <w:szCs w:val="18"/>
                <w:highlight w:val="none"/>
              </w:rPr>
            </w:pPr>
            <w:r>
              <w:rPr>
                <w:rFonts w:hint="eastAsia" w:ascii="方正仿宋_GB2312" w:hAnsi="仿宋" w:eastAsia="方正仿宋_GB2312" w:cs="宋体"/>
                <w:b/>
                <w:bCs/>
                <w:color w:val="auto"/>
                <w:kern w:val="0"/>
                <w:sz w:val="18"/>
                <w:szCs w:val="18"/>
                <w:highlight w:val="none"/>
              </w:rPr>
              <w:t>工业</w:t>
            </w:r>
          </w:p>
        </w:tc>
        <w:tc>
          <w:tcPr>
            <w:tcW w:w="1383" w:type="dxa"/>
            <w:tcBorders>
              <w:top w:val="nil"/>
              <w:left w:val="nil"/>
              <w:bottom w:val="single" w:color="auto" w:sz="4" w:space="0"/>
              <w:right w:val="single" w:color="auto" w:sz="4" w:space="0"/>
            </w:tcBorders>
            <w:vAlign w:val="center"/>
          </w:tcPr>
          <w:p w14:paraId="2E59E2B3">
            <w:pPr>
              <w:keepNext w:val="0"/>
              <w:keepLines w:val="0"/>
              <w:widowControl/>
              <w:suppressLineNumbers w:val="0"/>
              <w:spacing w:before="0" w:beforeAutospacing="0" w:after="0" w:afterAutospacing="0"/>
              <w:ind w:left="0" w:right="0"/>
              <w:jc w:val="left"/>
              <w:rPr>
                <w:rFonts w:hint="default" w:ascii="方正仿宋_GB2312" w:hAnsi="仿宋" w:eastAsia="方正仿宋_GB2312" w:cs="宋体"/>
                <w:color w:val="auto"/>
                <w:kern w:val="0"/>
                <w:sz w:val="18"/>
                <w:szCs w:val="18"/>
                <w:highlight w:val="none"/>
              </w:rPr>
            </w:pPr>
            <w:r>
              <w:rPr>
                <w:rFonts w:hint="eastAsia" w:ascii="方正仿宋_GB2312" w:hAnsi="仿宋" w:eastAsia="方正仿宋_GB2312" w:cs="宋体"/>
                <w:color w:val="auto"/>
                <w:kern w:val="0"/>
                <w:sz w:val="18"/>
                <w:szCs w:val="18"/>
                <w:highlight w:val="none"/>
              </w:rPr>
              <w:t>从业人员（X）</w:t>
            </w:r>
          </w:p>
        </w:tc>
        <w:tc>
          <w:tcPr>
            <w:tcW w:w="913" w:type="dxa"/>
            <w:tcBorders>
              <w:top w:val="nil"/>
              <w:left w:val="nil"/>
              <w:bottom w:val="single" w:color="auto" w:sz="4" w:space="0"/>
              <w:right w:val="single" w:color="auto" w:sz="4" w:space="0"/>
            </w:tcBorders>
            <w:vAlign w:val="center"/>
          </w:tcPr>
          <w:p w14:paraId="725B06A3">
            <w:pPr>
              <w:keepNext w:val="0"/>
              <w:keepLines w:val="0"/>
              <w:widowControl/>
              <w:suppressLineNumbers w:val="0"/>
              <w:spacing w:before="0" w:beforeAutospacing="0" w:after="0" w:afterAutospacing="0"/>
              <w:ind w:left="0" w:right="0"/>
              <w:jc w:val="left"/>
              <w:rPr>
                <w:rFonts w:hint="default" w:ascii="方正仿宋_GB2312" w:hAnsi="仿宋" w:eastAsia="方正仿宋_GB2312" w:cs="宋体"/>
                <w:color w:val="auto"/>
                <w:kern w:val="0"/>
                <w:sz w:val="18"/>
                <w:szCs w:val="18"/>
                <w:highlight w:val="none"/>
              </w:rPr>
            </w:pPr>
            <w:r>
              <w:rPr>
                <w:rFonts w:hint="eastAsia" w:ascii="方正仿宋_GB2312" w:hAnsi="仿宋" w:eastAsia="方正仿宋_GB2312" w:cs="宋体"/>
                <w:color w:val="auto"/>
                <w:kern w:val="0"/>
                <w:sz w:val="18"/>
                <w:szCs w:val="18"/>
                <w:highlight w:val="none"/>
              </w:rPr>
              <w:t>人</w:t>
            </w:r>
          </w:p>
        </w:tc>
        <w:tc>
          <w:tcPr>
            <w:tcW w:w="1619" w:type="dxa"/>
            <w:tcBorders>
              <w:top w:val="nil"/>
              <w:left w:val="nil"/>
              <w:bottom w:val="single" w:color="auto" w:sz="4" w:space="0"/>
              <w:right w:val="single" w:color="auto" w:sz="4" w:space="0"/>
            </w:tcBorders>
            <w:vAlign w:val="center"/>
          </w:tcPr>
          <w:p w14:paraId="5F8C18A7">
            <w:pPr>
              <w:keepNext w:val="0"/>
              <w:keepLines w:val="0"/>
              <w:widowControl/>
              <w:suppressLineNumbers w:val="0"/>
              <w:spacing w:before="0" w:beforeAutospacing="0" w:after="0" w:afterAutospacing="0"/>
              <w:ind w:left="0" w:right="0"/>
              <w:jc w:val="left"/>
              <w:rPr>
                <w:rFonts w:hint="default" w:ascii="方正仿宋_GB2312" w:hAnsi="仿宋" w:eastAsia="方正仿宋_GB2312" w:cs="宋体"/>
                <w:color w:val="auto"/>
                <w:kern w:val="0"/>
                <w:sz w:val="18"/>
                <w:szCs w:val="18"/>
                <w:highlight w:val="none"/>
              </w:rPr>
            </w:pPr>
            <w:r>
              <w:rPr>
                <w:rFonts w:hint="eastAsia" w:ascii="方正仿宋_GB2312" w:hAnsi="仿宋" w:eastAsia="方正仿宋_GB2312" w:cs="宋体"/>
                <w:color w:val="auto"/>
                <w:kern w:val="0"/>
                <w:sz w:val="18"/>
                <w:szCs w:val="18"/>
                <w:highlight w:val="none"/>
              </w:rPr>
              <w:t>300≤X＜1000</w:t>
            </w:r>
          </w:p>
        </w:tc>
        <w:tc>
          <w:tcPr>
            <w:tcW w:w="1439" w:type="dxa"/>
            <w:tcBorders>
              <w:top w:val="nil"/>
              <w:left w:val="nil"/>
              <w:bottom w:val="single" w:color="auto" w:sz="4" w:space="0"/>
              <w:right w:val="single" w:color="auto" w:sz="4" w:space="0"/>
            </w:tcBorders>
            <w:vAlign w:val="center"/>
          </w:tcPr>
          <w:p w14:paraId="0B1E7550">
            <w:pPr>
              <w:keepNext w:val="0"/>
              <w:keepLines w:val="0"/>
              <w:widowControl/>
              <w:suppressLineNumbers w:val="0"/>
              <w:spacing w:before="0" w:beforeAutospacing="0" w:after="0" w:afterAutospacing="0"/>
              <w:ind w:left="0" w:right="0"/>
              <w:jc w:val="left"/>
              <w:rPr>
                <w:rFonts w:hint="default" w:ascii="方正仿宋_GB2312" w:hAnsi="仿宋" w:eastAsia="方正仿宋_GB2312" w:cs="宋体"/>
                <w:color w:val="auto"/>
                <w:kern w:val="0"/>
                <w:sz w:val="18"/>
                <w:szCs w:val="18"/>
                <w:highlight w:val="none"/>
              </w:rPr>
            </w:pPr>
            <w:r>
              <w:rPr>
                <w:rFonts w:hint="eastAsia" w:ascii="方正仿宋_GB2312" w:hAnsi="仿宋" w:eastAsia="方正仿宋_GB2312" w:cs="宋体"/>
                <w:color w:val="auto"/>
                <w:kern w:val="0"/>
                <w:sz w:val="18"/>
                <w:szCs w:val="18"/>
                <w:highlight w:val="none"/>
              </w:rPr>
              <w:t>20≤X＜300</w:t>
            </w:r>
          </w:p>
        </w:tc>
        <w:tc>
          <w:tcPr>
            <w:tcW w:w="2022" w:type="dxa"/>
            <w:tcBorders>
              <w:top w:val="nil"/>
              <w:left w:val="nil"/>
              <w:bottom w:val="single" w:color="auto" w:sz="4" w:space="0"/>
              <w:right w:val="single" w:color="auto" w:sz="4" w:space="0"/>
            </w:tcBorders>
            <w:vAlign w:val="center"/>
          </w:tcPr>
          <w:p w14:paraId="0B3092A5">
            <w:pPr>
              <w:keepNext w:val="0"/>
              <w:keepLines w:val="0"/>
              <w:widowControl/>
              <w:suppressLineNumbers w:val="0"/>
              <w:spacing w:before="0" w:beforeAutospacing="0" w:after="0" w:afterAutospacing="0"/>
              <w:ind w:left="0" w:right="0"/>
              <w:jc w:val="left"/>
              <w:rPr>
                <w:rFonts w:hint="default" w:ascii="方正仿宋_GB2312" w:hAnsi="仿宋" w:eastAsia="方正仿宋_GB2312" w:cs="宋体"/>
                <w:color w:val="auto"/>
                <w:kern w:val="0"/>
                <w:sz w:val="18"/>
                <w:szCs w:val="18"/>
                <w:highlight w:val="none"/>
              </w:rPr>
            </w:pPr>
            <w:r>
              <w:rPr>
                <w:rFonts w:hint="eastAsia" w:ascii="方正仿宋_GB2312" w:hAnsi="仿宋" w:eastAsia="方正仿宋_GB2312" w:cs="宋体"/>
                <w:color w:val="auto"/>
                <w:kern w:val="0"/>
                <w:sz w:val="18"/>
                <w:szCs w:val="18"/>
                <w:highlight w:val="none"/>
              </w:rPr>
              <w:t>X＜20</w:t>
            </w:r>
          </w:p>
        </w:tc>
      </w:tr>
      <w:tr w14:paraId="623ECF4A">
        <w:tblPrEx>
          <w:tblCellMar>
            <w:top w:w="0" w:type="dxa"/>
            <w:left w:w="108" w:type="dxa"/>
            <w:bottom w:w="0" w:type="dxa"/>
            <w:right w:w="108" w:type="dxa"/>
          </w:tblCellMar>
        </w:tblPrEx>
        <w:trPr>
          <w:trHeight w:val="225" w:hRule="atLeast"/>
        </w:trPr>
        <w:tc>
          <w:tcPr>
            <w:tcW w:w="1701" w:type="dxa"/>
            <w:vMerge w:val="continue"/>
            <w:tcBorders>
              <w:top w:val="nil"/>
              <w:left w:val="single" w:color="auto" w:sz="4" w:space="0"/>
              <w:bottom w:val="single" w:color="auto" w:sz="4" w:space="0"/>
              <w:right w:val="single" w:color="auto" w:sz="4" w:space="0"/>
            </w:tcBorders>
            <w:vAlign w:val="center"/>
          </w:tcPr>
          <w:p w14:paraId="0F0930AB">
            <w:pPr>
              <w:keepNext w:val="0"/>
              <w:keepLines w:val="0"/>
              <w:widowControl/>
              <w:suppressLineNumbers w:val="0"/>
              <w:spacing w:before="0" w:beforeAutospacing="0" w:after="0" w:afterAutospacing="0"/>
              <w:ind w:left="0" w:right="0"/>
              <w:jc w:val="left"/>
              <w:rPr>
                <w:rFonts w:hint="default" w:ascii="方正仿宋_GB2312" w:hAnsi="仿宋" w:eastAsia="方正仿宋_GB2312" w:cs="宋体"/>
                <w:b/>
                <w:bCs/>
                <w:color w:val="auto"/>
                <w:kern w:val="0"/>
                <w:sz w:val="18"/>
                <w:szCs w:val="18"/>
                <w:highlight w:val="none"/>
              </w:rPr>
            </w:pPr>
          </w:p>
        </w:tc>
        <w:tc>
          <w:tcPr>
            <w:tcW w:w="1383" w:type="dxa"/>
            <w:tcBorders>
              <w:top w:val="nil"/>
              <w:left w:val="nil"/>
              <w:bottom w:val="single" w:color="auto" w:sz="4" w:space="0"/>
              <w:right w:val="single" w:color="auto" w:sz="4" w:space="0"/>
            </w:tcBorders>
            <w:vAlign w:val="center"/>
          </w:tcPr>
          <w:p w14:paraId="568A8838">
            <w:pPr>
              <w:keepNext w:val="0"/>
              <w:keepLines w:val="0"/>
              <w:widowControl/>
              <w:suppressLineNumbers w:val="0"/>
              <w:spacing w:before="0" w:beforeAutospacing="0" w:after="0" w:afterAutospacing="0"/>
              <w:ind w:left="0" w:right="0"/>
              <w:jc w:val="left"/>
              <w:rPr>
                <w:rFonts w:hint="default" w:ascii="方正仿宋_GB2312" w:hAnsi="仿宋" w:eastAsia="方正仿宋_GB2312" w:cs="宋体"/>
                <w:color w:val="auto"/>
                <w:kern w:val="0"/>
                <w:sz w:val="18"/>
                <w:szCs w:val="18"/>
                <w:highlight w:val="none"/>
              </w:rPr>
            </w:pPr>
            <w:r>
              <w:rPr>
                <w:rFonts w:hint="eastAsia" w:ascii="方正仿宋_GB2312" w:hAnsi="仿宋" w:eastAsia="方正仿宋_GB2312" w:cs="宋体"/>
                <w:color w:val="auto"/>
                <w:kern w:val="0"/>
                <w:sz w:val="18"/>
                <w:szCs w:val="18"/>
                <w:highlight w:val="none"/>
              </w:rPr>
              <w:t>营业收入（Y）</w:t>
            </w:r>
          </w:p>
        </w:tc>
        <w:tc>
          <w:tcPr>
            <w:tcW w:w="913" w:type="dxa"/>
            <w:tcBorders>
              <w:top w:val="nil"/>
              <w:left w:val="nil"/>
              <w:bottom w:val="single" w:color="auto" w:sz="4" w:space="0"/>
              <w:right w:val="single" w:color="auto" w:sz="4" w:space="0"/>
            </w:tcBorders>
            <w:vAlign w:val="center"/>
          </w:tcPr>
          <w:p w14:paraId="3E6BD237">
            <w:pPr>
              <w:keepNext w:val="0"/>
              <w:keepLines w:val="0"/>
              <w:widowControl/>
              <w:suppressLineNumbers w:val="0"/>
              <w:spacing w:before="0" w:beforeAutospacing="0" w:after="0" w:afterAutospacing="0"/>
              <w:ind w:left="0" w:right="0"/>
              <w:jc w:val="left"/>
              <w:rPr>
                <w:rFonts w:hint="default" w:ascii="方正仿宋_GB2312" w:hAnsi="仿宋" w:eastAsia="方正仿宋_GB2312" w:cs="宋体"/>
                <w:color w:val="auto"/>
                <w:kern w:val="0"/>
                <w:sz w:val="18"/>
                <w:szCs w:val="18"/>
                <w:highlight w:val="none"/>
              </w:rPr>
            </w:pPr>
            <w:r>
              <w:rPr>
                <w:rFonts w:hint="eastAsia" w:ascii="方正仿宋_GB2312" w:hAnsi="仿宋" w:eastAsia="方正仿宋_GB2312" w:cs="宋体"/>
                <w:color w:val="auto"/>
                <w:kern w:val="0"/>
                <w:sz w:val="18"/>
                <w:szCs w:val="18"/>
                <w:highlight w:val="none"/>
              </w:rPr>
              <w:t>万元</w:t>
            </w:r>
          </w:p>
        </w:tc>
        <w:tc>
          <w:tcPr>
            <w:tcW w:w="1619" w:type="dxa"/>
            <w:tcBorders>
              <w:top w:val="nil"/>
              <w:left w:val="nil"/>
              <w:bottom w:val="single" w:color="auto" w:sz="4" w:space="0"/>
              <w:right w:val="single" w:color="auto" w:sz="4" w:space="0"/>
            </w:tcBorders>
            <w:vAlign w:val="center"/>
          </w:tcPr>
          <w:p w14:paraId="452EBF74">
            <w:pPr>
              <w:keepNext w:val="0"/>
              <w:keepLines w:val="0"/>
              <w:widowControl/>
              <w:suppressLineNumbers w:val="0"/>
              <w:spacing w:before="0" w:beforeAutospacing="0" w:after="0" w:afterAutospacing="0"/>
              <w:ind w:left="0" w:right="0"/>
              <w:jc w:val="left"/>
              <w:rPr>
                <w:rFonts w:hint="default" w:ascii="方正仿宋_GB2312" w:hAnsi="仿宋" w:eastAsia="方正仿宋_GB2312" w:cs="宋体"/>
                <w:color w:val="auto"/>
                <w:kern w:val="0"/>
                <w:sz w:val="18"/>
                <w:szCs w:val="18"/>
                <w:highlight w:val="none"/>
              </w:rPr>
            </w:pPr>
            <w:r>
              <w:rPr>
                <w:rFonts w:hint="eastAsia" w:ascii="方正仿宋_GB2312" w:hAnsi="仿宋" w:eastAsia="方正仿宋_GB2312" w:cs="宋体"/>
                <w:color w:val="auto"/>
                <w:kern w:val="0"/>
                <w:sz w:val="18"/>
                <w:szCs w:val="18"/>
                <w:highlight w:val="none"/>
              </w:rPr>
              <w:t>2000≤Y＜40000</w:t>
            </w:r>
          </w:p>
        </w:tc>
        <w:tc>
          <w:tcPr>
            <w:tcW w:w="1439" w:type="dxa"/>
            <w:tcBorders>
              <w:top w:val="nil"/>
              <w:left w:val="nil"/>
              <w:bottom w:val="single" w:color="auto" w:sz="4" w:space="0"/>
              <w:right w:val="single" w:color="auto" w:sz="4" w:space="0"/>
            </w:tcBorders>
            <w:vAlign w:val="center"/>
          </w:tcPr>
          <w:p w14:paraId="2E42D7E4">
            <w:pPr>
              <w:keepNext w:val="0"/>
              <w:keepLines w:val="0"/>
              <w:widowControl/>
              <w:suppressLineNumbers w:val="0"/>
              <w:spacing w:before="0" w:beforeAutospacing="0" w:after="0" w:afterAutospacing="0"/>
              <w:ind w:left="0" w:right="0"/>
              <w:jc w:val="left"/>
              <w:rPr>
                <w:rFonts w:hint="default" w:ascii="方正仿宋_GB2312" w:hAnsi="仿宋" w:eastAsia="方正仿宋_GB2312" w:cs="宋体"/>
                <w:color w:val="auto"/>
                <w:kern w:val="0"/>
                <w:sz w:val="18"/>
                <w:szCs w:val="18"/>
                <w:highlight w:val="none"/>
              </w:rPr>
            </w:pPr>
            <w:r>
              <w:rPr>
                <w:rFonts w:hint="eastAsia" w:ascii="方正仿宋_GB2312" w:hAnsi="仿宋" w:eastAsia="方正仿宋_GB2312" w:cs="宋体"/>
                <w:color w:val="auto"/>
                <w:kern w:val="0"/>
                <w:sz w:val="18"/>
                <w:szCs w:val="18"/>
                <w:highlight w:val="none"/>
              </w:rPr>
              <w:t>300≤Y＜2000</w:t>
            </w:r>
          </w:p>
        </w:tc>
        <w:tc>
          <w:tcPr>
            <w:tcW w:w="2022" w:type="dxa"/>
            <w:tcBorders>
              <w:top w:val="nil"/>
              <w:left w:val="nil"/>
              <w:bottom w:val="single" w:color="auto" w:sz="4" w:space="0"/>
              <w:right w:val="single" w:color="auto" w:sz="4" w:space="0"/>
            </w:tcBorders>
            <w:vAlign w:val="center"/>
          </w:tcPr>
          <w:p w14:paraId="40E8DF89">
            <w:pPr>
              <w:keepNext w:val="0"/>
              <w:keepLines w:val="0"/>
              <w:widowControl/>
              <w:suppressLineNumbers w:val="0"/>
              <w:spacing w:before="0" w:beforeAutospacing="0" w:after="0" w:afterAutospacing="0"/>
              <w:ind w:left="0" w:right="0"/>
              <w:jc w:val="left"/>
              <w:rPr>
                <w:rFonts w:hint="default" w:ascii="方正仿宋_GB2312" w:hAnsi="仿宋" w:eastAsia="方正仿宋_GB2312" w:cs="宋体"/>
                <w:color w:val="auto"/>
                <w:kern w:val="0"/>
                <w:sz w:val="18"/>
                <w:szCs w:val="18"/>
                <w:highlight w:val="none"/>
              </w:rPr>
            </w:pPr>
            <w:r>
              <w:rPr>
                <w:rFonts w:hint="eastAsia" w:ascii="方正仿宋_GB2312" w:hAnsi="仿宋" w:eastAsia="方正仿宋_GB2312" w:cs="宋体"/>
                <w:color w:val="auto"/>
                <w:kern w:val="0"/>
                <w:sz w:val="18"/>
                <w:szCs w:val="18"/>
                <w:highlight w:val="none"/>
              </w:rPr>
              <w:t>Y＜300</w:t>
            </w:r>
          </w:p>
        </w:tc>
      </w:tr>
      <w:tr w14:paraId="236BEA5A">
        <w:tblPrEx>
          <w:tblCellMar>
            <w:top w:w="0" w:type="dxa"/>
            <w:left w:w="108" w:type="dxa"/>
            <w:bottom w:w="0" w:type="dxa"/>
            <w:right w:w="108" w:type="dxa"/>
          </w:tblCellMar>
        </w:tblPrEx>
        <w:trPr>
          <w:trHeight w:val="225" w:hRule="atLeast"/>
        </w:trPr>
        <w:tc>
          <w:tcPr>
            <w:tcW w:w="1701" w:type="dxa"/>
            <w:vMerge w:val="restart"/>
            <w:tcBorders>
              <w:top w:val="nil"/>
              <w:left w:val="single" w:color="auto" w:sz="4" w:space="0"/>
              <w:bottom w:val="single" w:color="auto" w:sz="4" w:space="0"/>
              <w:right w:val="single" w:color="auto" w:sz="4" w:space="0"/>
            </w:tcBorders>
            <w:vAlign w:val="bottom"/>
          </w:tcPr>
          <w:p w14:paraId="7D84C3EA">
            <w:pPr>
              <w:keepNext w:val="0"/>
              <w:keepLines w:val="0"/>
              <w:widowControl/>
              <w:suppressLineNumbers w:val="0"/>
              <w:spacing w:before="0" w:beforeAutospacing="0" w:after="0" w:afterAutospacing="0"/>
              <w:ind w:left="0" w:right="0"/>
              <w:jc w:val="center"/>
              <w:rPr>
                <w:rFonts w:hint="default" w:ascii="方正仿宋_GB2312" w:hAnsi="仿宋" w:eastAsia="方正仿宋_GB2312" w:cs="宋体"/>
                <w:b/>
                <w:bCs/>
                <w:color w:val="auto"/>
                <w:kern w:val="0"/>
                <w:sz w:val="18"/>
                <w:szCs w:val="18"/>
                <w:highlight w:val="none"/>
              </w:rPr>
            </w:pPr>
            <w:r>
              <w:rPr>
                <w:rFonts w:hint="eastAsia" w:ascii="方正仿宋_GB2312" w:hAnsi="仿宋" w:eastAsia="方正仿宋_GB2312" w:cs="宋体"/>
                <w:b/>
                <w:bCs/>
                <w:color w:val="auto"/>
                <w:kern w:val="0"/>
                <w:sz w:val="18"/>
                <w:szCs w:val="18"/>
                <w:highlight w:val="none"/>
              </w:rPr>
              <w:t>建筑业</w:t>
            </w:r>
          </w:p>
        </w:tc>
        <w:tc>
          <w:tcPr>
            <w:tcW w:w="1383" w:type="dxa"/>
            <w:tcBorders>
              <w:top w:val="nil"/>
              <w:left w:val="nil"/>
              <w:bottom w:val="single" w:color="auto" w:sz="4" w:space="0"/>
              <w:right w:val="single" w:color="auto" w:sz="4" w:space="0"/>
            </w:tcBorders>
            <w:vAlign w:val="center"/>
          </w:tcPr>
          <w:p w14:paraId="4ADC11C7">
            <w:pPr>
              <w:keepNext w:val="0"/>
              <w:keepLines w:val="0"/>
              <w:widowControl/>
              <w:suppressLineNumbers w:val="0"/>
              <w:spacing w:before="0" w:beforeAutospacing="0" w:after="0" w:afterAutospacing="0"/>
              <w:ind w:left="0" w:right="0"/>
              <w:jc w:val="left"/>
              <w:rPr>
                <w:rFonts w:hint="default" w:ascii="方正仿宋_GB2312" w:hAnsi="仿宋" w:eastAsia="方正仿宋_GB2312" w:cs="宋体"/>
                <w:color w:val="auto"/>
                <w:kern w:val="0"/>
                <w:sz w:val="18"/>
                <w:szCs w:val="18"/>
                <w:highlight w:val="none"/>
              </w:rPr>
            </w:pPr>
            <w:r>
              <w:rPr>
                <w:rFonts w:hint="eastAsia" w:ascii="方正仿宋_GB2312" w:hAnsi="仿宋" w:eastAsia="方正仿宋_GB2312" w:cs="宋体"/>
                <w:color w:val="auto"/>
                <w:kern w:val="0"/>
                <w:sz w:val="18"/>
                <w:szCs w:val="18"/>
                <w:highlight w:val="none"/>
              </w:rPr>
              <w:t>营业收入（Y）</w:t>
            </w:r>
          </w:p>
        </w:tc>
        <w:tc>
          <w:tcPr>
            <w:tcW w:w="913" w:type="dxa"/>
            <w:tcBorders>
              <w:top w:val="nil"/>
              <w:left w:val="nil"/>
              <w:bottom w:val="single" w:color="auto" w:sz="4" w:space="0"/>
              <w:right w:val="single" w:color="auto" w:sz="4" w:space="0"/>
            </w:tcBorders>
            <w:vAlign w:val="center"/>
          </w:tcPr>
          <w:p w14:paraId="35D63BDE">
            <w:pPr>
              <w:keepNext w:val="0"/>
              <w:keepLines w:val="0"/>
              <w:widowControl/>
              <w:suppressLineNumbers w:val="0"/>
              <w:spacing w:before="0" w:beforeAutospacing="0" w:after="0" w:afterAutospacing="0"/>
              <w:ind w:left="0" w:right="0"/>
              <w:jc w:val="left"/>
              <w:rPr>
                <w:rFonts w:hint="default" w:ascii="方正仿宋_GB2312" w:hAnsi="仿宋" w:eastAsia="方正仿宋_GB2312" w:cs="宋体"/>
                <w:color w:val="auto"/>
                <w:kern w:val="0"/>
                <w:sz w:val="18"/>
                <w:szCs w:val="18"/>
                <w:highlight w:val="none"/>
              </w:rPr>
            </w:pPr>
            <w:r>
              <w:rPr>
                <w:rFonts w:hint="eastAsia" w:ascii="方正仿宋_GB2312" w:hAnsi="仿宋" w:eastAsia="方正仿宋_GB2312" w:cs="宋体"/>
                <w:color w:val="auto"/>
                <w:kern w:val="0"/>
                <w:sz w:val="18"/>
                <w:szCs w:val="18"/>
                <w:highlight w:val="none"/>
              </w:rPr>
              <w:t>万元</w:t>
            </w:r>
          </w:p>
        </w:tc>
        <w:tc>
          <w:tcPr>
            <w:tcW w:w="1619" w:type="dxa"/>
            <w:tcBorders>
              <w:top w:val="nil"/>
              <w:left w:val="nil"/>
              <w:bottom w:val="single" w:color="auto" w:sz="4" w:space="0"/>
              <w:right w:val="single" w:color="auto" w:sz="4" w:space="0"/>
            </w:tcBorders>
            <w:vAlign w:val="center"/>
          </w:tcPr>
          <w:p w14:paraId="0262E254">
            <w:pPr>
              <w:keepNext w:val="0"/>
              <w:keepLines w:val="0"/>
              <w:widowControl/>
              <w:suppressLineNumbers w:val="0"/>
              <w:spacing w:before="0" w:beforeAutospacing="0" w:after="0" w:afterAutospacing="0"/>
              <w:ind w:left="0" w:right="0"/>
              <w:jc w:val="left"/>
              <w:rPr>
                <w:rFonts w:hint="default" w:ascii="方正仿宋_GB2312" w:hAnsi="仿宋" w:eastAsia="方正仿宋_GB2312" w:cs="宋体"/>
                <w:color w:val="auto"/>
                <w:kern w:val="0"/>
                <w:sz w:val="18"/>
                <w:szCs w:val="18"/>
                <w:highlight w:val="none"/>
              </w:rPr>
            </w:pPr>
            <w:r>
              <w:rPr>
                <w:rFonts w:hint="eastAsia" w:ascii="方正仿宋_GB2312" w:hAnsi="仿宋" w:eastAsia="方正仿宋_GB2312" w:cs="宋体"/>
                <w:color w:val="auto"/>
                <w:kern w:val="0"/>
                <w:sz w:val="18"/>
                <w:szCs w:val="18"/>
                <w:highlight w:val="none"/>
              </w:rPr>
              <w:t>6000≤Y＜80000</w:t>
            </w:r>
          </w:p>
        </w:tc>
        <w:tc>
          <w:tcPr>
            <w:tcW w:w="1439" w:type="dxa"/>
            <w:tcBorders>
              <w:top w:val="nil"/>
              <w:left w:val="nil"/>
              <w:bottom w:val="single" w:color="auto" w:sz="4" w:space="0"/>
              <w:right w:val="single" w:color="auto" w:sz="4" w:space="0"/>
            </w:tcBorders>
            <w:vAlign w:val="center"/>
          </w:tcPr>
          <w:p w14:paraId="02969247">
            <w:pPr>
              <w:keepNext w:val="0"/>
              <w:keepLines w:val="0"/>
              <w:widowControl/>
              <w:suppressLineNumbers w:val="0"/>
              <w:spacing w:before="0" w:beforeAutospacing="0" w:after="0" w:afterAutospacing="0"/>
              <w:ind w:left="0" w:right="0"/>
              <w:jc w:val="left"/>
              <w:rPr>
                <w:rFonts w:hint="default" w:ascii="方正仿宋_GB2312" w:hAnsi="仿宋" w:eastAsia="方正仿宋_GB2312" w:cs="宋体"/>
                <w:color w:val="auto"/>
                <w:kern w:val="0"/>
                <w:sz w:val="18"/>
                <w:szCs w:val="18"/>
                <w:highlight w:val="none"/>
              </w:rPr>
            </w:pPr>
            <w:r>
              <w:rPr>
                <w:rFonts w:hint="eastAsia" w:ascii="方正仿宋_GB2312" w:hAnsi="仿宋" w:eastAsia="方正仿宋_GB2312" w:cs="宋体"/>
                <w:color w:val="auto"/>
                <w:kern w:val="0"/>
                <w:sz w:val="18"/>
                <w:szCs w:val="18"/>
                <w:highlight w:val="none"/>
              </w:rPr>
              <w:t>300≤Y＜6000</w:t>
            </w:r>
          </w:p>
        </w:tc>
        <w:tc>
          <w:tcPr>
            <w:tcW w:w="2022" w:type="dxa"/>
            <w:tcBorders>
              <w:top w:val="nil"/>
              <w:left w:val="nil"/>
              <w:bottom w:val="single" w:color="auto" w:sz="4" w:space="0"/>
              <w:right w:val="single" w:color="auto" w:sz="4" w:space="0"/>
            </w:tcBorders>
            <w:vAlign w:val="center"/>
          </w:tcPr>
          <w:p w14:paraId="733C5976">
            <w:pPr>
              <w:keepNext w:val="0"/>
              <w:keepLines w:val="0"/>
              <w:widowControl/>
              <w:suppressLineNumbers w:val="0"/>
              <w:spacing w:before="0" w:beforeAutospacing="0" w:after="0" w:afterAutospacing="0"/>
              <w:ind w:left="0" w:right="0"/>
              <w:jc w:val="left"/>
              <w:rPr>
                <w:rFonts w:hint="default" w:ascii="方正仿宋_GB2312" w:hAnsi="仿宋" w:eastAsia="方正仿宋_GB2312" w:cs="宋体"/>
                <w:color w:val="auto"/>
                <w:kern w:val="0"/>
                <w:sz w:val="18"/>
                <w:szCs w:val="18"/>
                <w:highlight w:val="none"/>
              </w:rPr>
            </w:pPr>
            <w:r>
              <w:rPr>
                <w:rFonts w:hint="eastAsia" w:ascii="方正仿宋_GB2312" w:hAnsi="仿宋" w:eastAsia="方正仿宋_GB2312" w:cs="宋体"/>
                <w:color w:val="auto"/>
                <w:kern w:val="0"/>
                <w:sz w:val="18"/>
                <w:szCs w:val="18"/>
                <w:highlight w:val="none"/>
              </w:rPr>
              <w:t>Y＜300</w:t>
            </w:r>
          </w:p>
        </w:tc>
      </w:tr>
      <w:tr w14:paraId="4F009E18">
        <w:tblPrEx>
          <w:tblCellMar>
            <w:top w:w="0" w:type="dxa"/>
            <w:left w:w="108" w:type="dxa"/>
            <w:bottom w:w="0" w:type="dxa"/>
            <w:right w:w="108" w:type="dxa"/>
          </w:tblCellMar>
        </w:tblPrEx>
        <w:trPr>
          <w:trHeight w:val="225" w:hRule="atLeast"/>
        </w:trPr>
        <w:tc>
          <w:tcPr>
            <w:tcW w:w="1701" w:type="dxa"/>
            <w:vMerge w:val="continue"/>
            <w:tcBorders>
              <w:top w:val="nil"/>
              <w:left w:val="single" w:color="auto" w:sz="4" w:space="0"/>
              <w:bottom w:val="single" w:color="auto" w:sz="4" w:space="0"/>
              <w:right w:val="single" w:color="auto" w:sz="4" w:space="0"/>
            </w:tcBorders>
            <w:vAlign w:val="center"/>
          </w:tcPr>
          <w:p w14:paraId="3D0BF488">
            <w:pPr>
              <w:keepNext w:val="0"/>
              <w:keepLines w:val="0"/>
              <w:widowControl/>
              <w:suppressLineNumbers w:val="0"/>
              <w:spacing w:before="0" w:beforeAutospacing="0" w:after="0" w:afterAutospacing="0"/>
              <w:ind w:left="0" w:right="0"/>
              <w:jc w:val="left"/>
              <w:rPr>
                <w:rFonts w:hint="default" w:ascii="方正仿宋_GB2312" w:hAnsi="仿宋" w:eastAsia="方正仿宋_GB2312" w:cs="宋体"/>
                <w:b/>
                <w:bCs/>
                <w:color w:val="auto"/>
                <w:kern w:val="0"/>
                <w:sz w:val="18"/>
                <w:szCs w:val="18"/>
                <w:highlight w:val="none"/>
              </w:rPr>
            </w:pPr>
          </w:p>
        </w:tc>
        <w:tc>
          <w:tcPr>
            <w:tcW w:w="1383" w:type="dxa"/>
            <w:tcBorders>
              <w:top w:val="nil"/>
              <w:left w:val="nil"/>
              <w:bottom w:val="single" w:color="auto" w:sz="4" w:space="0"/>
              <w:right w:val="single" w:color="auto" w:sz="4" w:space="0"/>
            </w:tcBorders>
            <w:vAlign w:val="center"/>
          </w:tcPr>
          <w:p w14:paraId="153EC945">
            <w:pPr>
              <w:keepNext w:val="0"/>
              <w:keepLines w:val="0"/>
              <w:widowControl/>
              <w:suppressLineNumbers w:val="0"/>
              <w:spacing w:before="0" w:beforeAutospacing="0" w:after="0" w:afterAutospacing="0"/>
              <w:ind w:left="0" w:right="0"/>
              <w:jc w:val="left"/>
              <w:rPr>
                <w:rFonts w:hint="default" w:ascii="方正仿宋_GB2312" w:hAnsi="仿宋" w:eastAsia="方正仿宋_GB2312" w:cs="宋体"/>
                <w:color w:val="auto"/>
                <w:kern w:val="0"/>
                <w:sz w:val="18"/>
                <w:szCs w:val="18"/>
                <w:highlight w:val="none"/>
              </w:rPr>
            </w:pPr>
            <w:r>
              <w:rPr>
                <w:rFonts w:hint="eastAsia" w:ascii="方正仿宋_GB2312" w:hAnsi="仿宋" w:eastAsia="方正仿宋_GB2312" w:cs="宋体"/>
                <w:color w:val="auto"/>
                <w:kern w:val="0"/>
                <w:sz w:val="18"/>
                <w:szCs w:val="18"/>
                <w:highlight w:val="none"/>
              </w:rPr>
              <w:t>资产总额（Z）</w:t>
            </w:r>
          </w:p>
        </w:tc>
        <w:tc>
          <w:tcPr>
            <w:tcW w:w="913" w:type="dxa"/>
            <w:tcBorders>
              <w:top w:val="nil"/>
              <w:left w:val="nil"/>
              <w:bottom w:val="single" w:color="auto" w:sz="4" w:space="0"/>
              <w:right w:val="single" w:color="auto" w:sz="4" w:space="0"/>
            </w:tcBorders>
            <w:vAlign w:val="center"/>
          </w:tcPr>
          <w:p w14:paraId="63B3CEE1">
            <w:pPr>
              <w:keepNext w:val="0"/>
              <w:keepLines w:val="0"/>
              <w:widowControl/>
              <w:suppressLineNumbers w:val="0"/>
              <w:spacing w:before="0" w:beforeAutospacing="0" w:after="0" w:afterAutospacing="0"/>
              <w:ind w:left="0" w:right="0"/>
              <w:jc w:val="left"/>
              <w:rPr>
                <w:rFonts w:hint="default" w:ascii="方正仿宋_GB2312" w:hAnsi="仿宋" w:eastAsia="方正仿宋_GB2312" w:cs="宋体"/>
                <w:color w:val="auto"/>
                <w:kern w:val="0"/>
                <w:sz w:val="18"/>
                <w:szCs w:val="18"/>
                <w:highlight w:val="none"/>
              </w:rPr>
            </w:pPr>
            <w:r>
              <w:rPr>
                <w:rFonts w:hint="eastAsia" w:ascii="方正仿宋_GB2312" w:hAnsi="仿宋" w:eastAsia="方正仿宋_GB2312" w:cs="宋体"/>
                <w:color w:val="auto"/>
                <w:kern w:val="0"/>
                <w:sz w:val="18"/>
                <w:szCs w:val="18"/>
                <w:highlight w:val="none"/>
              </w:rPr>
              <w:t>万元</w:t>
            </w:r>
          </w:p>
        </w:tc>
        <w:tc>
          <w:tcPr>
            <w:tcW w:w="1619" w:type="dxa"/>
            <w:tcBorders>
              <w:top w:val="nil"/>
              <w:left w:val="nil"/>
              <w:bottom w:val="single" w:color="auto" w:sz="4" w:space="0"/>
              <w:right w:val="single" w:color="auto" w:sz="4" w:space="0"/>
            </w:tcBorders>
            <w:vAlign w:val="center"/>
          </w:tcPr>
          <w:p w14:paraId="5983A7BE">
            <w:pPr>
              <w:keepNext w:val="0"/>
              <w:keepLines w:val="0"/>
              <w:widowControl/>
              <w:suppressLineNumbers w:val="0"/>
              <w:spacing w:before="0" w:beforeAutospacing="0" w:after="0" w:afterAutospacing="0"/>
              <w:ind w:left="0" w:right="0"/>
              <w:jc w:val="left"/>
              <w:rPr>
                <w:rFonts w:hint="default" w:ascii="方正仿宋_GB2312" w:hAnsi="仿宋" w:eastAsia="方正仿宋_GB2312" w:cs="宋体"/>
                <w:color w:val="auto"/>
                <w:kern w:val="0"/>
                <w:sz w:val="18"/>
                <w:szCs w:val="18"/>
                <w:highlight w:val="none"/>
              </w:rPr>
            </w:pPr>
            <w:r>
              <w:rPr>
                <w:rFonts w:hint="eastAsia" w:ascii="方正仿宋_GB2312" w:hAnsi="仿宋" w:eastAsia="方正仿宋_GB2312" w:cs="宋体"/>
                <w:color w:val="auto"/>
                <w:kern w:val="0"/>
                <w:sz w:val="18"/>
                <w:szCs w:val="18"/>
                <w:highlight w:val="none"/>
              </w:rPr>
              <w:t>5000≤Z＜80000</w:t>
            </w:r>
          </w:p>
        </w:tc>
        <w:tc>
          <w:tcPr>
            <w:tcW w:w="1439" w:type="dxa"/>
            <w:tcBorders>
              <w:top w:val="nil"/>
              <w:left w:val="nil"/>
              <w:bottom w:val="single" w:color="auto" w:sz="4" w:space="0"/>
              <w:right w:val="single" w:color="auto" w:sz="4" w:space="0"/>
            </w:tcBorders>
            <w:vAlign w:val="center"/>
          </w:tcPr>
          <w:p w14:paraId="40B768D1">
            <w:pPr>
              <w:keepNext w:val="0"/>
              <w:keepLines w:val="0"/>
              <w:widowControl/>
              <w:suppressLineNumbers w:val="0"/>
              <w:spacing w:before="0" w:beforeAutospacing="0" w:after="0" w:afterAutospacing="0"/>
              <w:ind w:left="0" w:right="0"/>
              <w:jc w:val="left"/>
              <w:rPr>
                <w:rFonts w:hint="default" w:ascii="方正仿宋_GB2312" w:hAnsi="仿宋" w:eastAsia="方正仿宋_GB2312" w:cs="宋体"/>
                <w:color w:val="auto"/>
                <w:kern w:val="0"/>
                <w:sz w:val="18"/>
                <w:szCs w:val="18"/>
                <w:highlight w:val="none"/>
              </w:rPr>
            </w:pPr>
            <w:r>
              <w:rPr>
                <w:rFonts w:hint="eastAsia" w:ascii="方正仿宋_GB2312" w:hAnsi="仿宋" w:eastAsia="方正仿宋_GB2312" w:cs="宋体"/>
                <w:color w:val="auto"/>
                <w:kern w:val="0"/>
                <w:sz w:val="18"/>
                <w:szCs w:val="18"/>
                <w:highlight w:val="none"/>
              </w:rPr>
              <w:t>300≤Z＜5000</w:t>
            </w:r>
          </w:p>
        </w:tc>
        <w:tc>
          <w:tcPr>
            <w:tcW w:w="2022" w:type="dxa"/>
            <w:tcBorders>
              <w:top w:val="nil"/>
              <w:left w:val="nil"/>
              <w:bottom w:val="single" w:color="auto" w:sz="4" w:space="0"/>
              <w:right w:val="single" w:color="auto" w:sz="4" w:space="0"/>
            </w:tcBorders>
            <w:vAlign w:val="center"/>
          </w:tcPr>
          <w:p w14:paraId="48DAAD00">
            <w:pPr>
              <w:keepNext w:val="0"/>
              <w:keepLines w:val="0"/>
              <w:widowControl/>
              <w:suppressLineNumbers w:val="0"/>
              <w:spacing w:before="0" w:beforeAutospacing="0" w:after="0" w:afterAutospacing="0"/>
              <w:ind w:left="0" w:right="0"/>
              <w:jc w:val="left"/>
              <w:rPr>
                <w:rFonts w:hint="default" w:ascii="方正仿宋_GB2312" w:hAnsi="仿宋" w:eastAsia="方正仿宋_GB2312" w:cs="宋体"/>
                <w:color w:val="auto"/>
                <w:kern w:val="0"/>
                <w:sz w:val="18"/>
                <w:szCs w:val="18"/>
                <w:highlight w:val="none"/>
              </w:rPr>
            </w:pPr>
            <w:r>
              <w:rPr>
                <w:rFonts w:hint="eastAsia" w:ascii="方正仿宋_GB2312" w:hAnsi="仿宋" w:eastAsia="方正仿宋_GB2312" w:cs="宋体"/>
                <w:color w:val="auto"/>
                <w:kern w:val="0"/>
                <w:sz w:val="18"/>
                <w:szCs w:val="18"/>
                <w:highlight w:val="none"/>
              </w:rPr>
              <w:t>Z＜300</w:t>
            </w:r>
          </w:p>
        </w:tc>
      </w:tr>
      <w:tr w14:paraId="3891DF08">
        <w:tblPrEx>
          <w:tblCellMar>
            <w:top w:w="0" w:type="dxa"/>
            <w:left w:w="108" w:type="dxa"/>
            <w:bottom w:w="0" w:type="dxa"/>
            <w:right w:w="108" w:type="dxa"/>
          </w:tblCellMar>
        </w:tblPrEx>
        <w:trPr>
          <w:trHeight w:val="225" w:hRule="atLeast"/>
        </w:trPr>
        <w:tc>
          <w:tcPr>
            <w:tcW w:w="1701" w:type="dxa"/>
            <w:vMerge w:val="restart"/>
            <w:tcBorders>
              <w:top w:val="nil"/>
              <w:left w:val="single" w:color="auto" w:sz="4" w:space="0"/>
              <w:bottom w:val="single" w:color="auto" w:sz="4" w:space="0"/>
              <w:right w:val="single" w:color="auto" w:sz="4" w:space="0"/>
            </w:tcBorders>
            <w:vAlign w:val="bottom"/>
          </w:tcPr>
          <w:p w14:paraId="1FC63BE8">
            <w:pPr>
              <w:keepNext w:val="0"/>
              <w:keepLines w:val="0"/>
              <w:widowControl/>
              <w:suppressLineNumbers w:val="0"/>
              <w:spacing w:before="0" w:beforeAutospacing="0" w:after="0" w:afterAutospacing="0"/>
              <w:ind w:left="0" w:right="0"/>
              <w:jc w:val="center"/>
              <w:rPr>
                <w:rFonts w:hint="default" w:ascii="方正仿宋_GB2312" w:hAnsi="仿宋" w:eastAsia="方正仿宋_GB2312" w:cs="宋体"/>
                <w:b/>
                <w:bCs/>
                <w:color w:val="auto"/>
                <w:kern w:val="0"/>
                <w:sz w:val="18"/>
                <w:szCs w:val="18"/>
                <w:highlight w:val="none"/>
              </w:rPr>
            </w:pPr>
            <w:r>
              <w:rPr>
                <w:rFonts w:hint="eastAsia" w:ascii="方正仿宋_GB2312" w:hAnsi="仿宋" w:eastAsia="方正仿宋_GB2312" w:cs="宋体"/>
                <w:b/>
                <w:bCs/>
                <w:color w:val="auto"/>
                <w:kern w:val="0"/>
                <w:sz w:val="18"/>
                <w:szCs w:val="18"/>
                <w:highlight w:val="none"/>
              </w:rPr>
              <w:t>批发业</w:t>
            </w:r>
          </w:p>
        </w:tc>
        <w:tc>
          <w:tcPr>
            <w:tcW w:w="1383" w:type="dxa"/>
            <w:tcBorders>
              <w:top w:val="nil"/>
              <w:left w:val="nil"/>
              <w:bottom w:val="single" w:color="auto" w:sz="4" w:space="0"/>
              <w:right w:val="single" w:color="auto" w:sz="4" w:space="0"/>
            </w:tcBorders>
            <w:vAlign w:val="center"/>
          </w:tcPr>
          <w:p w14:paraId="565B52B7">
            <w:pPr>
              <w:keepNext w:val="0"/>
              <w:keepLines w:val="0"/>
              <w:widowControl/>
              <w:suppressLineNumbers w:val="0"/>
              <w:spacing w:before="0" w:beforeAutospacing="0" w:after="0" w:afterAutospacing="0"/>
              <w:ind w:left="0" w:right="0"/>
              <w:jc w:val="left"/>
              <w:rPr>
                <w:rFonts w:hint="default" w:ascii="方正仿宋_GB2312" w:hAnsi="仿宋" w:eastAsia="方正仿宋_GB2312" w:cs="宋体"/>
                <w:color w:val="auto"/>
                <w:kern w:val="0"/>
                <w:sz w:val="18"/>
                <w:szCs w:val="18"/>
                <w:highlight w:val="none"/>
              </w:rPr>
            </w:pPr>
            <w:r>
              <w:rPr>
                <w:rFonts w:hint="eastAsia" w:ascii="方正仿宋_GB2312" w:hAnsi="仿宋" w:eastAsia="方正仿宋_GB2312" w:cs="宋体"/>
                <w:color w:val="auto"/>
                <w:kern w:val="0"/>
                <w:sz w:val="18"/>
                <w:szCs w:val="18"/>
                <w:highlight w:val="none"/>
              </w:rPr>
              <w:t>从业人员（X）</w:t>
            </w:r>
          </w:p>
        </w:tc>
        <w:tc>
          <w:tcPr>
            <w:tcW w:w="913" w:type="dxa"/>
            <w:tcBorders>
              <w:top w:val="nil"/>
              <w:left w:val="nil"/>
              <w:bottom w:val="single" w:color="auto" w:sz="4" w:space="0"/>
              <w:right w:val="single" w:color="auto" w:sz="4" w:space="0"/>
            </w:tcBorders>
            <w:vAlign w:val="center"/>
          </w:tcPr>
          <w:p w14:paraId="447112A0">
            <w:pPr>
              <w:keepNext w:val="0"/>
              <w:keepLines w:val="0"/>
              <w:widowControl/>
              <w:suppressLineNumbers w:val="0"/>
              <w:spacing w:before="0" w:beforeAutospacing="0" w:after="0" w:afterAutospacing="0"/>
              <w:ind w:left="0" w:right="0"/>
              <w:jc w:val="left"/>
              <w:rPr>
                <w:rFonts w:hint="default" w:ascii="方正仿宋_GB2312" w:hAnsi="仿宋" w:eastAsia="方正仿宋_GB2312" w:cs="宋体"/>
                <w:color w:val="auto"/>
                <w:kern w:val="0"/>
                <w:sz w:val="18"/>
                <w:szCs w:val="18"/>
                <w:highlight w:val="none"/>
              </w:rPr>
            </w:pPr>
            <w:r>
              <w:rPr>
                <w:rFonts w:hint="eastAsia" w:ascii="方正仿宋_GB2312" w:hAnsi="仿宋" w:eastAsia="方正仿宋_GB2312" w:cs="宋体"/>
                <w:color w:val="auto"/>
                <w:kern w:val="0"/>
                <w:sz w:val="18"/>
                <w:szCs w:val="18"/>
                <w:highlight w:val="none"/>
              </w:rPr>
              <w:t>人</w:t>
            </w:r>
          </w:p>
        </w:tc>
        <w:tc>
          <w:tcPr>
            <w:tcW w:w="1619" w:type="dxa"/>
            <w:tcBorders>
              <w:top w:val="nil"/>
              <w:left w:val="nil"/>
              <w:bottom w:val="single" w:color="auto" w:sz="4" w:space="0"/>
              <w:right w:val="single" w:color="auto" w:sz="4" w:space="0"/>
            </w:tcBorders>
            <w:vAlign w:val="center"/>
          </w:tcPr>
          <w:p w14:paraId="0A108BD0">
            <w:pPr>
              <w:keepNext w:val="0"/>
              <w:keepLines w:val="0"/>
              <w:widowControl/>
              <w:suppressLineNumbers w:val="0"/>
              <w:spacing w:before="0" w:beforeAutospacing="0" w:after="0" w:afterAutospacing="0"/>
              <w:ind w:left="0" w:right="0"/>
              <w:jc w:val="left"/>
              <w:rPr>
                <w:rFonts w:hint="default" w:ascii="方正仿宋_GB2312" w:hAnsi="仿宋" w:eastAsia="方正仿宋_GB2312" w:cs="宋体"/>
                <w:color w:val="auto"/>
                <w:kern w:val="0"/>
                <w:sz w:val="18"/>
                <w:szCs w:val="18"/>
                <w:highlight w:val="none"/>
              </w:rPr>
            </w:pPr>
            <w:r>
              <w:rPr>
                <w:rFonts w:hint="eastAsia" w:ascii="方正仿宋_GB2312" w:hAnsi="仿宋" w:eastAsia="方正仿宋_GB2312" w:cs="宋体"/>
                <w:color w:val="auto"/>
                <w:kern w:val="0"/>
                <w:sz w:val="18"/>
                <w:szCs w:val="18"/>
                <w:highlight w:val="none"/>
              </w:rPr>
              <w:t>20≤X＜200</w:t>
            </w:r>
          </w:p>
        </w:tc>
        <w:tc>
          <w:tcPr>
            <w:tcW w:w="1439" w:type="dxa"/>
            <w:tcBorders>
              <w:top w:val="nil"/>
              <w:left w:val="nil"/>
              <w:bottom w:val="single" w:color="auto" w:sz="4" w:space="0"/>
              <w:right w:val="single" w:color="auto" w:sz="4" w:space="0"/>
            </w:tcBorders>
            <w:vAlign w:val="center"/>
          </w:tcPr>
          <w:p w14:paraId="09FBEAE1">
            <w:pPr>
              <w:keepNext w:val="0"/>
              <w:keepLines w:val="0"/>
              <w:widowControl/>
              <w:suppressLineNumbers w:val="0"/>
              <w:spacing w:before="0" w:beforeAutospacing="0" w:after="0" w:afterAutospacing="0"/>
              <w:ind w:left="0" w:right="0"/>
              <w:jc w:val="left"/>
              <w:rPr>
                <w:rFonts w:hint="default" w:ascii="方正仿宋_GB2312" w:hAnsi="仿宋" w:eastAsia="方正仿宋_GB2312" w:cs="宋体"/>
                <w:color w:val="auto"/>
                <w:kern w:val="0"/>
                <w:sz w:val="18"/>
                <w:szCs w:val="18"/>
                <w:highlight w:val="none"/>
              </w:rPr>
            </w:pPr>
            <w:r>
              <w:rPr>
                <w:rFonts w:hint="eastAsia" w:ascii="方正仿宋_GB2312" w:hAnsi="仿宋" w:eastAsia="方正仿宋_GB2312" w:cs="宋体"/>
                <w:color w:val="auto"/>
                <w:kern w:val="0"/>
                <w:sz w:val="18"/>
                <w:szCs w:val="18"/>
                <w:highlight w:val="none"/>
              </w:rPr>
              <w:t>5≤X＜20</w:t>
            </w:r>
          </w:p>
        </w:tc>
        <w:tc>
          <w:tcPr>
            <w:tcW w:w="2022" w:type="dxa"/>
            <w:tcBorders>
              <w:top w:val="nil"/>
              <w:left w:val="nil"/>
              <w:bottom w:val="single" w:color="auto" w:sz="4" w:space="0"/>
              <w:right w:val="single" w:color="auto" w:sz="4" w:space="0"/>
            </w:tcBorders>
            <w:vAlign w:val="center"/>
          </w:tcPr>
          <w:p w14:paraId="2C59C364">
            <w:pPr>
              <w:keepNext w:val="0"/>
              <w:keepLines w:val="0"/>
              <w:widowControl/>
              <w:suppressLineNumbers w:val="0"/>
              <w:spacing w:before="0" w:beforeAutospacing="0" w:after="0" w:afterAutospacing="0"/>
              <w:ind w:left="0" w:right="0"/>
              <w:jc w:val="left"/>
              <w:rPr>
                <w:rFonts w:hint="default" w:ascii="方正仿宋_GB2312" w:hAnsi="仿宋" w:eastAsia="方正仿宋_GB2312" w:cs="宋体"/>
                <w:color w:val="auto"/>
                <w:kern w:val="0"/>
                <w:sz w:val="18"/>
                <w:szCs w:val="18"/>
                <w:highlight w:val="none"/>
              </w:rPr>
            </w:pPr>
            <w:r>
              <w:rPr>
                <w:rFonts w:hint="eastAsia" w:ascii="方正仿宋_GB2312" w:hAnsi="仿宋" w:eastAsia="方正仿宋_GB2312" w:cs="宋体"/>
                <w:color w:val="auto"/>
                <w:kern w:val="0"/>
                <w:sz w:val="18"/>
                <w:szCs w:val="18"/>
                <w:highlight w:val="none"/>
              </w:rPr>
              <w:t>X＜5</w:t>
            </w:r>
          </w:p>
        </w:tc>
      </w:tr>
      <w:tr w14:paraId="01FEDEB2">
        <w:tblPrEx>
          <w:tblCellMar>
            <w:top w:w="0" w:type="dxa"/>
            <w:left w:w="108" w:type="dxa"/>
            <w:bottom w:w="0" w:type="dxa"/>
            <w:right w:w="108" w:type="dxa"/>
          </w:tblCellMar>
        </w:tblPrEx>
        <w:trPr>
          <w:trHeight w:val="225" w:hRule="atLeast"/>
        </w:trPr>
        <w:tc>
          <w:tcPr>
            <w:tcW w:w="1701" w:type="dxa"/>
            <w:vMerge w:val="continue"/>
            <w:tcBorders>
              <w:top w:val="nil"/>
              <w:left w:val="single" w:color="auto" w:sz="4" w:space="0"/>
              <w:bottom w:val="single" w:color="auto" w:sz="4" w:space="0"/>
              <w:right w:val="single" w:color="auto" w:sz="4" w:space="0"/>
            </w:tcBorders>
            <w:vAlign w:val="center"/>
          </w:tcPr>
          <w:p w14:paraId="224C85D9">
            <w:pPr>
              <w:keepNext w:val="0"/>
              <w:keepLines w:val="0"/>
              <w:widowControl/>
              <w:suppressLineNumbers w:val="0"/>
              <w:spacing w:before="0" w:beforeAutospacing="0" w:after="0" w:afterAutospacing="0"/>
              <w:ind w:left="0" w:right="0"/>
              <w:jc w:val="left"/>
              <w:rPr>
                <w:rFonts w:hint="default" w:ascii="方正仿宋_GB2312" w:hAnsi="仿宋" w:eastAsia="方正仿宋_GB2312" w:cs="宋体"/>
                <w:b/>
                <w:bCs/>
                <w:color w:val="auto"/>
                <w:kern w:val="0"/>
                <w:sz w:val="18"/>
                <w:szCs w:val="18"/>
                <w:highlight w:val="none"/>
              </w:rPr>
            </w:pPr>
          </w:p>
        </w:tc>
        <w:tc>
          <w:tcPr>
            <w:tcW w:w="1383" w:type="dxa"/>
            <w:tcBorders>
              <w:top w:val="nil"/>
              <w:left w:val="nil"/>
              <w:bottom w:val="single" w:color="auto" w:sz="4" w:space="0"/>
              <w:right w:val="single" w:color="auto" w:sz="4" w:space="0"/>
            </w:tcBorders>
            <w:vAlign w:val="center"/>
          </w:tcPr>
          <w:p w14:paraId="24AA27A6">
            <w:pPr>
              <w:keepNext w:val="0"/>
              <w:keepLines w:val="0"/>
              <w:widowControl/>
              <w:suppressLineNumbers w:val="0"/>
              <w:spacing w:before="0" w:beforeAutospacing="0" w:after="0" w:afterAutospacing="0"/>
              <w:ind w:left="0" w:right="0"/>
              <w:jc w:val="left"/>
              <w:rPr>
                <w:rFonts w:hint="default" w:ascii="方正仿宋_GB2312" w:hAnsi="仿宋" w:eastAsia="方正仿宋_GB2312" w:cs="宋体"/>
                <w:color w:val="auto"/>
                <w:kern w:val="0"/>
                <w:sz w:val="18"/>
                <w:szCs w:val="18"/>
                <w:highlight w:val="none"/>
              </w:rPr>
            </w:pPr>
            <w:r>
              <w:rPr>
                <w:rFonts w:hint="eastAsia" w:ascii="方正仿宋_GB2312" w:hAnsi="仿宋" w:eastAsia="方正仿宋_GB2312" w:cs="宋体"/>
                <w:color w:val="auto"/>
                <w:kern w:val="0"/>
                <w:sz w:val="18"/>
                <w:szCs w:val="18"/>
                <w:highlight w:val="none"/>
              </w:rPr>
              <w:t>营业收入（Y）</w:t>
            </w:r>
          </w:p>
        </w:tc>
        <w:tc>
          <w:tcPr>
            <w:tcW w:w="913" w:type="dxa"/>
            <w:tcBorders>
              <w:top w:val="nil"/>
              <w:left w:val="nil"/>
              <w:bottom w:val="single" w:color="auto" w:sz="4" w:space="0"/>
              <w:right w:val="single" w:color="auto" w:sz="4" w:space="0"/>
            </w:tcBorders>
            <w:vAlign w:val="center"/>
          </w:tcPr>
          <w:p w14:paraId="3793851A">
            <w:pPr>
              <w:keepNext w:val="0"/>
              <w:keepLines w:val="0"/>
              <w:widowControl/>
              <w:suppressLineNumbers w:val="0"/>
              <w:spacing w:before="0" w:beforeAutospacing="0" w:after="0" w:afterAutospacing="0"/>
              <w:ind w:left="0" w:right="0"/>
              <w:jc w:val="left"/>
              <w:rPr>
                <w:rFonts w:hint="default" w:ascii="方正仿宋_GB2312" w:hAnsi="仿宋" w:eastAsia="方正仿宋_GB2312" w:cs="宋体"/>
                <w:color w:val="auto"/>
                <w:kern w:val="0"/>
                <w:sz w:val="18"/>
                <w:szCs w:val="18"/>
                <w:highlight w:val="none"/>
              </w:rPr>
            </w:pPr>
            <w:r>
              <w:rPr>
                <w:rFonts w:hint="eastAsia" w:ascii="方正仿宋_GB2312" w:hAnsi="仿宋" w:eastAsia="方正仿宋_GB2312" w:cs="宋体"/>
                <w:color w:val="auto"/>
                <w:kern w:val="0"/>
                <w:sz w:val="18"/>
                <w:szCs w:val="18"/>
                <w:highlight w:val="none"/>
              </w:rPr>
              <w:t>万元</w:t>
            </w:r>
          </w:p>
        </w:tc>
        <w:tc>
          <w:tcPr>
            <w:tcW w:w="1619" w:type="dxa"/>
            <w:tcBorders>
              <w:top w:val="nil"/>
              <w:left w:val="nil"/>
              <w:bottom w:val="single" w:color="auto" w:sz="4" w:space="0"/>
              <w:right w:val="single" w:color="auto" w:sz="4" w:space="0"/>
            </w:tcBorders>
            <w:vAlign w:val="center"/>
          </w:tcPr>
          <w:p w14:paraId="5CFCDC0F">
            <w:pPr>
              <w:keepNext w:val="0"/>
              <w:keepLines w:val="0"/>
              <w:widowControl/>
              <w:suppressLineNumbers w:val="0"/>
              <w:spacing w:before="0" w:beforeAutospacing="0" w:after="0" w:afterAutospacing="0"/>
              <w:ind w:left="0" w:right="0"/>
              <w:jc w:val="left"/>
              <w:rPr>
                <w:rFonts w:hint="default" w:ascii="方正仿宋_GB2312" w:hAnsi="仿宋" w:eastAsia="方正仿宋_GB2312" w:cs="宋体"/>
                <w:color w:val="auto"/>
                <w:kern w:val="0"/>
                <w:sz w:val="18"/>
                <w:szCs w:val="18"/>
                <w:highlight w:val="none"/>
              </w:rPr>
            </w:pPr>
            <w:r>
              <w:rPr>
                <w:rFonts w:hint="eastAsia" w:ascii="方正仿宋_GB2312" w:hAnsi="仿宋" w:eastAsia="方正仿宋_GB2312" w:cs="宋体"/>
                <w:color w:val="auto"/>
                <w:kern w:val="0"/>
                <w:sz w:val="18"/>
                <w:szCs w:val="18"/>
                <w:highlight w:val="none"/>
              </w:rPr>
              <w:t>5000≤Y＜40000</w:t>
            </w:r>
          </w:p>
        </w:tc>
        <w:tc>
          <w:tcPr>
            <w:tcW w:w="1439" w:type="dxa"/>
            <w:tcBorders>
              <w:top w:val="nil"/>
              <w:left w:val="nil"/>
              <w:bottom w:val="single" w:color="auto" w:sz="4" w:space="0"/>
              <w:right w:val="single" w:color="auto" w:sz="4" w:space="0"/>
            </w:tcBorders>
            <w:vAlign w:val="center"/>
          </w:tcPr>
          <w:p w14:paraId="5B451E8A">
            <w:pPr>
              <w:keepNext w:val="0"/>
              <w:keepLines w:val="0"/>
              <w:widowControl/>
              <w:suppressLineNumbers w:val="0"/>
              <w:spacing w:before="0" w:beforeAutospacing="0" w:after="0" w:afterAutospacing="0"/>
              <w:ind w:left="0" w:right="0"/>
              <w:jc w:val="left"/>
              <w:rPr>
                <w:rFonts w:hint="default" w:ascii="方正仿宋_GB2312" w:hAnsi="仿宋" w:eastAsia="方正仿宋_GB2312" w:cs="宋体"/>
                <w:color w:val="auto"/>
                <w:kern w:val="0"/>
                <w:sz w:val="18"/>
                <w:szCs w:val="18"/>
                <w:highlight w:val="none"/>
              </w:rPr>
            </w:pPr>
            <w:r>
              <w:rPr>
                <w:rFonts w:hint="eastAsia" w:ascii="方正仿宋_GB2312" w:hAnsi="仿宋" w:eastAsia="方正仿宋_GB2312" w:cs="宋体"/>
                <w:color w:val="auto"/>
                <w:kern w:val="0"/>
                <w:sz w:val="18"/>
                <w:szCs w:val="18"/>
                <w:highlight w:val="none"/>
              </w:rPr>
              <w:t>1000≤Y＜5000</w:t>
            </w:r>
          </w:p>
        </w:tc>
        <w:tc>
          <w:tcPr>
            <w:tcW w:w="2022" w:type="dxa"/>
            <w:tcBorders>
              <w:top w:val="nil"/>
              <w:left w:val="nil"/>
              <w:bottom w:val="single" w:color="auto" w:sz="4" w:space="0"/>
              <w:right w:val="single" w:color="auto" w:sz="4" w:space="0"/>
            </w:tcBorders>
            <w:vAlign w:val="center"/>
          </w:tcPr>
          <w:p w14:paraId="72386C8A">
            <w:pPr>
              <w:keepNext w:val="0"/>
              <w:keepLines w:val="0"/>
              <w:widowControl/>
              <w:suppressLineNumbers w:val="0"/>
              <w:spacing w:before="0" w:beforeAutospacing="0" w:after="0" w:afterAutospacing="0"/>
              <w:ind w:left="0" w:right="0"/>
              <w:jc w:val="left"/>
              <w:rPr>
                <w:rFonts w:hint="default" w:ascii="方正仿宋_GB2312" w:hAnsi="仿宋" w:eastAsia="方正仿宋_GB2312" w:cs="宋体"/>
                <w:color w:val="auto"/>
                <w:kern w:val="0"/>
                <w:sz w:val="18"/>
                <w:szCs w:val="18"/>
                <w:highlight w:val="none"/>
              </w:rPr>
            </w:pPr>
            <w:r>
              <w:rPr>
                <w:rFonts w:hint="eastAsia" w:ascii="方正仿宋_GB2312" w:hAnsi="仿宋" w:eastAsia="方正仿宋_GB2312" w:cs="宋体"/>
                <w:color w:val="auto"/>
                <w:kern w:val="0"/>
                <w:sz w:val="18"/>
                <w:szCs w:val="18"/>
                <w:highlight w:val="none"/>
              </w:rPr>
              <w:t>Y＜1000</w:t>
            </w:r>
          </w:p>
        </w:tc>
      </w:tr>
      <w:tr w14:paraId="52B6B893">
        <w:tblPrEx>
          <w:tblCellMar>
            <w:top w:w="0" w:type="dxa"/>
            <w:left w:w="108" w:type="dxa"/>
            <w:bottom w:w="0" w:type="dxa"/>
            <w:right w:w="108" w:type="dxa"/>
          </w:tblCellMar>
        </w:tblPrEx>
        <w:trPr>
          <w:trHeight w:val="225" w:hRule="atLeast"/>
        </w:trPr>
        <w:tc>
          <w:tcPr>
            <w:tcW w:w="1701" w:type="dxa"/>
            <w:vMerge w:val="restart"/>
            <w:tcBorders>
              <w:top w:val="nil"/>
              <w:left w:val="single" w:color="auto" w:sz="4" w:space="0"/>
              <w:bottom w:val="single" w:color="auto" w:sz="4" w:space="0"/>
              <w:right w:val="single" w:color="auto" w:sz="4" w:space="0"/>
            </w:tcBorders>
            <w:vAlign w:val="bottom"/>
          </w:tcPr>
          <w:p w14:paraId="5DDC9A5E">
            <w:pPr>
              <w:keepNext w:val="0"/>
              <w:keepLines w:val="0"/>
              <w:widowControl/>
              <w:suppressLineNumbers w:val="0"/>
              <w:spacing w:before="0" w:beforeAutospacing="0" w:after="0" w:afterAutospacing="0"/>
              <w:ind w:left="0" w:right="0"/>
              <w:jc w:val="center"/>
              <w:rPr>
                <w:rFonts w:hint="default" w:ascii="方正仿宋_GB2312" w:hAnsi="仿宋" w:eastAsia="方正仿宋_GB2312" w:cs="宋体"/>
                <w:b/>
                <w:bCs/>
                <w:color w:val="auto"/>
                <w:kern w:val="0"/>
                <w:sz w:val="18"/>
                <w:szCs w:val="18"/>
                <w:highlight w:val="none"/>
              </w:rPr>
            </w:pPr>
            <w:r>
              <w:rPr>
                <w:rFonts w:hint="eastAsia" w:ascii="方正仿宋_GB2312" w:hAnsi="仿宋" w:eastAsia="方正仿宋_GB2312" w:cs="宋体"/>
                <w:b/>
                <w:bCs/>
                <w:color w:val="auto"/>
                <w:kern w:val="0"/>
                <w:sz w:val="18"/>
                <w:szCs w:val="18"/>
                <w:highlight w:val="none"/>
              </w:rPr>
              <w:t>零售业</w:t>
            </w:r>
          </w:p>
        </w:tc>
        <w:tc>
          <w:tcPr>
            <w:tcW w:w="1383" w:type="dxa"/>
            <w:tcBorders>
              <w:top w:val="nil"/>
              <w:left w:val="nil"/>
              <w:bottom w:val="single" w:color="auto" w:sz="4" w:space="0"/>
              <w:right w:val="single" w:color="auto" w:sz="4" w:space="0"/>
            </w:tcBorders>
            <w:vAlign w:val="center"/>
          </w:tcPr>
          <w:p w14:paraId="2F360595">
            <w:pPr>
              <w:keepNext w:val="0"/>
              <w:keepLines w:val="0"/>
              <w:widowControl/>
              <w:suppressLineNumbers w:val="0"/>
              <w:spacing w:before="0" w:beforeAutospacing="0" w:after="0" w:afterAutospacing="0"/>
              <w:ind w:left="0" w:right="0"/>
              <w:jc w:val="left"/>
              <w:rPr>
                <w:rFonts w:hint="default" w:ascii="方正仿宋_GB2312" w:hAnsi="仿宋" w:eastAsia="方正仿宋_GB2312" w:cs="宋体"/>
                <w:color w:val="auto"/>
                <w:kern w:val="0"/>
                <w:sz w:val="18"/>
                <w:szCs w:val="18"/>
                <w:highlight w:val="none"/>
              </w:rPr>
            </w:pPr>
            <w:r>
              <w:rPr>
                <w:rFonts w:hint="eastAsia" w:ascii="方正仿宋_GB2312" w:hAnsi="仿宋" w:eastAsia="方正仿宋_GB2312" w:cs="宋体"/>
                <w:color w:val="auto"/>
                <w:kern w:val="0"/>
                <w:sz w:val="18"/>
                <w:szCs w:val="18"/>
                <w:highlight w:val="none"/>
              </w:rPr>
              <w:t>从业人员（X）</w:t>
            </w:r>
          </w:p>
        </w:tc>
        <w:tc>
          <w:tcPr>
            <w:tcW w:w="913" w:type="dxa"/>
            <w:tcBorders>
              <w:top w:val="nil"/>
              <w:left w:val="nil"/>
              <w:bottom w:val="single" w:color="auto" w:sz="4" w:space="0"/>
              <w:right w:val="single" w:color="auto" w:sz="4" w:space="0"/>
            </w:tcBorders>
            <w:vAlign w:val="center"/>
          </w:tcPr>
          <w:p w14:paraId="2995DD16">
            <w:pPr>
              <w:keepNext w:val="0"/>
              <w:keepLines w:val="0"/>
              <w:widowControl/>
              <w:suppressLineNumbers w:val="0"/>
              <w:spacing w:before="0" w:beforeAutospacing="0" w:after="0" w:afterAutospacing="0"/>
              <w:ind w:left="0" w:right="0"/>
              <w:jc w:val="left"/>
              <w:rPr>
                <w:rFonts w:hint="default" w:ascii="方正仿宋_GB2312" w:hAnsi="仿宋" w:eastAsia="方正仿宋_GB2312" w:cs="宋体"/>
                <w:color w:val="auto"/>
                <w:kern w:val="0"/>
                <w:sz w:val="18"/>
                <w:szCs w:val="18"/>
                <w:highlight w:val="none"/>
              </w:rPr>
            </w:pPr>
            <w:r>
              <w:rPr>
                <w:rFonts w:hint="eastAsia" w:ascii="方正仿宋_GB2312" w:hAnsi="仿宋" w:eastAsia="方正仿宋_GB2312" w:cs="宋体"/>
                <w:color w:val="auto"/>
                <w:kern w:val="0"/>
                <w:sz w:val="18"/>
                <w:szCs w:val="18"/>
                <w:highlight w:val="none"/>
              </w:rPr>
              <w:t>人</w:t>
            </w:r>
          </w:p>
        </w:tc>
        <w:tc>
          <w:tcPr>
            <w:tcW w:w="1619" w:type="dxa"/>
            <w:tcBorders>
              <w:top w:val="nil"/>
              <w:left w:val="nil"/>
              <w:bottom w:val="single" w:color="auto" w:sz="4" w:space="0"/>
              <w:right w:val="single" w:color="auto" w:sz="4" w:space="0"/>
            </w:tcBorders>
            <w:vAlign w:val="center"/>
          </w:tcPr>
          <w:p w14:paraId="190F4BF8">
            <w:pPr>
              <w:keepNext w:val="0"/>
              <w:keepLines w:val="0"/>
              <w:widowControl/>
              <w:suppressLineNumbers w:val="0"/>
              <w:spacing w:before="0" w:beforeAutospacing="0" w:after="0" w:afterAutospacing="0"/>
              <w:ind w:left="0" w:right="0"/>
              <w:jc w:val="left"/>
              <w:rPr>
                <w:rFonts w:hint="default" w:ascii="方正仿宋_GB2312" w:hAnsi="仿宋" w:eastAsia="方正仿宋_GB2312" w:cs="宋体"/>
                <w:color w:val="auto"/>
                <w:kern w:val="0"/>
                <w:sz w:val="18"/>
                <w:szCs w:val="18"/>
                <w:highlight w:val="none"/>
              </w:rPr>
            </w:pPr>
            <w:r>
              <w:rPr>
                <w:rFonts w:hint="eastAsia" w:ascii="方正仿宋_GB2312" w:hAnsi="仿宋" w:eastAsia="方正仿宋_GB2312" w:cs="宋体"/>
                <w:color w:val="auto"/>
                <w:kern w:val="0"/>
                <w:sz w:val="18"/>
                <w:szCs w:val="18"/>
                <w:highlight w:val="none"/>
              </w:rPr>
              <w:t>50≤X＜300</w:t>
            </w:r>
          </w:p>
        </w:tc>
        <w:tc>
          <w:tcPr>
            <w:tcW w:w="1439" w:type="dxa"/>
            <w:tcBorders>
              <w:top w:val="nil"/>
              <w:left w:val="nil"/>
              <w:bottom w:val="single" w:color="auto" w:sz="4" w:space="0"/>
              <w:right w:val="single" w:color="auto" w:sz="4" w:space="0"/>
            </w:tcBorders>
            <w:vAlign w:val="center"/>
          </w:tcPr>
          <w:p w14:paraId="5E187D94">
            <w:pPr>
              <w:keepNext w:val="0"/>
              <w:keepLines w:val="0"/>
              <w:widowControl/>
              <w:suppressLineNumbers w:val="0"/>
              <w:spacing w:before="0" w:beforeAutospacing="0" w:after="0" w:afterAutospacing="0"/>
              <w:ind w:left="0" w:right="0"/>
              <w:jc w:val="left"/>
              <w:rPr>
                <w:rFonts w:hint="default" w:ascii="方正仿宋_GB2312" w:hAnsi="仿宋" w:eastAsia="方正仿宋_GB2312" w:cs="宋体"/>
                <w:color w:val="auto"/>
                <w:kern w:val="0"/>
                <w:sz w:val="18"/>
                <w:szCs w:val="18"/>
                <w:highlight w:val="none"/>
              </w:rPr>
            </w:pPr>
            <w:r>
              <w:rPr>
                <w:rFonts w:hint="eastAsia" w:ascii="方正仿宋_GB2312" w:hAnsi="仿宋" w:eastAsia="方正仿宋_GB2312" w:cs="宋体"/>
                <w:color w:val="auto"/>
                <w:kern w:val="0"/>
                <w:sz w:val="18"/>
                <w:szCs w:val="18"/>
                <w:highlight w:val="none"/>
              </w:rPr>
              <w:t>10≤X＜50</w:t>
            </w:r>
          </w:p>
        </w:tc>
        <w:tc>
          <w:tcPr>
            <w:tcW w:w="2022" w:type="dxa"/>
            <w:tcBorders>
              <w:top w:val="nil"/>
              <w:left w:val="nil"/>
              <w:bottom w:val="single" w:color="auto" w:sz="4" w:space="0"/>
              <w:right w:val="single" w:color="auto" w:sz="4" w:space="0"/>
            </w:tcBorders>
            <w:vAlign w:val="center"/>
          </w:tcPr>
          <w:p w14:paraId="61553A67">
            <w:pPr>
              <w:keepNext w:val="0"/>
              <w:keepLines w:val="0"/>
              <w:widowControl/>
              <w:suppressLineNumbers w:val="0"/>
              <w:spacing w:before="0" w:beforeAutospacing="0" w:after="0" w:afterAutospacing="0"/>
              <w:ind w:left="0" w:right="0"/>
              <w:jc w:val="left"/>
              <w:rPr>
                <w:rFonts w:hint="default" w:ascii="方正仿宋_GB2312" w:hAnsi="仿宋" w:eastAsia="方正仿宋_GB2312" w:cs="宋体"/>
                <w:color w:val="auto"/>
                <w:kern w:val="0"/>
                <w:sz w:val="18"/>
                <w:szCs w:val="18"/>
                <w:highlight w:val="none"/>
              </w:rPr>
            </w:pPr>
            <w:r>
              <w:rPr>
                <w:rFonts w:hint="eastAsia" w:ascii="方正仿宋_GB2312" w:hAnsi="仿宋" w:eastAsia="方正仿宋_GB2312" w:cs="宋体"/>
                <w:color w:val="auto"/>
                <w:kern w:val="0"/>
                <w:sz w:val="18"/>
                <w:szCs w:val="18"/>
                <w:highlight w:val="none"/>
              </w:rPr>
              <w:t>X＜10</w:t>
            </w:r>
          </w:p>
        </w:tc>
      </w:tr>
      <w:tr w14:paraId="0E6C109F">
        <w:tblPrEx>
          <w:tblCellMar>
            <w:top w:w="0" w:type="dxa"/>
            <w:left w:w="108" w:type="dxa"/>
            <w:bottom w:w="0" w:type="dxa"/>
            <w:right w:w="108" w:type="dxa"/>
          </w:tblCellMar>
        </w:tblPrEx>
        <w:trPr>
          <w:trHeight w:val="225" w:hRule="atLeast"/>
        </w:trPr>
        <w:tc>
          <w:tcPr>
            <w:tcW w:w="1701" w:type="dxa"/>
            <w:vMerge w:val="continue"/>
            <w:tcBorders>
              <w:top w:val="nil"/>
              <w:left w:val="single" w:color="auto" w:sz="4" w:space="0"/>
              <w:bottom w:val="single" w:color="auto" w:sz="4" w:space="0"/>
              <w:right w:val="single" w:color="auto" w:sz="4" w:space="0"/>
            </w:tcBorders>
            <w:vAlign w:val="center"/>
          </w:tcPr>
          <w:p w14:paraId="422E16FF">
            <w:pPr>
              <w:keepNext w:val="0"/>
              <w:keepLines w:val="0"/>
              <w:widowControl/>
              <w:suppressLineNumbers w:val="0"/>
              <w:spacing w:before="0" w:beforeAutospacing="0" w:after="0" w:afterAutospacing="0"/>
              <w:ind w:left="0" w:right="0"/>
              <w:jc w:val="left"/>
              <w:rPr>
                <w:rFonts w:hint="default" w:ascii="方正仿宋_GB2312" w:hAnsi="仿宋" w:eastAsia="方正仿宋_GB2312" w:cs="宋体"/>
                <w:b/>
                <w:bCs/>
                <w:color w:val="auto"/>
                <w:kern w:val="0"/>
                <w:sz w:val="18"/>
                <w:szCs w:val="18"/>
                <w:highlight w:val="none"/>
              </w:rPr>
            </w:pPr>
          </w:p>
        </w:tc>
        <w:tc>
          <w:tcPr>
            <w:tcW w:w="1383" w:type="dxa"/>
            <w:tcBorders>
              <w:top w:val="nil"/>
              <w:left w:val="nil"/>
              <w:bottom w:val="single" w:color="auto" w:sz="4" w:space="0"/>
              <w:right w:val="single" w:color="auto" w:sz="4" w:space="0"/>
            </w:tcBorders>
            <w:vAlign w:val="center"/>
          </w:tcPr>
          <w:p w14:paraId="29D6F0DF">
            <w:pPr>
              <w:keepNext w:val="0"/>
              <w:keepLines w:val="0"/>
              <w:widowControl/>
              <w:suppressLineNumbers w:val="0"/>
              <w:spacing w:before="0" w:beforeAutospacing="0" w:after="0" w:afterAutospacing="0"/>
              <w:ind w:left="0" w:right="0"/>
              <w:jc w:val="left"/>
              <w:rPr>
                <w:rFonts w:hint="default" w:ascii="方正仿宋_GB2312" w:hAnsi="仿宋" w:eastAsia="方正仿宋_GB2312" w:cs="宋体"/>
                <w:color w:val="auto"/>
                <w:kern w:val="0"/>
                <w:sz w:val="18"/>
                <w:szCs w:val="18"/>
                <w:highlight w:val="none"/>
              </w:rPr>
            </w:pPr>
            <w:r>
              <w:rPr>
                <w:rFonts w:hint="eastAsia" w:ascii="方正仿宋_GB2312" w:hAnsi="仿宋" w:eastAsia="方正仿宋_GB2312" w:cs="宋体"/>
                <w:color w:val="auto"/>
                <w:kern w:val="0"/>
                <w:sz w:val="18"/>
                <w:szCs w:val="18"/>
                <w:highlight w:val="none"/>
              </w:rPr>
              <w:t>营业收入（Y）</w:t>
            </w:r>
          </w:p>
        </w:tc>
        <w:tc>
          <w:tcPr>
            <w:tcW w:w="913" w:type="dxa"/>
            <w:tcBorders>
              <w:top w:val="nil"/>
              <w:left w:val="nil"/>
              <w:bottom w:val="single" w:color="auto" w:sz="4" w:space="0"/>
              <w:right w:val="single" w:color="auto" w:sz="4" w:space="0"/>
            </w:tcBorders>
            <w:vAlign w:val="center"/>
          </w:tcPr>
          <w:p w14:paraId="7B2EE886">
            <w:pPr>
              <w:keepNext w:val="0"/>
              <w:keepLines w:val="0"/>
              <w:widowControl/>
              <w:suppressLineNumbers w:val="0"/>
              <w:spacing w:before="0" w:beforeAutospacing="0" w:after="0" w:afterAutospacing="0"/>
              <w:ind w:left="0" w:right="0"/>
              <w:jc w:val="left"/>
              <w:rPr>
                <w:rFonts w:hint="default" w:ascii="方正仿宋_GB2312" w:hAnsi="仿宋" w:eastAsia="方正仿宋_GB2312" w:cs="宋体"/>
                <w:color w:val="auto"/>
                <w:kern w:val="0"/>
                <w:sz w:val="18"/>
                <w:szCs w:val="18"/>
                <w:highlight w:val="none"/>
              </w:rPr>
            </w:pPr>
            <w:r>
              <w:rPr>
                <w:rFonts w:hint="eastAsia" w:ascii="方正仿宋_GB2312" w:hAnsi="仿宋" w:eastAsia="方正仿宋_GB2312" w:cs="宋体"/>
                <w:color w:val="auto"/>
                <w:kern w:val="0"/>
                <w:sz w:val="18"/>
                <w:szCs w:val="18"/>
                <w:highlight w:val="none"/>
              </w:rPr>
              <w:t>万元</w:t>
            </w:r>
          </w:p>
        </w:tc>
        <w:tc>
          <w:tcPr>
            <w:tcW w:w="1619" w:type="dxa"/>
            <w:tcBorders>
              <w:top w:val="nil"/>
              <w:left w:val="nil"/>
              <w:bottom w:val="single" w:color="auto" w:sz="4" w:space="0"/>
              <w:right w:val="single" w:color="auto" w:sz="4" w:space="0"/>
            </w:tcBorders>
            <w:vAlign w:val="center"/>
          </w:tcPr>
          <w:p w14:paraId="0D1AC93D">
            <w:pPr>
              <w:keepNext w:val="0"/>
              <w:keepLines w:val="0"/>
              <w:widowControl/>
              <w:suppressLineNumbers w:val="0"/>
              <w:spacing w:before="0" w:beforeAutospacing="0" w:after="0" w:afterAutospacing="0"/>
              <w:ind w:left="0" w:right="0"/>
              <w:jc w:val="left"/>
              <w:rPr>
                <w:rFonts w:hint="default" w:ascii="方正仿宋_GB2312" w:hAnsi="仿宋" w:eastAsia="方正仿宋_GB2312" w:cs="宋体"/>
                <w:color w:val="auto"/>
                <w:kern w:val="0"/>
                <w:sz w:val="18"/>
                <w:szCs w:val="18"/>
                <w:highlight w:val="none"/>
              </w:rPr>
            </w:pPr>
            <w:r>
              <w:rPr>
                <w:rFonts w:hint="eastAsia" w:ascii="方正仿宋_GB2312" w:hAnsi="仿宋" w:eastAsia="方正仿宋_GB2312" w:cs="宋体"/>
                <w:color w:val="auto"/>
                <w:kern w:val="0"/>
                <w:sz w:val="18"/>
                <w:szCs w:val="18"/>
                <w:highlight w:val="none"/>
              </w:rPr>
              <w:t>500≤Y＜20000</w:t>
            </w:r>
          </w:p>
        </w:tc>
        <w:tc>
          <w:tcPr>
            <w:tcW w:w="1439" w:type="dxa"/>
            <w:tcBorders>
              <w:top w:val="nil"/>
              <w:left w:val="nil"/>
              <w:bottom w:val="single" w:color="auto" w:sz="4" w:space="0"/>
              <w:right w:val="single" w:color="auto" w:sz="4" w:space="0"/>
            </w:tcBorders>
            <w:vAlign w:val="center"/>
          </w:tcPr>
          <w:p w14:paraId="286AD336">
            <w:pPr>
              <w:keepNext w:val="0"/>
              <w:keepLines w:val="0"/>
              <w:widowControl/>
              <w:suppressLineNumbers w:val="0"/>
              <w:spacing w:before="0" w:beforeAutospacing="0" w:after="0" w:afterAutospacing="0"/>
              <w:ind w:left="0" w:right="0"/>
              <w:jc w:val="left"/>
              <w:rPr>
                <w:rFonts w:hint="default" w:ascii="方正仿宋_GB2312" w:hAnsi="仿宋" w:eastAsia="方正仿宋_GB2312" w:cs="宋体"/>
                <w:color w:val="auto"/>
                <w:kern w:val="0"/>
                <w:sz w:val="18"/>
                <w:szCs w:val="18"/>
                <w:highlight w:val="none"/>
              </w:rPr>
            </w:pPr>
            <w:r>
              <w:rPr>
                <w:rFonts w:hint="eastAsia" w:ascii="方正仿宋_GB2312" w:hAnsi="仿宋" w:eastAsia="方正仿宋_GB2312" w:cs="宋体"/>
                <w:color w:val="auto"/>
                <w:kern w:val="0"/>
                <w:sz w:val="18"/>
                <w:szCs w:val="18"/>
                <w:highlight w:val="none"/>
              </w:rPr>
              <w:t>100≤Y＜500</w:t>
            </w:r>
          </w:p>
        </w:tc>
        <w:tc>
          <w:tcPr>
            <w:tcW w:w="2022" w:type="dxa"/>
            <w:tcBorders>
              <w:top w:val="nil"/>
              <w:left w:val="nil"/>
              <w:bottom w:val="single" w:color="auto" w:sz="4" w:space="0"/>
              <w:right w:val="single" w:color="auto" w:sz="4" w:space="0"/>
            </w:tcBorders>
            <w:vAlign w:val="center"/>
          </w:tcPr>
          <w:p w14:paraId="1FC68FEB">
            <w:pPr>
              <w:keepNext w:val="0"/>
              <w:keepLines w:val="0"/>
              <w:widowControl/>
              <w:suppressLineNumbers w:val="0"/>
              <w:spacing w:before="0" w:beforeAutospacing="0" w:after="0" w:afterAutospacing="0"/>
              <w:ind w:left="0" w:right="0"/>
              <w:jc w:val="left"/>
              <w:rPr>
                <w:rFonts w:hint="default" w:ascii="方正仿宋_GB2312" w:hAnsi="仿宋" w:eastAsia="方正仿宋_GB2312" w:cs="宋体"/>
                <w:color w:val="auto"/>
                <w:kern w:val="0"/>
                <w:sz w:val="18"/>
                <w:szCs w:val="18"/>
                <w:highlight w:val="none"/>
              </w:rPr>
            </w:pPr>
            <w:r>
              <w:rPr>
                <w:rFonts w:hint="eastAsia" w:ascii="方正仿宋_GB2312" w:hAnsi="仿宋" w:eastAsia="方正仿宋_GB2312" w:cs="宋体"/>
                <w:color w:val="auto"/>
                <w:kern w:val="0"/>
                <w:sz w:val="18"/>
                <w:szCs w:val="18"/>
                <w:highlight w:val="none"/>
              </w:rPr>
              <w:t>Y＜100</w:t>
            </w:r>
          </w:p>
        </w:tc>
      </w:tr>
      <w:tr w14:paraId="5AD0EAF1">
        <w:tblPrEx>
          <w:tblCellMar>
            <w:top w:w="0" w:type="dxa"/>
            <w:left w:w="108" w:type="dxa"/>
            <w:bottom w:w="0" w:type="dxa"/>
            <w:right w:w="108" w:type="dxa"/>
          </w:tblCellMar>
        </w:tblPrEx>
        <w:trPr>
          <w:trHeight w:val="225" w:hRule="atLeast"/>
        </w:trPr>
        <w:tc>
          <w:tcPr>
            <w:tcW w:w="1701" w:type="dxa"/>
            <w:vMerge w:val="restart"/>
            <w:tcBorders>
              <w:top w:val="nil"/>
              <w:left w:val="single" w:color="auto" w:sz="4" w:space="0"/>
              <w:bottom w:val="single" w:color="auto" w:sz="4" w:space="0"/>
              <w:right w:val="single" w:color="auto" w:sz="4" w:space="0"/>
            </w:tcBorders>
            <w:vAlign w:val="bottom"/>
          </w:tcPr>
          <w:p w14:paraId="4C935052">
            <w:pPr>
              <w:keepNext w:val="0"/>
              <w:keepLines w:val="0"/>
              <w:widowControl/>
              <w:suppressLineNumbers w:val="0"/>
              <w:spacing w:before="0" w:beforeAutospacing="0" w:after="0" w:afterAutospacing="0"/>
              <w:ind w:left="0" w:right="0"/>
              <w:jc w:val="center"/>
              <w:rPr>
                <w:rFonts w:hint="default" w:ascii="方正仿宋_GB2312" w:hAnsi="仿宋" w:eastAsia="方正仿宋_GB2312" w:cs="宋体"/>
                <w:b/>
                <w:bCs/>
                <w:color w:val="auto"/>
                <w:kern w:val="0"/>
                <w:sz w:val="18"/>
                <w:szCs w:val="18"/>
                <w:highlight w:val="none"/>
              </w:rPr>
            </w:pPr>
            <w:r>
              <w:rPr>
                <w:rFonts w:hint="eastAsia" w:ascii="方正仿宋_GB2312" w:hAnsi="仿宋" w:eastAsia="方正仿宋_GB2312" w:cs="宋体"/>
                <w:b/>
                <w:bCs/>
                <w:color w:val="auto"/>
                <w:kern w:val="0"/>
                <w:sz w:val="18"/>
                <w:szCs w:val="18"/>
                <w:highlight w:val="none"/>
              </w:rPr>
              <w:t>交通运输业</w:t>
            </w:r>
          </w:p>
        </w:tc>
        <w:tc>
          <w:tcPr>
            <w:tcW w:w="1383" w:type="dxa"/>
            <w:tcBorders>
              <w:top w:val="nil"/>
              <w:left w:val="nil"/>
              <w:bottom w:val="single" w:color="auto" w:sz="4" w:space="0"/>
              <w:right w:val="single" w:color="auto" w:sz="4" w:space="0"/>
            </w:tcBorders>
            <w:vAlign w:val="center"/>
          </w:tcPr>
          <w:p w14:paraId="447B2207">
            <w:pPr>
              <w:keepNext w:val="0"/>
              <w:keepLines w:val="0"/>
              <w:widowControl/>
              <w:suppressLineNumbers w:val="0"/>
              <w:spacing w:before="0" w:beforeAutospacing="0" w:after="0" w:afterAutospacing="0"/>
              <w:ind w:left="0" w:right="0"/>
              <w:jc w:val="left"/>
              <w:rPr>
                <w:rFonts w:hint="default" w:ascii="方正仿宋_GB2312" w:hAnsi="仿宋" w:eastAsia="方正仿宋_GB2312" w:cs="宋体"/>
                <w:color w:val="auto"/>
                <w:kern w:val="0"/>
                <w:sz w:val="18"/>
                <w:szCs w:val="18"/>
                <w:highlight w:val="none"/>
              </w:rPr>
            </w:pPr>
            <w:r>
              <w:rPr>
                <w:rFonts w:hint="eastAsia" w:ascii="方正仿宋_GB2312" w:hAnsi="仿宋" w:eastAsia="方正仿宋_GB2312" w:cs="宋体"/>
                <w:color w:val="auto"/>
                <w:kern w:val="0"/>
                <w:sz w:val="18"/>
                <w:szCs w:val="18"/>
                <w:highlight w:val="none"/>
              </w:rPr>
              <w:t>从业人员（X）</w:t>
            </w:r>
          </w:p>
        </w:tc>
        <w:tc>
          <w:tcPr>
            <w:tcW w:w="913" w:type="dxa"/>
            <w:tcBorders>
              <w:top w:val="nil"/>
              <w:left w:val="nil"/>
              <w:bottom w:val="single" w:color="auto" w:sz="4" w:space="0"/>
              <w:right w:val="single" w:color="auto" w:sz="4" w:space="0"/>
            </w:tcBorders>
            <w:vAlign w:val="center"/>
          </w:tcPr>
          <w:p w14:paraId="48AEAFD2">
            <w:pPr>
              <w:keepNext w:val="0"/>
              <w:keepLines w:val="0"/>
              <w:widowControl/>
              <w:suppressLineNumbers w:val="0"/>
              <w:spacing w:before="0" w:beforeAutospacing="0" w:after="0" w:afterAutospacing="0"/>
              <w:ind w:left="0" w:right="0"/>
              <w:jc w:val="left"/>
              <w:rPr>
                <w:rFonts w:hint="default" w:ascii="方正仿宋_GB2312" w:hAnsi="仿宋" w:eastAsia="方正仿宋_GB2312" w:cs="宋体"/>
                <w:color w:val="auto"/>
                <w:kern w:val="0"/>
                <w:sz w:val="18"/>
                <w:szCs w:val="18"/>
                <w:highlight w:val="none"/>
              </w:rPr>
            </w:pPr>
            <w:r>
              <w:rPr>
                <w:rFonts w:hint="eastAsia" w:ascii="方正仿宋_GB2312" w:hAnsi="仿宋" w:eastAsia="方正仿宋_GB2312" w:cs="宋体"/>
                <w:color w:val="auto"/>
                <w:kern w:val="0"/>
                <w:sz w:val="18"/>
                <w:szCs w:val="18"/>
                <w:highlight w:val="none"/>
              </w:rPr>
              <w:t>人</w:t>
            </w:r>
          </w:p>
        </w:tc>
        <w:tc>
          <w:tcPr>
            <w:tcW w:w="1619" w:type="dxa"/>
            <w:tcBorders>
              <w:top w:val="nil"/>
              <w:left w:val="nil"/>
              <w:bottom w:val="single" w:color="auto" w:sz="4" w:space="0"/>
              <w:right w:val="single" w:color="auto" w:sz="4" w:space="0"/>
            </w:tcBorders>
            <w:vAlign w:val="center"/>
          </w:tcPr>
          <w:p w14:paraId="3770D6B8">
            <w:pPr>
              <w:keepNext w:val="0"/>
              <w:keepLines w:val="0"/>
              <w:widowControl/>
              <w:suppressLineNumbers w:val="0"/>
              <w:spacing w:before="0" w:beforeAutospacing="0" w:after="0" w:afterAutospacing="0"/>
              <w:ind w:left="0" w:right="0"/>
              <w:jc w:val="left"/>
              <w:rPr>
                <w:rFonts w:hint="default" w:ascii="方正仿宋_GB2312" w:hAnsi="仿宋" w:eastAsia="方正仿宋_GB2312" w:cs="宋体"/>
                <w:color w:val="auto"/>
                <w:kern w:val="0"/>
                <w:sz w:val="18"/>
                <w:szCs w:val="18"/>
                <w:highlight w:val="none"/>
              </w:rPr>
            </w:pPr>
            <w:r>
              <w:rPr>
                <w:rFonts w:hint="eastAsia" w:ascii="方正仿宋_GB2312" w:hAnsi="仿宋" w:eastAsia="方正仿宋_GB2312" w:cs="宋体"/>
                <w:color w:val="auto"/>
                <w:kern w:val="0"/>
                <w:sz w:val="18"/>
                <w:szCs w:val="18"/>
                <w:highlight w:val="none"/>
              </w:rPr>
              <w:t>300≤X＜1000</w:t>
            </w:r>
          </w:p>
        </w:tc>
        <w:tc>
          <w:tcPr>
            <w:tcW w:w="1439" w:type="dxa"/>
            <w:tcBorders>
              <w:top w:val="nil"/>
              <w:left w:val="nil"/>
              <w:bottom w:val="single" w:color="auto" w:sz="4" w:space="0"/>
              <w:right w:val="single" w:color="auto" w:sz="4" w:space="0"/>
            </w:tcBorders>
            <w:vAlign w:val="center"/>
          </w:tcPr>
          <w:p w14:paraId="45DE140D">
            <w:pPr>
              <w:keepNext w:val="0"/>
              <w:keepLines w:val="0"/>
              <w:widowControl/>
              <w:suppressLineNumbers w:val="0"/>
              <w:spacing w:before="0" w:beforeAutospacing="0" w:after="0" w:afterAutospacing="0"/>
              <w:ind w:left="0" w:right="0"/>
              <w:jc w:val="left"/>
              <w:rPr>
                <w:rFonts w:hint="default" w:ascii="方正仿宋_GB2312" w:hAnsi="仿宋" w:eastAsia="方正仿宋_GB2312" w:cs="宋体"/>
                <w:color w:val="auto"/>
                <w:kern w:val="0"/>
                <w:sz w:val="18"/>
                <w:szCs w:val="18"/>
                <w:highlight w:val="none"/>
              </w:rPr>
            </w:pPr>
            <w:r>
              <w:rPr>
                <w:rFonts w:hint="eastAsia" w:ascii="方正仿宋_GB2312" w:hAnsi="仿宋" w:eastAsia="方正仿宋_GB2312" w:cs="宋体"/>
                <w:color w:val="auto"/>
                <w:kern w:val="0"/>
                <w:sz w:val="18"/>
                <w:szCs w:val="18"/>
                <w:highlight w:val="none"/>
              </w:rPr>
              <w:t>20≤X＜300</w:t>
            </w:r>
          </w:p>
        </w:tc>
        <w:tc>
          <w:tcPr>
            <w:tcW w:w="2022" w:type="dxa"/>
            <w:tcBorders>
              <w:top w:val="nil"/>
              <w:left w:val="nil"/>
              <w:bottom w:val="single" w:color="auto" w:sz="4" w:space="0"/>
              <w:right w:val="single" w:color="auto" w:sz="4" w:space="0"/>
            </w:tcBorders>
            <w:vAlign w:val="center"/>
          </w:tcPr>
          <w:p w14:paraId="362D9086">
            <w:pPr>
              <w:keepNext w:val="0"/>
              <w:keepLines w:val="0"/>
              <w:widowControl/>
              <w:suppressLineNumbers w:val="0"/>
              <w:spacing w:before="0" w:beforeAutospacing="0" w:after="0" w:afterAutospacing="0"/>
              <w:ind w:left="0" w:right="0"/>
              <w:jc w:val="left"/>
              <w:rPr>
                <w:rFonts w:hint="default" w:ascii="方正仿宋_GB2312" w:hAnsi="仿宋" w:eastAsia="方正仿宋_GB2312" w:cs="宋体"/>
                <w:color w:val="auto"/>
                <w:kern w:val="0"/>
                <w:sz w:val="18"/>
                <w:szCs w:val="18"/>
                <w:highlight w:val="none"/>
              </w:rPr>
            </w:pPr>
            <w:r>
              <w:rPr>
                <w:rFonts w:hint="eastAsia" w:ascii="方正仿宋_GB2312" w:hAnsi="仿宋" w:eastAsia="方正仿宋_GB2312" w:cs="宋体"/>
                <w:color w:val="auto"/>
                <w:kern w:val="0"/>
                <w:sz w:val="18"/>
                <w:szCs w:val="18"/>
                <w:highlight w:val="none"/>
              </w:rPr>
              <w:t>X＜20</w:t>
            </w:r>
          </w:p>
        </w:tc>
      </w:tr>
      <w:tr w14:paraId="0A528C28">
        <w:tblPrEx>
          <w:tblCellMar>
            <w:top w:w="0" w:type="dxa"/>
            <w:left w:w="108" w:type="dxa"/>
            <w:bottom w:w="0" w:type="dxa"/>
            <w:right w:w="108" w:type="dxa"/>
          </w:tblCellMar>
        </w:tblPrEx>
        <w:trPr>
          <w:trHeight w:val="225" w:hRule="atLeast"/>
        </w:trPr>
        <w:tc>
          <w:tcPr>
            <w:tcW w:w="1701" w:type="dxa"/>
            <w:vMerge w:val="continue"/>
            <w:tcBorders>
              <w:top w:val="nil"/>
              <w:left w:val="single" w:color="auto" w:sz="4" w:space="0"/>
              <w:bottom w:val="single" w:color="auto" w:sz="4" w:space="0"/>
              <w:right w:val="single" w:color="auto" w:sz="4" w:space="0"/>
            </w:tcBorders>
            <w:vAlign w:val="center"/>
          </w:tcPr>
          <w:p w14:paraId="29B758E5">
            <w:pPr>
              <w:keepNext w:val="0"/>
              <w:keepLines w:val="0"/>
              <w:widowControl/>
              <w:suppressLineNumbers w:val="0"/>
              <w:spacing w:before="0" w:beforeAutospacing="0" w:after="0" w:afterAutospacing="0"/>
              <w:ind w:left="0" w:right="0"/>
              <w:jc w:val="left"/>
              <w:rPr>
                <w:rFonts w:hint="default" w:ascii="方正仿宋_GB2312" w:hAnsi="仿宋" w:eastAsia="方正仿宋_GB2312" w:cs="宋体"/>
                <w:b/>
                <w:bCs/>
                <w:color w:val="auto"/>
                <w:kern w:val="0"/>
                <w:sz w:val="18"/>
                <w:szCs w:val="18"/>
                <w:highlight w:val="none"/>
              </w:rPr>
            </w:pPr>
          </w:p>
        </w:tc>
        <w:tc>
          <w:tcPr>
            <w:tcW w:w="1383" w:type="dxa"/>
            <w:tcBorders>
              <w:top w:val="nil"/>
              <w:left w:val="nil"/>
              <w:bottom w:val="single" w:color="auto" w:sz="4" w:space="0"/>
              <w:right w:val="single" w:color="auto" w:sz="4" w:space="0"/>
            </w:tcBorders>
            <w:vAlign w:val="center"/>
          </w:tcPr>
          <w:p w14:paraId="57F2AA28">
            <w:pPr>
              <w:keepNext w:val="0"/>
              <w:keepLines w:val="0"/>
              <w:widowControl/>
              <w:suppressLineNumbers w:val="0"/>
              <w:spacing w:before="0" w:beforeAutospacing="0" w:after="0" w:afterAutospacing="0"/>
              <w:ind w:left="0" w:right="0"/>
              <w:jc w:val="left"/>
              <w:rPr>
                <w:rFonts w:hint="default" w:ascii="方正仿宋_GB2312" w:hAnsi="仿宋" w:eastAsia="方正仿宋_GB2312" w:cs="宋体"/>
                <w:color w:val="auto"/>
                <w:kern w:val="0"/>
                <w:sz w:val="18"/>
                <w:szCs w:val="18"/>
                <w:highlight w:val="none"/>
              </w:rPr>
            </w:pPr>
            <w:r>
              <w:rPr>
                <w:rFonts w:hint="eastAsia" w:ascii="方正仿宋_GB2312" w:hAnsi="仿宋" w:eastAsia="方正仿宋_GB2312" w:cs="宋体"/>
                <w:color w:val="auto"/>
                <w:kern w:val="0"/>
                <w:sz w:val="18"/>
                <w:szCs w:val="18"/>
                <w:highlight w:val="none"/>
              </w:rPr>
              <w:t>营业收入（Y）</w:t>
            </w:r>
          </w:p>
        </w:tc>
        <w:tc>
          <w:tcPr>
            <w:tcW w:w="913" w:type="dxa"/>
            <w:tcBorders>
              <w:top w:val="nil"/>
              <w:left w:val="nil"/>
              <w:bottom w:val="single" w:color="auto" w:sz="4" w:space="0"/>
              <w:right w:val="single" w:color="auto" w:sz="4" w:space="0"/>
            </w:tcBorders>
            <w:vAlign w:val="center"/>
          </w:tcPr>
          <w:p w14:paraId="6E18581C">
            <w:pPr>
              <w:keepNext w:val="0"/>
              <w:keepLines w:val="0"/>
              <w:widowControl/>
              <w:suppressLineNumbers w:val="0"/>
              <w:spacing w:before="0" w:beforeAutospacing="0" w:after="0" w:afterAutospacing="0"/>
              <w:ind w:left="0" w:right="0"/>
              <w:jc w:val="left"/>
              <w:rPr>
                <w:rFonts w:hint="default" w:ascii="方正仿宋_GB2312" w:hAnsi="仿宋" w:eastAsia="方正仿宋_GB2312" w:cs="宋体"/>
                <w:color w:val="auto"/>
                <w:kern w:val="0"/>
                <w:sz w:val="18"/>
                <w:szCs w:val="18"/>
                <w:highlight w:val="none"/>
              </w:rPr>
            </w:pPr>
            <w:r>
              <w:rPr>
                <w:rFonts w:hint="eastAsia" w:ascii="方正仿宋_GB2312" w:hAnsi="仿宋" w:eastAsia="方正仿宋_GB2312" w:cs="宋体"/>
                <w:color w:val="auto"/>
                <w:kern w:val="0"/>
                <w:sz w:val="18"/>
                <w:szCs w:val="18"/>
                <w:highlight w:val="none"/>
              </w:rPr>
              <w:t>万元</w:t>
            </w:r>
          </w:p>
        </w:tc>
        <w:tc>
          <w:tcPr>
            <w:tcW w:w="1619" w:type="dxa"/>
            <w:tcBorders>
              <w:top w:val="nil"/>
              <w:left w:val="nil"/>
              <w:bottom w:val="single" w:color="auto" w:sz="4" w:space="0"/>
              <w:right w:val="single" w:color="auto" w:sz="4" w:space="0"/>
            </w:tcBorders>
            <w:vAlign w:val="center"/>
          </w:tcPr>
          <w:p w14:paraId="721AF36A">
            <w:pPr>
              <w:keepNext w:val="0"/>
              <w:keepLines w:val="0"/>
              <w:widowControl/>
              <w:suppressLineNumbers w:val="0"/>
              <w:spacing w:before="0" w:beforeAutospacing="0" w:after="0" w:afterAutospacing="0"/>
              <w:ind w:left="0" w:right="0"/>
              <w:jc w:val="left"/>
              <w:rPr>
                <w:rFonts w:hint="default" w:ascii="方正仿宋_GB2312" w:hAnsi="仿宋" w:eastAsia="方正仿宋_GB2312" w:cs="宋体"/>
                <w:color w:val="auto"/>
                <w:kern w:val="0"/>
                <w:sz w:val="18"/>
                <w:szCs w:val="18"/>
                <w:highlight w:val="none"/>
              </w:rPr>
            </w:pPr>
            <w:r>
              <w:rPr>
                <w:rFonts w:hint="eastAsia" w:ascii="方正仿宋_GB2312" w:hAnsi="仿宋" w:eastAsia="方正仿宋_GB2312" w:cs="宋体"/>
                <w:color w:val="auto"/>
                <w:kern w:val="0"/>
                <w:sz w:val="18"/>
                <w:szCs w:val="18"/>
                <w:highlight w:val="none"/>
              </w:rPr>
              <w:t>3000≤Y＜30000</w:t>
            </w:r>
          </w:p>
        </w:tc>
        <w:tc>
          <w:tcPr>
            <w:tcW w:w="1439" w:type="dxa"/>
            <w:tcBorders>
              <w:top w:val="nil"/>
              <w:left w:val="nil"/>
              <w:bottom w:val="single" w:color="auto" w:sz="4" w:space="0"/>
              <w:right w:val="single" w:color="auto" w:sz="4" w:space="0"/>
            </w:tcBorders>
            <w:vAlign w:val="center"/>
          </w:tcPr>
          <w:p w14:paraId="7028E009">
            <w:pPr>
              <w:keepNext w:val="0"/>
              <w:keepLines w:val="0"/>
              <w:widowControl/>
              <w:suppressLineNumbers w:val="0"/>
              <w:spacing w:before="0" w:beforeAutospacing="0" w:after="0" w:afterAutospacing="0"/>
              <w:ind w:left="0" w:right="0"/>
              <w:jc w:val="left"/>
              <w:rPr>
                <w:rFonts w:hint="default" w:ascii="方正仿宋_GB2312" w:hAnsi="仿宋" w:eastAsia="方正仿宋_GB2312" w:cs="宋体"/>
                <w:color w:val="auto"/>
                <w:kern w:val="0"/>
                <w:sz w:val="18"/>
                <w:szCs w:val="18"/>
                <w:highlight w:val="none"/>
              </w:rPr>
            </w:pPr>
            <w:r>
              <w:rPr>
                <w:rFonts w:hint="eastAsia" w:ascii="方正仿宋_GB2312" w:hAnsi="仿宋" w:eastAsia="方正仿宋_GB2312" w:cs="宋体"/>
                <w:color w:val="auto"/>
                <w:kern w:val="0"/>
                <w:sz w:val="18"/>
                <w:szCs w:val="18"/>
                <w:highlight w:val="none"/>
              </w:rPr>
              <w:t>200≤Y＜3000</w:t>
            </w:r>
          </w:p>
        </w:tc>
        <w:tc>
          <w:tcPr>
            <w:tcW w:w="2022" w:type="dxa"/>
            <w:tcBorders>
              <w:top w:val="nil"/>
              <w:left w:val="nil"/>
              <w:bottom w:val="single" w:color="auto" w:sz="4" w:space="0"/>
              <w:right w:val="single" w:color="auto" w:sz="4" w:space="0"/>
            </w:tcBorders>
            <w:vAlign w:val="center"/>
          </w:tcPr>
          <w:p w14:paraId="5AF061B0">
            <w:pPr>
              <w:keepNext w:val="0"/>
              <w:keepLines w:val="0"/>
              <w:widowControl/>
              <w:suppressLineNumbers w:val="0"/>
              <w:spacing w:before="0" w:beforeAutospacing="0" w:after="0" w:afterAutospacing="0"/>
              <w:ind w:left="0" w:right="0"/>
              <w:jc w:val="left"/>
              <w:rPr>
                <w:rFonts w:hint="default" w:ascii="方正仿宋_GB2312" w:hAnsi="仿宋" w:eastAsia="方正仿宋_GB2312" w:cs="宋体"/>
                <w:color w:val="auto"/>
                <w:kern w:val="0"/>
                <w:sz w:val="18"/>
                <w:szCs w:val="18"/>
                <w:highlight w:val="none"/>
              </w:rPr>
            </w:pPr>
            <w:r>
              <w:rPr>
                <w:rFonts w:hint="eastAsia" w:ascii="方正仿宋_GB2312" w:hAnsi="仿宋" w:eastAsia="方正仿宋_GB2312" w:cs="宋体"/>
                <w:color w:val="auto"/>
                <w:kern w:val="0"/>
                <w:sz w:val="18"/>
                <w:szCs w:val="18"/>
                <w:highlight w:val="none"/>
              </w:rPr>
              <w:t>Y＜200</w:t>
            </w:r>
          </w:p>
        </w:tc>
      </w:tr>
      <w:tr w14:paraId="3C1F2120">
        <w:tblPrEx>
          <w:tblCellMar>
            <w:top w:w="0" w:type="dxa"/>
            <w:left w:w="108" w:type="dxa"/>
            <w:bottom w:w="0" w:type="dxa"/>
            <w:right w:w="108" w:type="dxa"/>
          </w:tblCellMar>
        </w:tblPrEx>
        <w:trPr>
          <w:trHeight w:val="225" w:hRule="atLeast"/>
        </w:trPr>
        <w:tc>
          <w:tcPr>
            <w:tcW w:w="1701" w:type="dxa"/>
            <w:vMerge w:val="restart"/>
            <w:tcBorders>
              <w:top w:val="nil"/>
              <w:left w:val="single" w:color="auto" w:sz="4" w:space="0"/>
              <w:bottom w:val="single" w:color="auto" w:sz="4" w:space="0"/>
              <w:right w:val="single" w:color="auto" w:sz="4" w:space="0"/>
            </w:tcBorders>
            <w:vAlign w:val="bottom"/>
          </w:tcPr>
          <w:p w14:paraId="3FDBFB76">
            <w:pPr>
              <w:keepNext w:val="0"/>
              <w:keepLines w:val="0"/>
              <w:widowControl/>
              <w:suppressLineNumbers w:val="0"/>
              <w:spacing w:before="0" w:beforeAutospacing="0" w:after="0" w:afterAutospacing="0"/>
              <w:ind w:left="0" w:right="0"/>
              <w:jc w:val="center"/>
              <w:rPr>
                <w:rFonts w:hint="default" w:ascii="方正仿宋_GB2312" w:hAnsi="仿宋" w:eastAsia="方正仿宋_GB2312" w:cs="宋体"/>
                <w:b/>
                <w:bCs/>
                <w:color w:val="auto"/>
                <w:kern w:val="0"/>
                <w:sz w:val="18"/>
                <w:szCs w:val="18"/>
                <w:highlight w:val="none"/>
              </w:rPr>
            </w:pPr>
            <w:r>
              <w:rPr>
                <w:rFonts w:hint="eastAsia" w:ascii="方正仿宋_GB2312" w:hAnsi="仿宋" w:eastAsia="方正仿宋_GB2312" w:cs="宋体"/>
                <w:b/>
                <w:bCs/>
                <w:color w:val="auto"/>
                <w:kern w:val="0"/>
                <w:sz w:val="18"/>
                <w:szCs w:val="18"/>
                <w:highlight w:val="none"/>
              </w:rPr>
              <w:t>仓储业</w:t>
            </w:r>
          </w:p>
        </w:tc>
        <w:tc>
          <w:tcPr>
            <w:tcW w:w="1383" w:type="dxa"/>
            <w:tcBorders>
              <w:top w:val="nil"/>
              <w:left w:val="nil"/>
              <w:bottom w:val="single" w:color="auto" w:sz="4" w:space="0"/>
              <w:right w:val="single" w:color="auto" w:sz="4" w:space="0"/>
            </w:tcBorders>
            <w:vAlign w:val="center"/>
          </w:tcPr>
          <w:p w14:paraId="0A89D8BC">
            <w:pPr>
              <w:keepNext w:val="0"/>
              <w:keepLines w:val="0"/>
              <w:widowControl/>
              <w:suppressLineNumbers w:val="0"/>
              <w:spacing w:before="0" w:beforeAutospacing="0" w:after="0" w:afterAutospacing="0"/>
              <w:ind w:left="0" w:right="0"/>
              <w:jc w:val="left"/>
              <w:rPr>
                <w:rFonts w:hint="default" w:ascii="方正仿宋_GB2312" w:hAnsi="仿宋" w:eastAsia="方正仿宋_GB2312" w:cs="宋体"/>
                <w:color w:val="auto"/>
                <w:kern w:val="0"/>
                <w:sz w:val="18"/>
                <w:szCs w:val="18"/>
                <w:highlight w:val="none"/>
              </w:rPr>
            </w:pPr>
            <w:r>
              <w:rPr>
                <w:rFonts w:hint="eastAsia" w:ascii="方正仿宋_GB2312" w:hAnsi="仿宋" w:eastAsia="方正仿宋_GB2312" w:cs="宋体"/>
                <w:color w:val="auto"/>
                <w:kern w:val="0"/>
                <w:sz w:val="18"/>
                <w:szCs w:val="18"/>
                <w:highlight w:val="none"/>
              </w:rPr>
              <w:t>从业人员（X）</w:t>
            </w:r>
          </w:p>
        </w:tc>
        <w:tc>
          <w:tcPr>
            <w:tcW w:w="913" w:type="dxa"/>
            <w:tcBorders>
              <w:top w:val="nil"/>
              <w:left w:val="nil"/>
              <w:bottom w:val="single" w:color="auto" w:sz="4" w:space="0"/>
              <w:right w:val="single" w:color="auto" w:sz="4" w:space="0"/>
            </w:tcBorders>
            <w:vAlign w:val="center"/>
          </w:tcPr>
          <w:p w14:paraId="341A8E5E">
            <w:pPr>
              <w:keepNext w:val="0"/>
              <w:keepLines w:val="0"/>
              <w:widowControl/>
              <w:suppressLineNumbers w:val="0"/>
              <w:spacing w:before="0" w:beforeAutospacing="0" w:after="0" w:afterAutospacing="0"/>
              <w:ind w:left="0" w:right="0"/>
              <w:jc w:val="left"/>
              <w:rPr>
                <w:rFonts w:hint="default" w:ascii="方正仿宋_GB2312" w:hAnsi="仿宋" w:eastAsia="方正仿宋_GB2312" w:cs="宋体"/>
                <w:color w:val="auto"/>
                <w:kern w:val="0"/>
                <w:sz w:val="18"/>
                <w:szCs w:val="18"/>
                <w:highlight w:val="none"/>
              </w:rPr>
            </w:pPr>
            <w:r>
              <w:rPr>
                <w:rFonts w:hint="eastAsia" w:ascii="方正仿宋_GB2312" w:hAnsi="仿宋" w:eastAsia="方正仿宋_GB2312" w:cs="宋体"/>
                <w:color w:val="auto"/>
                <w:kern w:val="0"/>
                <w:sz w:val="18"/>
                <w:szCs w:val="18"/>
                <w:highlight w:val="none"/>
              </w:rPr>
              <w:t>人</w:t>
            </w:r>
          </w:p>
        </w:tc>
        <w:tc>
          <w:tcPr>
            <w:tcW w:w="1619" w:type="dxa"/>
            <w:tcBorders>
              <w:top w:val="nil"/>
              <w:left w:val="nil"/>
              <w:bottom w:val="single" w:color="auto" w:sz="4" w:space="0"/>
              <w:right w:val="single" w:color="auto" w:sz="4" w:space="0"/>
            </w:tcBorders>
            <w:vAlign w:val="center"/>
          </w:tcPr>
          <w:p w14:paraId="018A3F34">
            <w:pPr>
              <w:keepNext w:val="0"/>
              <w:keepLines w:val="0"/>
              <w:widowControl/>
              <w:suppressLineNumbers w:val="0"/>
              <w:spacing w:before="0" w:beforeAutospacing="0" w:after="0" w:afterAutospacing="0"/>
              <w:ind w:left="0" w:right="0"/>
              <w:jc w:val="left"/>
              <w:rPr>
                <w:rFonts w:hint="default" w:ascii="方正仿宋_GB2312" w:hAnsi="仿宋" w:eastAsia="方正仿宋_GB2312" w:cs="宋体"/>
                <w:color w:val="auto"/>
                <w:kern w:val="0"/>
                <w:sz w:val="18"/>
                <w:szCs w:val="18"/>
                <w:highlight w:val="none"/>
              </w:rPr>
            </w:pPr>
            <w:r>
              <w:rPr>
                <w:rFonts w:hint="eastAsia" w:ascii="方正仿宋_GB2312" w:hAnsi="仿宋" w:eastAsia="方正仿宋_GB2312" w:cs="宋体"/>
                <w:color w:val="auto"/>
                <w:kern w:val="0"/>
                <w:sz w:val="18"/>
                <w:szCs w:val="18"/>
                <w:highlight w:val="none"/>
              </w:rPr>
              <w:t>100≤X＜200</w:t>
            </w:r>
          </w:p>
        </w:tc>
        <w:tc>
          <w:tcPr>
            <w:tcW w:w="1439" w:type="dxa"/>
            <w:tcBorders>
              <w:top w:val="nil"/>
              <w:left w:val="nil"/>
              <w:bottom w:val="single" w:color="auto" w:sz="4" w:space="0"/>
              <w:right w:val="single" w:color="auto" w:sz="4" w:space="0"/>
            </w:tcBorders>
            <w:vAlign w:val="center"/>
          </w:tcPr>
          <w:p w14:paraId="67121435">
            <w:pPr>
              <w:keepNext w:val="0"/>
              <w:keepLines w:val="0"/>
              <w:widowControl/>
              <w:suppressLineNumbers w:val="0"/>
              <w:spacing w:before="0" w:beforeAutospacing="0" w:after="0" w:afterAutospacing="0"/>
              <w:ind w:left="0" w:right="0"/>
              <w:jc w:val="left"/>
              <w:rPr>
                <w:rFonts w:hint="default" w:ascii="方正仿宋_GB2312" w:hAnsi="仿宋" w:eastAsia="方正仿宋_GB2312" w:cs="宋体"/>
                <w:color w:val="auto"/>
                <w:kern w:val="0"/>
                <w:sz w:val="18"/>
                <w:szCs w:val="18"/>
                <w:highlight w:val="none"/>
              </w:rPr>
            </w:pPr>
            <w:r>
              <w:rPr>
                <w:rFonts w:hint="eastAsia" w:ascii="方正仿宋_GB2312" w:hAnsi="仿宋" w:eastAsia="方正仿宋_GB2312" w:cs="宋体"/>
                <w:color w:val="auto"/>
                <w:kern w:val="0"/>
                <w:sz w:val="18"/>
                <w:szCs w:val="18"/>
                <w:highlight w:val="none"/>
              </w:rPr>
              <w:t>20≤X＜100</w:t>
            </w:r>
          </w:p>
        </w:tc>
        <w:tc>
          <w:tcPr>
            <w:tcW w:w="2022" w:type="dxa"/>
            <w:tcBorders>
              <w:top w:val="nil"/>
              <w:left w:val="nil"/>
              <w:bottom w:val="single" w:color="auto" w:sz="4" w:space="0"/>
              <w:right w:val="single" w:color="auto" w:sz="4" w:space="0"/>
            </w:tcBorders>
            <w:vAlign w:val="center"/>
          </w:tcPr>
          <w:p w14:paraId="5D8E48C7">
            <w:pPr>
              <w:keepNext w:val="0"/>
              <w:keepLines w:val="0"/>
              <w:widowControl/>
              <w:suppressLineNumbers w:val="0"/>
              <w:spacing w:before="0" w:beforeAutospacing="0" w:after="0" w:afterAutospacing="0"/>
              <w:ind w:left="0" w:right="0"/>
              <w:jc w:val="left"/>
              <w:rPr>
                <w:rFonts w:hint="default" w:ascii="方正仿宋_GB2312" w:hAnsi="仿宋" w:eastAsia="方正仿宋_GB2312" w:cs="宋体"/>
                <w:color w:val="auto"/>
                <w:kern w:val="0"/>
                <w:sz w:val="18"/>
                <w:szCs w:val="18"/>
                <w:highlight w:val="none"/>
              </w:rPr>
            </w:pPr>
            <w:r>
              <w:rPr>
                <w:rFonts w:hint="eastAsia" w:ascii="方正仿宋_GB2312" w:hAnsi="仿宋" w:eastAsia="方正仿宋_GB2312" w:cs="宋体"/>
                <w:color w:val="auto"/>
                <w:kern w:val="0"/>
                <w:sz w:val="18"/>
                <w:szCs w:val="18"/>
                <w:highlight w:val="none"/>
              </w:rPr>
              <w:t>X＜20</w:t>
            </w:r>
          </w:p>
        </w:tc>
      </w:tr>
      <w:tr w14:paraId="635B2F0F">
        <w:tblPrEx>
          <w:tblCellMar>
            <w:top w:w="0" w:type="dxa"/>
            <w:left w:w="108" w:type="dxa"/>
            <w:bottom w:w="0" w:type="dxa"/>
            <w:right w:w="108" w:type="dxa"/>
          </w:tblCellMar>
        </w:tblPrEx>
        <w:trPr>
          <w:trHeight w:val="225" w:hRule="atLeast"/>
        </w:trPr>
        <w:tc>
          <w:tcPr>
            <w:tcW w:w="1701" w:type="dxa"/>
            <w:vMerge w:val="continue"/>
            <w:tcBorders>
              <w:top w:val="nil"/>
              <w:left w:val="single" w:color="auto" w:sz="4" w:space="0"/>
              <w:bottom w:val="single" w:color="auto" w:sz="4" w:space="0"/>
              <w:right w:val="single" w:color="auto" w:sz="4" w:space="0"/>
            </w:tcBorders>
            <w:vAlign w:val="center"/>
          </w:tcPr>
          <w:p w14:paraId="5CEE5091">
            <w:pPr>
              <w:keepNext w:val="0"/>
              <w:keepLines w:val="0"/>
              <w:widowControl/>
              <w:suppressLineNumbers w:val="0"/>
              <w:spacing w:before="0" w:beforeAutospacing="0" w:after="0" w:afterAutospacing="0"/>
              <w:ind w:left="0" w:right="0"/>
              <w:jc w:val="left"/>
              <w:rPr>
                <w:rFonts w:hint="default" w:ascii="方正仿宋_GB2312" w:hAnsi="仿宋" w:eastAsia="方正仿宋_GB2312" w:cs="宋体"/>
                <w:b/>
                <w:bCs/>
                <w:color w:val="auto"/>
                <w:kern w:val="0"/>
                <w:sz w:val="18"/>
                <w:szCs w:val="18"/>
                <w:highlight w:val="none"/>
              </w:rPr>
            </w:pPr>
          </w:p>
        </w:tc>
        <w:tc>
          <w:tcPr>
            <w:tcW w:w="1383" w:type="dxa"/>
            <w:tcBorders>
              <w:top w:val="nil"/>
              <w:left w:val="nil"/>
              <w:bottom w:val="single" w:color="auto" w:sz="4" w:space="0"/>
              <w:right w:val="single" w:color="auto" w:sz="4" w:space="0"/>
            </w:tcBorders>
            <w:vAlign w:val="center"/>
          </w:tcPr>
          <w:p w14:paraId="7066B8E8">
            <w:pPr>
              <w:keepNext w:val="0"/>
              <w:keepLines w:val="0"/>
              <w:widowControl/>
              <w:suppressLineNumbers w:val="0"/>
              <w:spacing w:before="0" w:beforeAutospacing="0" w:after="0" w:afterAutospacing="0"/>
              <w:ind w:left="0" w:right="0"/>
              <w:jc w:val="left"/>
              <w:rPr>
                <w:rFonts w:hint="default" w:ascii="方正仿宋_GB2312" w:hAnsi="仿宋" w:eastAsia="方正仿宋_GB2312" w:cs="宋体"/>
                <w:color w:val="auto"/>
                <w:kern w:val="0"/>
                <w:sz w:val="18"/>
                <w:szCs w:val="18"/>
                <w:highlight w:val="none"/>
              </w:rPr>
            </w:pPr>
            <w:r>
              <w:rPr>
                <w:rFonts w:hint="eastAsia" w:ascii="方正仿宋_GB2312" w:hAnsi="仿宋" w:eastAsia="方正仿宋_GB2312" w:cs="宋体"/>
                <w:color w:val="auto"/>
                <w:kern w:val="0"/>
                <w:sz w:val="18"/>
                <w:szCs w:val="18"/>
                <w:highlight w:val="none"/>
              </w:rPr>
              <w:t>营业收入（Y）</w:t>
            </w:r>
          </w:p>
        </w:tc>
        <w:tc>
          <w:tcPr>
            <w:tcW w:w="913" w:type="dxa"/>
            <w:tcBorders>
              <w:top w:val="nil"/>
              <w:left w:val="nil"/>
              <w:bottom w:val="single" w:color="auto" w:sz="4" w:space="0"/>
              <w:right w:val="single" w:color="auto" w:sz="4" w:space="0"/>
            </w:tcBorders>
            <w:vAlign w:val="center"/>
          </w:tcPr>
          <w:p w14:paraId="60F89467">
            <w:pPr>
              <w:keepNext w:val="0"/>
              <w:keepLines w:val="0"/>
              <w:widowControl/>
              <w:suppressLineNumbers w:val="0"/>
              <w:spacing w:before="0" w:beforeAutospacing="0" w:after="0" w:afterAutospacing="0"/>
              <w:ind w:left="0" w:right="0"/>
              <w:jc w:val="left"/>
              <w:rPr>
                <w:rFonts w:hint="default" w:ascii="方正仿宋_GB2312" w:hAnsi="仿宋" w:eastAsia="方正仿宋_GB2312" w:cs="宋体"/>
                <w:color w:val="auto"/>
                <w:kern w:val="0"/>
                <w:sz w:val="18"/>
                <w:szCs w:val="18"/>
                <w:highlight w:val="none"/>
              </w:rPr>
            </w:pPr>
            <w:r>
              <w:rPr>
                <w:rFonts w:hint="eastAsia" w:ascii="方正仿宋_GB2312" w:hAnsi="仿宋" w:eastAsia="方正仿宋_GB2312" w:cs="宋体"/>
                <w:color w:val="auto"/>
                <w:kern w:val="0"/>
                <w:sz w:val="18"/>
                <w:szCs w:val="18"/>
                <w:highlight w:val="none"/>
              </w:rPr>
              <w:t>万元</w:t>
            </w:r>
          </w:p>
        </w:tc>
        <w:tc>
          <w:tcPr>
            <w:tcW w:w="1619" w:type="dxa"/>
            <w:tcBorders>
              <w:top w:val="nil"/>
              <w:left w:val="nil"/>
              <w:bottom w:val="single" w:color="auto" w:sz="4" w:space="0"/>
              <w:right w:val="single" w:color="auto" w:sz="4" w:space="0"/>
            </w:tcBorders>
            <w:vAlign w:val="center"/>
          </w:tcPr>
          <w:p w14:paraId="26AFC210">
            <w:pPr>
              <w:keepNext w:val="0"/>
              <w:keepLines w:val="0"/>
              <w:widowControl/>
              <w:suppressLineNumbers w:val="0"/>
              <w:spacing w:before="0" w:beforeAutospacing="0" w:after="0" w:afterAutospacing="0"/>
              <w:ind w:left="0" w:right="0"/>
              <w:jc w:val="left"/>
              <w:rPr>
                <w:rFonts w:hint="default" w:ascii="方正仿宋_GB2312" w:hAnsi="仿宋" w:eastAsia="方正仿宋_GB2312" w:cs="宋体"/>
                <w:color w:val="auto"/>
                <w:kern w:val="0"/>
                <w:sz w:val="18"/>
                <w:szCs w:val="18"/>
                <w:highlight w:val="none"/>
              </w:rPr>
            </w:pPr>
            <w:r>
              <w:rPr>
                <w:rFonts w:hint="eastAsia" w:ascii="方正仿宋_GB2312" w:hAnsi="仿宋" w:eastAsia="方正仿宋_GB2312" w:cs="宋体"/>
                <w:color w:val="auto"/>
                <w:kern w:val="0"/>
                <w:sz w:val="18"/>
                <w:szCs w:val="18"/>
                <w:highlight w:val="none"/>
              </w:rPr>
              <w:t>1000≤Y＜30000</w:t>
            </w:r>
          </w:p>
        </w:tc>
        <w:tc>
          <w:tcPr>
            <w:tcW w:w="1439" w:type="dxa"/>
            <w:tcBorders>
              <w:top w:val="nil"/>
              <w:left w:val="nil"/>
              <w:bottom w:val="single" w:color="auto" w:sz="4" w:space="0"/>
              <w:right w:val="single" w:color="auto" w:sz="4" w:space="0"/>
            </w:tcBorders>
            <w:vAlign w:val="center"/>
          </w:tcPr>
          <w:p w14:paraId="61519E48">
            <w:pPr>
              <w:keepNext w:val="0"/>
              <w:keepLines w:val="0"/>
              <w:widowControl/>
              <w:suppressLineNumbers w:val="0"/>
              <w:spacing w:before="0" w:beforeAutospacing="0" w:after="0" w:afterAutospacing="0"/>
              <w:ind w:left="0" w:right="0"/>
              <w:jc w:val="left"/>
              <w:rPr>
                <w:rFonts w:hint="default" w:ascii="方正仿宋_GB2312" w:hAnsi="仿宋" w:eastAsia="方正仿宋_GB2312" w:cs="宋体"/>
                <w:color w:val="auto"/>
                <w:kern w:val="0"/>
                <w:sz w:val="18"/>
                <w:szCs w:val="18"/>
                <w:highlight w:val="none"/>
              </w:rPr>
            </w:pPr>
            <w:r>
              <w:rPr>
                <w:rFonts w:hint="eastAsia" w:ascii="方正仿宋_GB2312" w:hAnsi="仿宋" w:eastAsia="方正仿宋_GB2312" w:cs="宋体"/>
                <w:color w:val="auto"/>
                <w:kern w:val="0"/>
                <w:sz w:val="18"/>
                <w:szCs w:val="18"/>
                <w:highlight w:val="none"/>
              </w:rPr>
              <w:t>100≤Y＜1000</w:t>
            </w:r>
          </w:p>
        </w:tc>
        <w:tc>
          <w:tcPr>
            <w:tcW w:w="2022" w:type="dxa"/>
            <w:tcBorders>
              <w:top w:val="nil"/>
              <w:left w:val="nil"/>
              <w:bottom w:val="single" w:color="auto" w:sz="4" w:space="0"/>
              <w:right w:val="single" w:color="auto" w:sz="4" w:space="0"/>
            </w:tcBorders>
            <w:vAlign w:val="center"/>
          </w:tcPr>
          <w:p w14:paraId="7DD40CB3">
            <w:pPr>
              <w:keepNext w:val="0"/>
              <w:keepLines w:val="0"/>
              <w:widowControl/>
              <w:suppressLineNumbers w:val="0"/>
              <w:spacing w:before="0" w:beforeAutospacing="0" w:after="0" w:afterAutospacing="0"/>
              <w:ind w:left="0" w:right="0"/>
              <w:jc w:val="left"/>
              <w:rPr>
                <w:rFonts w:hint="default" w:ascii="方正仿宋_GB2312" w:hAnsi="仿宋" w:eastAsia="方正仿宋_GB2312" w:cs="宋体"/>
                <w:color w:val="auto"/>
                <w:kern w:val="0"/>
                <w:sz w:val="18"/>
                <w:szCs w:val="18"/>
                <w:highlight w:val="none"/>
              </w:rPr>
            </w:pPr>
            <w:r>
              <w:rPr>
                <w:rFonts w:hint="eastAsia" w:ascii="方正仿宋_GB2312" w:hAnsi="仿宋" w:eastAsia="方正仿宋_GB2312" w:cs="宋体"/>
                <w:color w:val="auto"/>
                <w:kern w:val="0"/>
                <w:sz w:val="18"/>
                <w:szCs w:val="18"/>
                <w:highlight w:val="none"/>
              </w:rPr>
              <w:t>Y＜100</w:t>
            </w:r>
          </w:p>
        </w:tc>
      </w:tr>
      <w:tr w14:paraId="18EAA891">
        <w:tblPrEx>
          <w:tblCellMar>
            <w:top w:w="0" w:type="dxa"/>
            <w:left w:w="108" w:type="dxa"/>
            <w:bottom w:w="0" w:type="dxa"/>
            <w:right w:w="108" w:type="dxa"/>
          </w:tblCellMar>
        </w:tblPrEx>
        <w:trPr>
          <w:trHeight w:val="225" w:hRule="atLeast"/>
        </w:trPr>
        <w:tc>
          <w:tcPr>
            <w:tcW w:w="1701" w:type="dxa"/>
            <w:vMerge w:val="restart"/>
            <w:tcBorders>
              <w:top w:val="nil"/>
              <w:left w:val="single" w:color="auto" w:sz="4" w:space="0"/>
              <w:bottom w:val="single" w:color="auto" w:sz="4" w:space="0"/>
              <w:right w:val="single" w:color="auto" w:sz="4" w:space="0"/>
            </w:tcBorders>
            <w:vAlign w:val="bottom"/>
          </w:tcPr>
          <w:p w14:paraId="130B337D">
            <w:pPr>
              <w:keepNext w:val="0"/>
              <w:keepLines w:val="0"/>
              <w:widowControl/>
              <w:suppressLineNumbers w:val="0"/>
              <w:spacing w:before="0" w:beforeAutospacing="0" w:after="0" w:afterAutospacing="0"/>
              <w:ind w:left="0" w:right="0"/>
              <w:jc w:val="center"/>
              <w:rPr>
                <w:rFonts w:hint="default" w:ascii="方正仿宋_GB2312" w:hAnsi="仿宋" w:eastAsia="方正仿宋_GB2312" w:cs="宋体"/>
                <w:b/>
                <w:bCs/>
                <w:color w:val="auto"/>
                <w:kern w:val="0"/>
                <w:sz w:val="18"/>
                <w:szCs w:val="18"/>
                <w:highlight w:val="none"/>
              </w:rPr>
            </w:pPr>
            <w:r>
              <w:rPr>
                <w:rFonts w:hint="eastAsia" w:ascii="方正仿宋_GB2312" w:hAnsi="仿宋" w:eastAsia="方正仿宋_GB2312" w:cs="宋体"/>
                <w:b/>
                <w:bCs/>
                <w:color w:val="auto"/>
                <w:kern w:val="0"/>
                <w:sz w:val="18"/>
                <w:szCs w:val="18"/>
                <w:highlight w:val="none"/>
              </w:rPr>
              <w:t>邮政业</w:t>
            </w:r>
          </w:p>
        </w:tc>
        <w:tc>
          <w:tcPr>
            <w:tcW w:w="1383" w:type="dxa"/>
            <w:tcBorders>
              <w:top w:val="nil"/>
              <w:left w:val="nil"/>
              <w:bottom w:val="single" w:color="auto" w:sz="4" w:space="0"/>
              <w:right w:val="single" w:color="auto" w:sz="4" w:space="0"/>
            </w:tcBorders>
            <w:vAlign w:val="center"/>
          </w:tcPr>
          <w:p w14:paraId="49E0E62E">
            <w:pPr>
              <w:keepNext w:val="0"/>
              <w:keepLines w:val="0"/>
              <w:widowControl/>
              <w:suppressLineNumbers w:val="0"/>
              <w:spacing w:before="0" w:beforeAutospacing="0" w:after="0" w:afterAutospacing="0"/>
              <w:ind w:left="0" w:right="0"/>
              <w:jc w:val="left"/>
              <w:rPr>
                <w:rFonts w:hint="default" w:ascii="方正仿宋_GB2312" w:hAnsi="仿宋" w:eastAsia="方正仿宋_GB2312" w:cs="宋体"/>
                <w:color w:val="auto"/>
                <w:kern w:val="0"/>
                <w:sz w:val="18"/>
                <w:szCs w:val="18"/>
                <w:highlight w:val="none"/>
              </w:rPr>
            </w:pPr>
            <w:r>
              <w:rPr>
                <w:rFonts w:hint="eastAsia" w:ascii="方正仿宋_GB2312" w:hAnsi="仿宋" w:eastAsia="方正仿宋_GB2312" w:cs="宋体"/>
                <w:color w:val="auto"/>
                <w:kern w:val="0"/>
                <w:sz w:val="18"/>
                <w:szCs w:val="18"/>
                <w:highlight w:val="none"/>
              </w:rPr>
              <w:t>从业人员（X）</w:t>
            </w:r>
          </w:p>
        </w:tc>
        <w:tc>
          <w:tcPr>
            <w:tcW w:w="913" w:type="dxa"/>
            <w:tcBorders>
              <w:top w:val="nil"/>
              <w:left w:val="nil"/>
              <w:bottom w:val="single" w:color="auto" w:sz="4" w:space="0"/>
              <w:right w:val="single" w:color="auto" w:sz="4" w:space="0"/>
            </w:tcBorders>
            <w:vAlign w:val="center"/>
          </w:tcPr>
          <w:p w14:paraId="366B1E10">
            <w:pPr>
              <w:keepNext w:val="0"/>
              <w:keepLines w:val="0"/>
              <w:widowControl/>
              <w:suppressLineNumbers w:val="0"/>
              <w:spacing w:before="0" w:beforeAutospacing="0" w:after="0" w:afterAutospacing="0"/>
              <w:ind w:left="0" w:right="0"/>
              <w:jc w:val="left"/>
              <w:rPr>
                <w:rFonts w:hint="default" w:ascii="方正仿宋_GB2312" w:hAnsi="仿宋" w:eastAsia="方正仿宋_GB2312" w:cs="宋体"/>
                <w:color w:val="auto"/>
                <w:kern w:val="0"/>
                <w:sz w:val="18"/>
                <w:szCs w:val="18"/>
                <w:highlight w:val="none"/>
              </w:rPr>
            </w:pPr>
            <w:r>
              <w:rPr>
                <w:rFonts w:hint="eastAsia" w:ascii="方正仿宋_GB2312" w:hAnsi="仿宋" w:eastAsia="方正仿宋_GB2312" w:cs="宋体"/>
                <w:color w:val="auto"/>
                <w:kern w:val="0"/>
                <w:sz w:val="18"/>
                <w:szCs w:val="18"/>
                <w:highlight w:val="none"/>
              </w:rPr>
              <w:t>人</w:t>
            </w:r>
          </w:p>
        </w:tc>
        <w:tc>
          <w:tcPr>
            <w:tcW w:w="1619" w:type="dxa"/>
            <w:tcBorders>
              <w:top w:val="nil"/>
              <w:left w:val="nil"/>
              <w:bottom w:val="single" w:color="auto" w:sz="4" w:space="0"/>
              <w:right w:val="single" w:color="auto" w:sz="4" w:space="0"/>
            </w:tcBorders>
            <w:vAlign w:val="center"/>
          </w:tcPr>
          <w:p w14:paraId="1311C35B">
            <w:pPr>
              <w:keepNext w:val="0"/>
              <w:keepLines w:val="0"/>
              <w:widowControl/>
              <w:suppressLineNumbers w:val="0"/>
              <w:spacing w:before="0" w:beforeAutospacing="0" w:after="0" w:afterAutospacing="0"/>
              <w:ind w:left="0" w:right="0"/>
              <w:jc w:val="left"/>
              <w:rPr>
                <w:rFonts w:hint="default" w:ascii="方正仿宋_GB2312" w:hAnsi="仿宋" w:eastAsia="方正仿宋_GB2312" w:cs="宋体"/>
                <w:color w:val="auto"/>
                <w:kern w:val="0"/>
                <w:sz w:val="18"/>
                <w:szCs w:val="18"/>
                <w:highlight w:val="none"/>
              </w:rPr>
            </w:pPr>
            <w:r>
              <w:rPr>
                <w:rFonts w:hint="eastAsia" w:ascii="方正仿宋_GB2312" w:hAnsi="仿宋" w:eastAsia="方正仿宋_GB2312" w:cs="宋体"/>
                <w:color w:val="auto"/>
                <w:kern w:val="0"/>
                <w:sz w:val="18"/>
                <w:szCs w:val="18"/>
                <w:highlight w:val="none"/>
              </w:rPr>
              <w:t>300≤X＜1000</w:t>
            </w:r>
          </w:p>
        </w:tc>
        <w:tc>
          <w:tcPr>
            <w:tcW w:w="1439" w:type="dxa"/>
            <w:tcBorders>
              <w:top w:val="nil"/>
              <w:left w:val="nil"/>
              <w:bottom w:val="single" w:color="auto" w:sz="4" w:space="0"/>
              <w:right w:val="single" w:color="auto" w:sz="4" w:space="0"/>
            </w:tcBorders>
            <w:vAlign w:val="center"/>
          </w:tcPr>
          <w:p w14:paraId="61489490">
            <w:pPr>
              <w:keepNext w:val="0"/>
              <w:keepLines w:val="0"/>
              <w:widowControl/>
              <w:suppressLineNumbers w:val="0"/>
              <w:spacing w:before="0" w:beforeAutospacing="0" w:after="0" w:afterAutospacing="0"/>
              <w:ind w:left="0" w:right="0"/>
              <w:jc w:val="left"/>
              <w:rPr>
                <w:rFonts w:hint="default" w:ascii="方正仿宋_GB2312" w:hAnsi="仿宋" w:eastAsia="方正仿宋_GB2312" w:cs="宋体"/>
                <w:color w:val="auto"/>
                <w:kern w:val="0"/>
                <w:sz w:val="18"/>
                <w:szCs w:val="18"/>
                <w:highlight w:val="none"/>
              </w:rPr>
            </w:pPr>
            <w:r>
              <w:rPr>
                <w:rFonts w:hint="eastAsia" w:ascii="方正仿宋_GB2312" w:hAnsi="仿宋" w:eastAsia="方正仿宋_GB2312" w:cs="宋体"/>
                <w:color w:val="auto"/>
                <w:kern w:val="0"/>
                <w:sz w:val="18"/>
                <w:szCs w:val="18"/>
                <w:highlight w:val="none"/>
              </w:rPr>
              <w:t>20≤X＜300</w:t>
            </w:r>
          </w:p>
        </w:tc>
        <w:tc>
          <w:tcPr>
            <w:tcW w:w="2022" w:type="dxa"/>
            <w:tcBorders>
              <w:top w:val="nil"/>
              <w:left w:val="nil"/>
              <w:bottom w:val="single" w:color="auto" w:sz="4" w:space="0"/>
              <w:right w:val="single" w:color="auto" w:sz="4" w:space="0"/>
            </w:tcBorders>
            <w:vAlign w:val="center"/>
          </w:tcPr>
          <w:p w14:paraId="311B97EF">
            <w:pPr>
              <w:keepNext w:val="0"/>
              <w:keepLines w:val="0"/>
              <w:widowControl/>
              <w:suppressLineNumbers w:val="0"/>
              <w:spacing w:before="0" w:beforeAutospacing="0" w:after="0" w:afterAutospacing="0"/>
              <w:ind w:left="0" w:right="0"/>
              <w:jc w:val="left"/>
              <w:rPr>
                <w:rFonts w:hint="default" w:ascii="方正仿宋_GB2312" w:hAnsi="仿宋" w:eastAsia="方正仿宋_GB2312" w:cs="宋体"/>
                <w:color w:val="auto"/>
                <w:kern w:val="0"/>
                <w:sz w:val="18"/>
                <w:szCs w:val="18"/>
                <w:highlight w:val="none"/>
              </w:rPr>
            </w:pPr>
            <w:r>
              <w:rPr>
                <w:rFonts w:hint="eastAsia" w:ascii="方正仿宋_GB2312" w:hAnsi="仿宋" w:eastAsia="方正仿宋_GB2312" w:cs="宋体"/>
                <w:color w:val="auto"/>
                <w:kern w:val="0"/>
                <w:sz w:val="18"/>
                <w:szCs w:val="18"/>
                <w:highlight w:val="none"/>
              </w:rPr>
              <w:t>X＜20</w:t>
            </w:r>
          </w:p>
        </w:tc>
      </w:tr>
      <w:tr w14:paraId="5565673F">
        <w:tblPrEx>
          <w:tblCellMar>
            <w:top w:w="0" w:type="dxa"/>
            <w:left w:w="108" w:type="dxa"/>
            <w:bottom w:w="0" w:type="dxa"/>
            <w:right w:w="108" w:type="dxa"/>
          </w:tblCellMar>
        </w:tblPrEx>
        <w:trPr>
          <w:trHeight w:val="225" w:hRule="atLeast"/>
        </w:trPr>
        <w:tc>
          <w:tcPr>
            <w:tcW w:w="1701" w:type="dxa"/>
            <w:vMerge w:val="continue"/>
            <w:tcBorders>
              <w:top w:val="nil"/>
              <w:left w:val="single" w:color="auto" w:sz="4" w:space="0"/>
              <w:bottom w:val="single" w:color="auto" w:sz="4" w:space="0"/>
              <w:right w:val="single" w:color="auto" w:sz="4" w:space="0"/>
            </w:tcBorders>
            <w:vAlign w:val="center"/>
          </w:tcPr>
          <w:p w14:paraId="2E1B5430">
            <w:pPr>
              <w:keepNext w:val="0"/>
              <w:keepLines w:val="0"/>
              <w:widowControl/>
              <w:suppressLineNumbers w:val="0"/>
              <w:spacing w:before="0" w:beforeAutospacing="0" w:after="0" w:afterAutospacing="0"/>
              <w:ind w:left="0" w:right="0"/>
              <w:jc w:val="left"/>
              <w:rPr>
                <w:rFonts w:hint="default" w:ascii="方正仿宋_GB2312" w:hAnsi="仿宋" w:eastAsia="方正仿宋_GB2312" w:cs="宋体"/>
                <w:b/>
                <w:bCs/>
                <w:color w:val="auto"/>
                <w:kern w:val="0"/>
                <w:sz w:val="18"/>
                <w:szCs w:val="18"/>
                <w:highlight w:val="none"/>
              </w:rPr>
            </w:pPr>
          </w:p>
        </w:tc>
        <w:tc>
          <w:tcPr>
            <w:tcW w:w="1383" w:type="dxa"/>
            <w:tcBorders>
              <w:top w:val="nil"/>
              <w:left w:val="nil"/>
              <w:bottom w:val="single" w:color="auto" w:sz="4" w:space="0"/>
              <w:right w:val="single" w:color="auto" w:sz="4" w:space="0"/>
            </w:tcBorders>
            <w:vAlign w:val="center"/>
          </w:tcPr>
          <w:p w14:paraId="6D6EF103">
            <w:pPr>
              <w:keepNext w:val="0"/>
              <w:keepLines w:val="0"/>
              <w:widowControl/>
              <w:suppressLineNumbers w:val="0"/>
              <w:spacing w:before="0" w:beforeAutospacing="0" w:after="0" w:afterAutospacing="0"/>
              <w:ind w:left="0" w:right="0"/>
              <w:jc w:val="left"/>
              <w:rPr>
                <w:rFonts w:hint="default" w:ascii="方正仿宋_GB2312" w:hAnsi="仿宋" w:eastAsia="方正仿宋_GB2312" w:cs="宋体"/>
                <w:color w:val="auto"/>
                <w:kern w:val="0"/>
                <w:sz w:val="18"/>
                <w:szCs w:val="18"/>
                <w:highlight w:val="none"/>
              </w:rPr>
            </w:pPr>
            <w:r>
              <w:rPr>
                <w:rFonts w:hint="eastAsia" w:ascii="方正仿宋_GB2312" w:hAnsi="仿宋" w:eastAsia="方正仿宋_GB2312" w:cs="宋体"/>
                <w:color w:val="auto"/>
                <w:kern w:val="0"/>
                <w:sz w:val="18"/>
                <w:szCs w:val="18"/>
                <w:highlight w:val="none"/>
              </w:rPr>
              <w:t>营业收入（Y）</w:t>
            </w:r>
          </w:p>
        </w:tc>
        <w:tc>
          <w:tcPr>
            <w:tcW w:w="913" w:type="dxa"/>
            <w:tcBorders>
              <w:top w:val="nil"/>
              <w:left w:val="nil"/>
              <w:bottom w:val="single" w:color="auto" w:sz="4" w:space="0"/>
              <w:right w:val="single" w:color="auto" w:sz="4" w:space="0"/>
            </w:tcBorders>
            <w:vAlign w:val="center"/>
          </w:tcPr>
          <w:p w14:paraId="341D8E6F">
            <w:pPr>
              <w:keepNext w:val="0"/>
              <w:keepLines w:val="0"/>
              <w:widowControl/>
              <w:suppressLineNumbers w:val="0"/>
              <w:spacing w:before="0" w:beforeAutospacing="0" w:after="0" w:afterAutospacing="0"/>
              <w:ind w:left="0" w:right="0"/>
              <w:jc w:val="left"/>
              <w:rPr>
                <w:rFonts w:hint="default" w:ascii="方正仿宋_GB2312" w:hAnsi="仿宋" w:eastAsia="方正仿宋_GB2312" w:cs="宋体"/>
                <w:color w:val="auto"/>
                <w:kern w:val="0"/>
                <w:sz w:val="18"/>
                <w:szCs w:val="18"/>
                <w:highlight w:val="none"/>
              </w:rPr>
            </w:pPr>
            <w:r>
              <w:rPr>
                <w:rFonts w:hint="eastAsia" w:ascii="方正仿宋_GB2312" w:hAnsi="仿宋" w:eastAsia="方正仿宋_GB2312" w:cs="宋体"/>
                <w:color w:val="auto"/>
                <w:kern w:val="0"/>
                <w:sz w:val="18"/>
                <w:szCs w:val="18"/>
                <w:highlight w:val="none"/>
              </w:rPr>
              <w:t>万元</w:t>
            </w:r>
          </w:p>
        </w:tc>
        <w:tc>
          <w:tcPr>
            <w:tcW w:w="1619" w:type="dxa"/>
            <w:tcBorders>
              <w:top w:val="nil"/>
              <w:left w:val="nil"/>
              <w:bottom w:val="single" w:color="auto" w:sz="4" w:space="0"/>
              <w:right w:val="single" w:color="auto" w:sz="4" w:space="0"/>
            </w:tcBorders>
            <w:vAlign w:val="center"/>
          </w:tcPr>
          <w:p w14:paraId="6D0BA1BC">
            <w:pPr>
              <w:keepNext w:val="0"/>
              <w:keepLines w:val="0"/>
              <w:widowControl/>
              <w:suppressLineNumbers w:val="0"/>
              <w:spacing w:before="0" w:beforeAutospacing="0" w:after="0" w:afterAutospacing="0"/>
              <w:ind w:left="0" w:right="0"/>
              <w:jc w:val="left"/>
              <w:rPr>
                <w:rFonts w:hint="default" w:ascii="方正仿宋_GB2312" w:hAnsi="仿宋" w:eastAsia="方正仿宋_GB2312" w:cs="宋体"/>
                <w:color w:val="auto"/>
                <w:kern w:val="0"/>
                <w:sz w:val="18"/>
                <w:szCs w:val="18"/>
                <w:highlight w:val="none"/>
              </w:rPr>
            </w:pPr>
            <w:r>
              <w:rPr>
                <w:rFonts w:hint="eastAsia" w:ascii="方正仿宋_GB2312" w:hAnsi="仿宋" w:eastAsia="方正仿宋_GB2312" w:cs="宋体"/>
                <w:color w:val="auto"/>
                <w:kern w:val="0"/>
                <w:sz w:val="18"/>
                <w:szCs w:val="18"/>
                <w:highlight w:val="none"/>
              </w:rPr>
              <w:t>2000≤Y＜30000</w:t>
            </w:r>
          </w:p>
        </w:tc>
        <w:tc>
          <w:tcPr>
            <w:tcW w:w="1439" w:type="dxa"/>
            <w:tcBorders>
              <w:top w:val="nil"/>
              <w:left w:val="nil"/>
              <w:bottom w:val="single" w:color="auto" w:sz="4" w:space="0"/>
              <w:right w:val="single" w:color="auto" w:sz="4" w:space="0"/>
            </w:tcBorders>
            <w:vAlign w:val="center"/>
          </w:tcPr>
          <w:p w14:paraId="79CEFDB0">
            <w:pPr>
              <w:keepNext w:val="0"/>
              <w:keepLines w:val="0"/>
              <w:widowControl/>
              <w:suppressLineNumbers w:val="0"/>
              <w:spacing w:before="0" w:beforeAutospacing="0" w:after="0" w:afterAutospacing="0"/>
              <w:ind w:left="0" w:right="0"/>
              <w:jc w:val="left"/>
              <w:rPr>
                <w:rFonts w:hint="default" w:ascii="方正仿宋_GB2312" w:hAnsi="仿宋" w:eastAsia="方正仿宋_GB2312" w:cs="宋体"/>
                <w:color w:val="auto"/>
                <w:kern w:val="0"/>
                <w:sz w:val="18"/>
                <w:szCs w:val="18"/>
                <w:highlight w:val="none"/>
              </w:rPr>
            </w:pPr>
            <w:r>
              <w:rPr>
                <w:rFonts w:hint="eastAsia" w:ascii="方正仿宋_GB2312" w:hAnsi="仿宋" w:eastAsia="方正仿宋_GB2312" w:cs="宋体"/>
                <w:color w:val="auto"/>
                <w:kern w:val="0"/>
                <w:sz w:val="18"/>
                <w:szCs w:val="18"/>
                <w:highlight w:val="none"/>
              </w:rPr>
              <w:t>100≤Y＜2000</w:t>
            </w:r>
          </w:p>
        </w:tc>
        <w:tc>
          <w:tcPr>
            <w:tcW w:w="2022" w:type="dxa"/>
            <w:tcBorders>
              <w:top w:val="nil"/>
              <w:left w:val="nil"/>
              <w:bottom w:val="single" w:color="auto" w:sz="4" w:space="0"/>
              <w:right w:val="single" w:color="auto" w:sz="4" w:space="0"/>
            </w:tcBorders>
            <w:vAlign w:val="center"/>
          </w:tcPr>
          <w:p w14:paraId="68041737">
            <w:pPr>
              <w:keepNext w:val="0"/>
              <w:keepLines w:val="0"/>
              <w:widowControl/>
              <w:suppressLineNumbers w:val="0"/>
              <w:spacing w:before="0" w:beforeAutospacing="0" w:after="0" w:afterAutospacing="0"/>
              <w:ind w:left="0" w:right="0"/>
              <w:jc w:val="left"/>
              <w:rPr>
                <w:rFonts w:hint="default" w:ascii="方正仿宋_GB2312" w:hAnsi="仿宋" w:eastAsia="方正仿宋_GB2312" w:cs="宋体"/>
                <w:color w:val="auto"/>
                <w:kern w:val="0"/>
                <w:sz w:val="18"/>
                <w:szCs w:val="18"/>
                <w:highlight w:val="none"/>
              </w:rPr>
            </w:pPr>
            <w:r>
              <w:rPr>
                <w:rFonts w:hint="eastAsia" w:ascii="方正仿宋_GB2312" w:hAnsi="仿宋" w:eastAsia="方正仿宋_GB2312" w:cs="宋体"/>
                <w:color w:val="auto"/>
                <w:kern w:val="0"/>
                <w:sz w:val="18"/>
                <w:szCs w:val="18"/>
                <w:highlight w:val="none"/>
              </w:rPr>
              <w:t>Y＜100</w:t>
            </w:r>
          </w:p>
        </w:tc>
      </w:tr>
      <w:tr w14:paraId="36AA08B2">
        <w:tblPrEx>
          <w:tblCellMar>
            <w:top w:w="0" w:type="dxa"/>
            <w:left w:w="108" w:type="dxa"/>
            <w:bottom w:w="0" w:type="dxa"/>
            <w:right w:w="108" w:type="dxa"/>
          </w:tblCellMar>
        </w:tblPrEx>
        <w:trPr>
          <w:trHeight w:val="225" w:hRule="atLeast"/>
        </w:trPr>
        <w:tc>
          <w:tcPr>
            <w:tcW w:w="1701" w:type="dxa"/>
            <w:vMerge w:val="restart"/>
            <w:tcBorders>
              <w:top w:val="nil"/>
              <w:left w:val="single" w:color="auto" w:sz="4" w:space="0"/>
              <w:bottom w:val="single" w:color="auto" w:sz="4" w:space="0"/>
              <w:right w:val="single" w:color="auto" w:sz="4" w:space="0"/>
            </w:tcBorders>
            <w:vAlign w:val="bottom"/>
          </w:tcPr>
          <w:p w14:paraId="3ADF8DDC">
            <w:pPr>
              <w:keepNext w:val="0"/>
              <w:keepLines w:val="0"/>
              <w:widowControl/>
              <w:suppressLineNumbers w:val="0"/>
              <w:spacing w:before="0" w:beforeAutospacing="0" w:after="0" w:afterAutospacing="0"/>
              <w:ind w:left="0" w:right="0"/>
              <w:jc w:val="center"/>
              <w:rPr>
                <w:rFonts w:hint="default" w:ascii="方正仿宋_GB2312" w:hAnsi="仿宋" w:eastAsia="方正仿宋_GB2312" w:cs="宋体"/>
                <w:b/>
                <w:bCs/>
                <w:color w:val="auto"/>
                <w:kern w:val="0"/>
                <w:sz w:val="18"/>
                <w:szCs w:val="18"/>
                <w:highlight w:val="none"/>
              </w:rPr>
            </w:pPr>
            <w:r>
              <w:rPr>
                <w:rFonts w:hint="eastAsia" w:ascii="方正仿宋_GB2312" w:hAnsi="仿宋" w:eastAsia="方正仿宋_GB2312" w:cs="宋体"/>
                <w:b/>
                <w:bCs/>
                <w:color w:val="auto"/>
                <w:kern w:val="0"/>
                <w:sz w:val="18"/>
                <w:szCs w:val="18"/>
                <w:highlight w:val="none"/>
              </w:rPr>
              <w:t>住宿业</w:t>
            </w:r>
          </w:p>
        </w:tc>
        <w:tc>
          <w:tcPr>
            <w:tcW w:w="1383" w:type="dxa"/>
            <w:tcBorders>
              <w:top w:val="nil"/>
              <w:left w:val="nil"/>
              <w:bottom w:val="single" w:color="auto" w:sz="4" w:space="0"/>
              <w:right w:val="single" w:color="auto" w:sz="4" w:space="0"/>
            </w:tcBorders>
            <w:vAlign w:val="center"/>
          </w:tcPr>
          <w:p w14:paraId="33373708">
            <w:pPr>
              <w:keepNext w:val="0"/>
              <w:keepLines w:val="0"/>
              <w:widowControl/>
              <w:suppressLineNumbers w:val="0"/>
              <w:spacing w:before="0" w:beforeAutospacing="0" w:after="0" w:afterAutospacing="0"/>
              <w:ind w:left="0" w:right="0"/>
              <w:jc w:val="left"/>
              <w:rPr>
                <w:rFonts w:hint="default" w:ascii="方正仿宋_GB2312" w:hAnsi="仿宋" w:eastAsia="方正仿宋_GB2312" w:cs="宋体"/>
                <w:color w:val="auto"/>
                <w:kern w:val="0"/>
                <w:sz w:val="18"/>
                <w:szCs w:val="18"/>
                <w:highlight w:val="none"/>
              </w:rPr>
            </w:pPr>
            <w:r>
              <w:rPr>
                <w:rFonts w:hint="eastAsia" w:ascii="方正仿宋_GB2312" w:hAnsi="仿宋" w:eastAsia="方正仿宋_GB2312" w:cs="宋体"/>
                <w:color w:val="auto"/>
                <w:kern w:val="0"/>
                <w:sz w:val="18"/>
                <w:szCs w:val="18"/>
                <w:highlight w:val="none"/>
              </w:rPr>
              <w:t>从业人员（X）</w:t>
            </w:r>
          </w:p>
        </w:tc>
        <w:tc>
          <w:tcPr>
            <w:tcW w:w="913" w:type="dxa"/>
            <w:tcBorders>
              <w:top w:val="nil"/>
              <w:left w:val="nil"/>
              <w:bottom w:val="single" w:color="auto" w:sz="4" w:space="0"/>
              <w:right w:val="single" w:color="auto" w:sz="4" w:space="0"/>
            </w:tcBorders>
            <w:vAlign w:val="center"/>
          </w:tcPr>
          <w:p w14:paraId="403974A6">
            <w:pPr>
              <w:keepNext w:val="0"/>
              <w:keepLines w:val="0"/>
              <w:widowControl/>
              <w:suppressLineNumbers w:val="0"/>
              <w:spacing w:before="0" w:beforeAutospacing="0" w:after="0" w:afterAutospacing="0"/>
              <w:ind w:left="0" w:right="0"/>
              <w:jc w:val="left"/>
              <w:rPr>
                <w:rFonts w:hint="default" w:ascii="方正仿宋_GB2312" w:hAnsi="仿宋" w:eastAsia="方正仿宋_GB2312" w:cs="宋体"/>
                <w:color w:val="auto"/>
                <w:kern w:val="0"/>
                <w:sz w:val="18"/>
                <w:szCs w:val="18"/>
                <w:highlight w:val="none"/>
              </w:rPr>
            </w:pPr>
            <w:r>
              <w:rPr>
                <w:rFonts w:hint="eastAsia" w:ascii="方正仿宋_GB2312" w:hAnsi="仿宋" w:eastAsia="方正仿宋_GB2312" w:cs="宋体"/>
                <w:color w:val="auto"/>
                <w:kern w:val="0"/>
                <w:sz w:val="18"/>
                <w:szCs w:val="18"/>
                <w:highlight w:val="none"/>
              </w:rPr>
              <w:t>人</w:t>
            </w:r>
          </w:p>
        </w:tc>
        <w:tc>
          <w:tcPr>
            <w:tcW w:w="1619" w:type="dxa"/>
            <w:tcBorders>
              <w:top w:val="nil"/>
              <w:left w:val="nil"/>
              <w:bottom w:val="single" w:color="auto" w:sz="4" w:space="0"/>
              <w:right w:val="single" w:color="auto" w:sz="4" w:space="0"/>
            </w:tcBorders>
            <w:vAlign w:val="center"/>
          </w:tcPr>
          <w:p w14:paraId="58DA526B">
            <w:pPr>
              <w:keepNext w:val="0"/>
              <w:keepLines w:val="0"/>
              <w:widowControl/>
              <w:suppressLineNumbers w:val="0"/>
              <w:spacing w:before="0" w:beforeAutospacing="0" w:after="0" w:afterAutospacing="0"/>
              <w:ind w:left="0" w:right="0"/>
              <w:jc w:val="left"/>
              <w:rPr>
                <w:rFonts w:hint="default" w:ascii="方正仿宋_GB2312" w:hAnsi="仿宋" w:eastAsia="方正仿宋_GB2312" w:cs="宋体"/>
                <w:color w:val="auto"/>
                <w:kern w:val="0"/>
                <w:sz w:val="18"/>
                <w:szCs w:val="18"/>
                <w:highlight w:val="none"/>
              </w:rPr>
            </w:pPr>
            <w:r>
              <w:rPr>
                <w:rFonts w:hint="eastAsia" w:ascii="方正仿宋_GB2312" w:hAnsi="仿宋" w:eastAsia="方正仿宋_GB2312" w:cs="宋体"/>
                <w:color w:val="auto"/>
                <w:kern w:val="0"/>
                <w:sz w:val="18"/>
                <w:szCs w:val="18"/>
                <w:highlight w:val="none"/>
              </w:rPr>
              <w:t>100≤X＜300</w:t>
            </w:r>
          </w:p>
        </w:tc>
        <w:tc>
          <w:tcPr>
            <w:tcW w:w="1439" w:type="dxa"/>
            <w:tcBorders>
              <w:top w:val="nil"/>
              <w:left w:val="nil"/>
              <w:bottom w:val="single" w:color="auto" w:sz="4" w:space="0"/>
              <w:right w:val="single" w:color="auto" w:sz="4" w:space="0"/>
            </w:tcBorders>
            <w:vAlign w:val="center"/>
          </w:tcPr>
          <w:p w14:paraId="24D848C5">
            <w:pPr>
              <w:keepNext w:val="0"/>
              <w:keepLines w:val="0"/>
              <w:widowControl/>
              <w:suppressLineNumbers w:val="0"/>
              <w:spacing w:before="0" w:beforeAutospacing="0" w:after="0" w:afterAutospacing="0"/>
              <w:ind w:left="0" w:right="0"/>
              <w:jc w:val="left"/>
              <w:rPr>
                <w:rFonts w:hint="default" w:ascii="方正仿宋_GB2312" w:hAnsi="仿宋" w:eastAsia="方正仿宋_GB2312" w:cs="宋体"/>
                <w:color w:val="auto"/>
                <w:kern w:val="0"/>
                <w:sz w:val="18"/>
                <w:szCs w:val="18"/>
                <w:highlight w:val="none"/>
              </w:rPr>
            </w:pPr>
            <w:r>
              <w:rPr>
                <w:rFonts w:hint="eastAsia" w:ascii="方正仿宋_GB2312" w:hAnsi="仿宋" w:eastAsia="方正仿宋_GB2312" w:cs="宋体"/>
                <w:color w:val="auto"/>
                <w:kern w:val="0"/>
                <w:sz w:val="18"/>
                <w:szCs w:val="18"/>
                <w:highlight w:val="none"/>
              </w:rPr>
              <w:t>10≤X＜100</w:t>
            </w:r>
          </w:p>
        </w:tc>
        <w:tc>
          <w:tcPr>
            <w:tcW w:w="2022" w:type="dxa"/>
            <w:tcBorders>
              <w:top w:val="nil"/>
              <w:left w:val="nil"/>
              <w:bottom w:val="single" w:color="auto" w:sz="4" w:space="0"/>
              <w:right w:val="single" w:color="auto" w:sz="4" w:space="0"/>
            </w:tcBorders>
            <w:vAlign w:val="center"/>
          </w:tcPr>
          <w:p w14:paraId="711FC450">
            <w:pPr>
              <w:keepNext w:val="0"/>
              <w:keepLines w:val="0"/>
              <w:widowControl/>
              <w:suppressLineNumbers w:val="0"/>
              <w:spacing w:before="0" w:beforeAutospacing="0" w:after="0" w:afterAutospacing="0"/>
              <w:ind w:left="0" w:right="0"/>
              <w:jc w:val="left"/>
              <w:rPr>
                <w:rFonts w:hint="default" w:ascii="方正仿宋_GB2312" w:hAnsi="仿宋" w:eastAsia="方正仿宋_GB2312" w:cs="宋体"/>
                <w:color w:val="auto"/>
                <w:kern w:val="0"/>
                <w:sz w:val="18"/>
                <w:szCs w:val="18"/>
                <w:highlight w:val="none"/>
              </w:rPr>
            </w:pPr>
            <w:r>
              <w:rPr>
                <w:rFonts w:hint="eastAsia" w:ascii="方正仿宋_GB2312" w:hAnsi="仿宋" w:eastAsia="方正仿宋_GB2312" w:cs="宋体"/>
                <w:color w:val="auto"/>
                <w:kern w:val="0"/>
                <w:sz w:val="18"/>
                <w:szCs w:val="18"/>
                <w:highlight w:val="none"/>
              </w:rPr>
              <w:t>X＜10</w:t>
            </w:r>
          </w:p>
        </w:tc>
      </w:tr>
      <w:tr w14:paraId="6BD558DE">
        <w:tblPrEx>
          <w:tblCellMar>
            <w:top w:w="0" w:type="dxa"/>
            <w:left w:w="108" w:type="dxa"/>
            <w:bottom w:w="0" w:type="dxa"/>
            <w:right w:w="108" w:type="dxa"/>
          </w:tblCellMar>
        </w:tblPrEx>
        <w:trPr>
          <w:trHeight w:val="225" w:hRule="atLeast"/>
        </w:trPr>
        <w:tc>
          <w:tcPr>
            <w:tcW w:w="1701" w:type="dxa"/>
            <w:vMerge w:val="continue"/>
            <w:tcBorders>
              <w:top w:val="nil"/>
              <w:left w:val="single" w:color="auto" w:sz="4" w:space="0"/>
              <w:bottom w:val="single" w:color="auto" w:sz="4" w:space="0"/>
              <w:right w:val="single" w:color="auto" w:sz="4" w:space="0"/>
            </w:tcBorders>
            <w:vAlign w:val="center"/>
          </w:tcPr>
          <w:p w14:paraId="16F8AB26">
            <w:pPr>
              <w:keepNext w:val="0"/>
              <w:keepLines w:val="0"/>
              <w:widowControl/>
              <w:suppressLineNumbers w:val="0"/>
              <w:spacing w:before="0" w:beforeAutospacing="0" w:after="0" w:afterAutospacing="0"/>
              <w:ind w:left="0" w:right="0"/>
              <w:jc w:val="left"/>
              <w:rPr>
                <w:rFonts w:hint="default" w:ascii="方正仿宋_GB2312" w:hAnsi="仿宋" w:eastAsia="方正仿宋_GB2312" w:cs="宋体"/>
                <w:b/>
                <w:bCs/>
                <w:color w:val="auto"/>
                <w:kern w:val="0"/>
                <w:sz w:val="18"/>
                <w:szCs w:val="18"/>
                <w:highlight w:val="none"/>
              </w:rPr>
            </w:pPr>
          </w:p>
        </w:tc>
        <w:tc>
          <w:tcPr>
            <w:tcW w:w="1383" w:type="dxa"/>
            <w:tcBorders>
              <w:top w:val="nil"/>
              <w:left w:val="nil"/>
              <w:bottom w:val="single" w:color="auto" w:sz="4" w:space="0"/>
              <w:right w:val="single" w:color="auto" w:sz="4" w:space="0"/>
            </w:tcBorders>
            <w:vAlign w:val="center"/>
          </w:tcPr>
          <w:p w14:paraId="70D1AE66">
            <w:pPr>
              <w:keepNext w:val="0"/>
              <w:keepLines w:val="0"/>
              <w:widowControl/>
              <w:suppressLineNumbers w:val="0"/>
              <w:spacing w:before="0" w:beforeAutospacing="0" w:after="0" w:afterAutospacing="0"/>
              <w:ind w:left="0" w:right="0"/>
              <w:jc w:val="left"/>
              <w:rPr>
                <w:rFonts w:hint="default" w:ascii="方正仿宋_GB2312" w:hAnsi="仿宋" w:eastAsia="方正仿宋_GB2312" w:cs="宋体"/>
                <w:color w:val="auto"/>
                <w:kern w:val="0"/>
                <w:sz w:val="18"/>
                <w:szCs w:val="18"/>
                <w:highlight w:val="none"/>
              </w:rPr>
            </w:pPr>
            <w:r>
              <w:rPr>
                <w:rFonts w:hint="eastAsia" w:ascii="方正仿宋_GB2312" w:hAnsi="仿宋" w:eastAsia="方正仿宋_GB2312" w:cs="宋体"/>
                <w:color w:val="auto"/>
                <w:kern w:val="0"/>
                <w:sz w:val="18"/>
                <w:szCs w:val="18"/>
                <w:highlight w:val="none"/>
              </w:rPr>
              <w:t>营业收入（Y）</w:t>
            </w:r>
          </w:p>
        </w:tc>
        <w:tc>
          <w:tcPr>
            <w:tcW w:w="913" w:type="dxa"/>
            <w:tcBorders>
              <w:top w:val="nil"/>
              <w:left w:val="nil"/>
              <w:bottom w:val="single" w:color="auto" w:sz="4" w:space="0"/>
              <w:right w:val="single" w:color="auto" w:sz="4" w:space="0"/>
            </w:tcBorders>
            <w:vAlign w:val="center"/>
          </w:tcPr>
          <w:p w14:paraId="4A8C82DF">
            <w:pPr>
              <w:keepNext w:val="0"/>
              <w:keepLines w:val="0"/>
              <w:widowControl/>
              <w:suppressLineNumbers w:val="0"/>
              <w:spacing w:before="0" w:beforeAutospacing="0" w:after="0" w:afterAutospacing="0"/>
              <w:ind w:left="0" w:right="0"/>
              <w:jc w:val="left"/>
              <w:rPr>
                <w:rFonts w:hint="default" w:ascii="方正仿宋_GB2312" w:hAnsi="仿宋" w:eastAsia="方正仿宋_GB2312" w:cs="宋体"/>
                <w:color w:val="auto"/>
                <w:kern w:val="0"/>
                <w:sz w:val="18"/>
                <w:szCs w:val="18"/>
                <w:highlight w:val="none"/>
              </w:rPr>
            </w:pPr>
            <w:r>
              <w:rPr>
                <w:rFonts w:hint="eastAsia" w:ascii="方正仿宋_GB2312" w:hAnsi="仿宋" w:eastAsia="方正仿宋_GB2312" w:cs="宋体"/>
                <w:color w:val="auto"/>
                <w:kern w:val="0"/>
                <w:sz w:val="18"/>
                <w:szCs w:val="18"/>
                <w:highlight w:val="none"/>
              </w:rPr>
              <w:t>万元</w:t>
            </w:r>
          </w:p>
        </w:tc>
        <w:tc>
          <w:tcPr>
            <w:tcW w:w="1619" w:type="dxa"/>
            <w:tcBorders>
              <w:top w:val="nil"/>
              <w:left w:val="nil"/>
              <w:bottom w:val="single" w:color="auto" w:sz="4" w:space="0"/>
              <w:right w:val="single" w:color="auto" w:sz="4" w:space="0"/>
            </w:tcBorders>
            <w:vAlign w:val="center"/>
          </w:tcPr>
          <w:p w14:paraId="6BAC6303">
            <w:pPr>
              <w:keepNext w:val="0"/>
              <w:keepLines w:val="0"/>
              <w:widowControl/>
              <w:suppressLineNumbers w:val="0"/>
              <w:spacing w:before="0" w:beforeAutospacing="0" w:after="0" w:afterAutospacing="0"/>
              <w:ind w:left="0" w:right="0"/>
              <w:jc w:val="left"/>
              <w:rPr>
                <w:rFonts w:hint="default" w:ascii="方正仿宋_GB2312" w:hAnsi="仿宋" w:eastAsia="方正仿宋_GB2312" w:cs="宋体"/>
                <w:color w:val="auto"/>
                <w:kern w:val="0"/>
                <w:sz w:val="18"/>
                <w:szCs w:val="18"/>
                <w:highlight w:val="none"/>
              </w:rPr>
            </w:pPr>
            <w:r>
              <w:rPr>
                <w:rFonts w:hint="eastAsia" w:ascii="方正仿宋_GB2312" w:hAnsi="仿宋" w:eastAsia="方正仿宋_GB2312" w:cs="宋体"/>
                <w:color w:val="auto"/>
                <w:kern w:val="0"/>
                <w:sz w:val="18"/>
                <w:szCs w:val="18"/>
                <w:highlight w:val="none"/>
              </w:rPr>
              <w:t>2000≤Y＜10000</w:t>
            </w:r>
          </w:p>
        </w:tc>
        <w:tc>
          <w:tcPr>
            <w:tcW w:w="1439" w:type="dxa"/>
            <w:tcBorders>
              <w:top w:val="nil"/>
              <w:left w:val="nil"/>
              <w:bottom w:val="single" w:color="auto" w:sz="4" w:space="0"/>
              <w:right w:val="single" w:color="auto" w:sz="4" w:space="0"/>
            </w:tcBorders>
            <w:vAlign w:val="center"/>
          </w:tcPr>
          <w:p w14:paraId="75549A7F">
            <w:pPr>
              <w:keepNext w:val="0"/>
              <w:keepLines w:val="0"/>
              <w:widowControl/>
              <w:suppressLineNumbers w:val="0"/>
              <w:spacing w:before="0" w:beforeAutospacing="0" w:after="0" w:afterAutospacing="0"/>
              <w:ind w:left="0" w:right="0"/>
              <w:jc w:val="left"/>
              <w:rPr>
                <w:rFonts w:hint="default" w:ascii="方正仿宋_GB2312" w:hAnsi="仿宋" w:eastAsia="方正仿宋_GB2312" w:cs="宋体"/>
                <w:color w:val="auto"/>
                <w:kern w:val="0"/>
                <w:sz w:val="18"/>
                <w:szCs w:val="18"/>
                <w:highlight w:val="none"/>
              </w:rPr>
            </w:pPr>
            <w:r>
              <w:rPr>
                <w:rFonts w:hint="eastAsia" w:ascii="方正仿宋_GB2312" w:hAnsi="仿宋" w:eastAsia="方正仿宋_GB2312" w:cs="宋体"/>
                <w:color w:val="auto"/>
                <w:kern w:val="0"/>
                <w:sz w:val="18"/>
                <w:szCs w:val="18"/>
                <w:highlight w:val="none"/>
              </w:rPr>
              <w:t>100≤Y＜2000</w:t>
            </w:r>
          </w:p>
        </w:tc>
        <w:tc>
          <w:tcPr>
            <w:tcW w:w="2022" w:type="dxa"/>
            <w:tcBorders>
              <w:top w:val="nil"/>
              <w:left w:val="nil"/>
              <w:bottom w:val="single" w:color="auto" w:sz="4" w:space="0"/>
              <w:right w:val="single" w:color="auto" w:sz="4" w:space="0"/>
            </w:tcBorders>
            <w:vAlign w:val="center"/>
          </w:tcPr>
          <w:p w14:paraId="68A7309E">
            <w:pPr>
              <w:keepNext w:val="0"/>
              <w:keepLines w:val="0"/>
              <w:widowControl/>
              <w:suppressLineNumbers w:val="0"/>
              <w:spacing w:before="0" w:beforeAutospacing="0" w:after="0" w:afterAutospacing="0"/>
              <w:ind w:left="0" w:right="0"/>
              <w:jc w:val="left"/>
              <w:rPr>
                <w:rFonts w:hint="default" w:ascii="方正仿宋_GB2312" w:hAnsi="仿宋" w:eastAsia="方正仿宋_GB2312" w:cs="宋体"/>
                <w:color w:val="auto"/>
                <w:kern w:val="0"/>
                <w:sz w:val="18"/>
                <w:szCs w:val="18"/>
                <w:highlight w:val="none"/>
              </w:rPr>
            </w:pPr>
            <w:r>
              <w:rPr>
                <w:rFonts w:hint="eastAsia" w:ascii="方正仿宋_GB2312" w:hAnsi="仿宋" w:eastAsia="方正仿宋_GB2312" w:cs="宋体"/>
                <w:color w:val="auto"/>
                <w:kern w:val="0"/>
                <w:sz w:val="18"/>
                <w:szCs w:val="18"/>
                <w:highlight w:val="none"/>
              </w:rPr>
              <w:t>Y＜100</w:t>
            </w:r>
          </w:p>
        </w:tc>
      </w:tr>
      <w:tr w14:paraId="68CDAE5E">
        <w:tblPrEx>
          <w:tblCellMar>
            <w:top w:w="0" w:type="dxa"/>
            <w:left w:w="108" w:type="dxa"/>
            <w:bottom w:w="0" w:type="dxa"/>
            <w:right w:w="108" w:type="dxa"/>
          </w:tblCellMar>
        </w:tblPrEx>
        <w:trPr>
          <w:trHeight w:val="225" w:hRule="atLeast"/>
        </w:trPr>
        <w:tc>
          <w:tcPr>
            <w:tcW w:w="1701" w:type="dxa"/>
            <w:vMerge w:val="restart"/>
            <w:tcBorders>
              <w:top w:val="nil"/>
              <w:left w:val="single" w:color="auto" w:sz="4" w:space="0"/>
              <w:bottom w:val="single" w:color="auto" w:sz="4" w:space="0"/>
              <w:right w:val="single" w:color="auto" w:sz="4" w:space="0"/>
            </w:tcBorders>
            <w:vAlign w:val="bottom"/>
          </w:tcPr>
          <w:p w14:paraId="05860A69">
            <w:pPr>
              <w:keepNext w:val="0"/>
              <w:keepLines w:val="0"/>
              <w:widowControl/>
              <w:suppressLineNumbers w:val="0"/>
              <w:spacing w:before="0" w:beforeAutospacing="0" w:after="0" w:afterAutospacing="0"/>
              <w:ind w:left="0" w:right="0"/>
              <w:jc w:val="center"/>
              <w:rPr>
                <w:rFonts w:hint="default" w:ascii="方正仿宋_GB2312" w:hAnsi="仿宋" w:eastAsia="方正仿宋_GB2312" w:cs="宋体"/>
                <w:b/>
                <w:bCs/>
                <w:color w:val="auto"/>
                <w:kern w:val="0"/>
                <w:sz w:val="18"/>
                <w:szCs w:val="18"/>
                <w:highlight w:val="none"/>
              </w:rPr>
            </w:pPr>
            <w:r>
              <w:rPr>
                <w:rFonts w:hint="eastAsia" w:ascii="方正仿宋_GB2312" w:hAnsi="仿宋" w:eastAsia="方正仿宋_GB2312" w:cs="宋体"/>
                <w:b/>
                <w:bCs/>
                <w:color w:val="auto"/>
                <w:kern w:val="0"/>
                <w:sz w:val="18"/>
                <w:szCs w:val="18"/>
                <w:highlight w:val="none"/>
              </w:rPr>
              <w:t>餐饮业</w:t>
            </w:r>
          </w:p>
        </w:tc>
        <w:tc>
          <w:tcPr>
            <w:tcW w:w="1383" w:type="dxa"/>
            <w:tcBorders>
              <w:top w:val="nil"/>
              <w:left w:val="nil"/>
              <w:bottom w:val="single" w:color="auto" w:sz="4" w:space="0"/>
              <w:right w:val="single" w:color="auto" w:sz="4" w:space="0"/>
            </w:tcBorders>
            <w:vAlign w:val="center"/>
          </w:tcPr>
          <w:p w14:paraId="10E10D47">
            <w:pPr>
              <w:keepNext w:val="0"/>
              <w:keepLines w:val="0"/>
              <w:widowControl/>
              <w:suppressLineNumbers w:val="0"/>
              <w:spacing w:before="0" w:beforeAutospacing="0" w:after="0" w:afterAutospacing="0"/>
              <w:ind w:left="0" w:right="0"/>
              <w:jc w:val="left"/>
              <w:rPr>
                <w:rFonts w:hint="default" w:ascii="方正仿宋_GB2312" w:hAnsi="仿宋" w:eastAsia="方正仿宋_GB2312" w:cs="宋体"/>
                <w:color w:val="auto"/>
                <w:kern w:val="0"/>
                <w:sz w:val="18"/>
                <w:szCs w:val="18"/>
                <w:highlight w:val="none"/>
              </w:rPr>
            </w:pPr>
            <w:r>
              <w:rPr>
                <w:rFonts w:hint="eastAsia" w:ascii="方正仿宋_GB2312" w:hAnsi="仿宋" w:eastAsia="方正仿宋_GB2312" w:cs="宋体"/>
                <w:color w:val="auto"/>
                <w:kern w:val="0"/>
                <w:sz w:val="18"/>
                <w:szCs w:val="18"/>
                <w:highlight w:val="none"/>
              </w:rPr>
              <w:t>从业人员（X）</w:t>
            </w:r>
          </w:p>
        </w:tc>
        <w:tc>
          <w:tcPr>
            <w:tcW w:w="913" w:type="dxa"/>
            <w:tcBorders>
              <w:top w:val="nil"/>
              <w:left w:val="nil"/>
              <w:bottom w:val="single" w:color="auto" w:sz="4" w:space="0"/>
              <w:right w:val="single" w:color="auto" w:sz="4" w:space="0"/>
            </w:tcBorders>
            <w:vAlign w:val="center"/>
          </w:tcPr>
          <w:p w14:paraId="4C4D0DF3">
            <w:pPr>
              <w:keepNext w:val="0"/>
              <w:keepLines w:val="0"/>
              <w:widowControl/>
              <w:suppressLineNumbers w:val="0"/>
              <w:spacing w:before="0" w:beforeAutospacing="0" w:after="0" w:afterAutospacing="0"/>
              <w:ind w:left="0" w:right="0"/>
              <w:jc w:val="left"/>
              <w:rPr>
                <w:rFonts w:hint="default" w:ascii="方正仿宋_GB2312" w:hAnsi="仿宋" w:eastAsia="方正仿宋_GB2312" w:cs="宋体"/>
                <w:color w:val="auto"/>
                <w:kern w:val="0"/>
                <w:sz w:val="18"/>
                <w:szCs w:val="18"/>
                <w:highlight w:val="none"/>
              </w:rPr>
            </w:pPr>
            <w:r>
              <w:rPr>
                <w:rFonts w:hint="eastAsia" w:ascii="方正仿宋_GB2312" w:hAnsi="仿宋" w:eastAsia="方正仿宋_GB2312" w:cs="宋体"/>
                <w:color w:val="auto"/>
                <w:kern w:val="0"/>
                <w:sz w:val="18"/>
                <w:szCs w:val="18"/>
                <w:highlight w:val="none"/>
              </w:rPr>
              <w:t>人</w:t>
            </w:r>
          </w:p>
        </w:tc>
        <w:tc>
          <w:tcPr>
            <w:tcW w:w="1619" w:type="dxa"/>
            <w:tcBorders>
              <w:top w:val="nil"/>
              <w:left w:val="nil"/>
              <w:bottom w:val="single" w:color="auto" w:sz="4" w:space="0"/>
              <w:right w:val="single" w:color="auto" w:sz="4" w:space="0"/>
            </w:tcBorders>
            <w:vAlign w:val="center"/>
          </w:tcPr>
          <w:p w14:paraId="70CB7B87">
            <w:pPr>
              <w:keepNext w:val="0"/>
              <w:keepLines w:val="0"/>
              <w:widowControl/>
              <w:suppressLineNumbers w:val="0"/>
              <w:spacing w:before="0" w:beforeAutospacing="0" w:after="0" w:afterAutospacing="0"/>
              <w:ind w:left="0" w:right="0"/>
              <w:jc w:val="left"/>
              <w:rPr>
                <w:rFonts w:hint="default" w:ascii="方正仿宋_GB2312" w:hAnsi="仿宋" w:eastAsia="方正仿宋_GB2312" w:cs="宋体"/>
                <w:color w:val="auto"/>
                <w:kern w:val="0"/>
                <w:sz w:val="18"/>
                <w:szCs w:val="18"/>
                <w:highlight w:val="none"/>
              </w:rPr>
            </w:pPr>
            <w:r>
              <w:rPr>
                <w:rFonts w:hint="eastAsia" w:ascii="方正仿宋_GB2312" w:hAnsi="仿宋" w:eastAsia="方正仿宋_GB2312" w:cs="宋体"/>
                <w:color w:val="auto"/>
                <w:kern w:val="0"/>
                <w:sz w:val="18"/>
                <w:szCs w:val="18"/>
                <w:highlight w:val="none"/>
              </w:rPr>
              <w:t>100≤X＜300</w:t>
            </w:r>
          </w:p>
        </w:tc>
        <w:tc>
          <w:tcPr>
            <w:tcW w:w="1439" w:type="dxa"/>
            <w:tcBorders>
              <w:top w:val="nil"/>
              <w:left w:val="nil"/>
              <w:bottom w:val="single" w:color="auto" w:sz="4" w:space="0"/>
              <w:right w:val="single" w:color="auto" w:sz="4" w:space="0"/>
            </w:tcBorders>
            <w:vAlign w:val="center"/>
          </w:tcPr>
          <w:p w14:paraId="5F524CCA">
            <w:pPr>
              <w:keepNext w:val="0"/>
              <w:keepLines w:val="0"/>
              <w:widowControl/>
              <w:suppressLineNumbers w:val="0"/>
              <w:spacing w:before="0" w:beforeAutospacing="0" w:after="0" w:afterAutospacing="0"/>
              <w:ind w:left="0" w:right="0"/>
              <w:jc w:val="left"/>
              <w:rPr>
                <w:rFonts w:hint="default" w:ascii="方正仿宋_GB2312" w:hAnsi="仿宋" w:eastAsia="方正仿宋_GB2312" w:cs="宋体"/>
                <w:color w:val="auto"/>
                <w:kern w:val="0"/>
                <w:sz w:val="18"/>
                <w:szCs w:val="18"/>
                <w:highlight w:val="none"/>
              </w:rPr>
            </w:pPr>
            <w:r>
              <w:rPr>
                <w:rFonts w:hint="eastAsia" w:ascii="方正仿宋_GB2312" w:hAnsi="仿宋" w:eastAsia="方正仿宋_GB2312" w:cs="宋体"/>
                <w:color w:val="auto"/>
                <w:kern w:val="0"/>
                <w:sz w:val="18"/>
                <w:szCs w:val="18"/>
                <w:highlight w:val="none"/>
              </w:rPr>
              <w:t>10≤X＜100</w:t>
            </w:r>
          </w:p>
        </w:tc>
        <w:tc>
          <w:tcPr>
            <w:tcW w:w="2022" w:type="dxa"/>
            <w:tcBorders>
              <w:top w:val="nil"/>
              <w:left w:val="nil"/>
              <w:bottom w:val="single" w:color="auto" w:sz="4" w:space="0"/>
              <w:right w:val="single" w:color="auto" w:sz="4" w:space="0"/>
            </w:tcBorders>
            <w:vAlign w:val="center"/>
          </w:tcPr>
          <w:p w14:paraId="50D770EA">
            <w:pPr>
              <w:keepNext w:val="0"/>
              <w:keepLines w:val="0"/>
              <w:widowControl/>
              <w:suppressLineNumbers w:val="0"/>
              <w:spacing w:before="0" w:beforeAutospacing="0" w:after="0" w:afterAutospacing="0"/>
              <w:ind w:left="0" w:right="0"/>
              <w:jc w:val="left"/>
              <w:rPr>
                <w:rFonts w:hint="default" w:ascii="方正仿宋_GB2312" w:hAnsi="仿宋" w:eastAsia="方正仿宋_GB2312" w:cs="宋体"/>
                <w:color w:val="auto"/>
                <w:kern w:val="0"/>
                <w:sz w:val="18"/>
                <w:szCs w:val="18"/>
                <w:highlight w:val="none"/>
              </w:rPr>
            </w:pPr>
            <w:r>
              <w:rPr>
                <w:rFonts w:hint="eastAsia" w:ascii="方正仿宋_GB2312" w:hAnsi="仿宋" w:eastAsia="方正仿宋_GB2312" w:cs="宋体"/>
                <w:color w:val="auto"/>
                <w:kern w:val="0"/>
                <w:sz w:val="18"/>
                <w:szCs w:val="18"/>
                <w:highlight w:val="none"/>
              </w:rPr>
              <w:t>X＜10</w:t>
            </w:r>
          </w:p>
        </w:tc>
      </w:tr>
      <w:tr w14:paraId="3239ED3C">
        <w:tblPrEx>
          <w:tblCellMar>
            <w:top w:w="0" w:type="dxa"/>
            <w:left w:w="108" w:type="dxa"/>
            <w:bottom w:w="0" w:type="dxa"/>
            <w:right w:w="108" w:type="dxa"/>
          </w:tblCellMar>
        </w:tblPrEx>
        <w:trPr>
          <w:trHeight w:val="225" w:hRule="atLeast"/>
        </w:trPr>
        <w:tc>
          <w:tcPr>
            <w:tcW w:w="1701" w:type="dxa"/>
            <w:vMerge w:val="continue"/>
            <w:tcBorders>
              <w:top w:val="nil"/>
              <w:left w:val="single" w:color="auto" w:sz="4" w:space="0"/>
              <w:bottom w:val="single" w:color="auto" w:sz="4" w:space="0"/>
              <w:right w:val="single" w:color="auto" w:sz="4" w:space="0"/>
            </w:tcBorders>
            <w:vAlign w:val="center"/>
          </w:tcPr>
          <w:p w14:paraId="15B536AB">
            <w:pPr>
              <w:keepNext w:val="0"/>
              <w:keepLines w:val="0"/>
              <w:widowControl/>
              <w:suppressLineNumbers w:val="0"/>
              <w:spacing w:before="0" w:beforeAutospacing="0" w:after="0" w:afterAutospacing="0"/>
              <w:ind w:left="0" w:right="0"/>
              <w:jc w:val="left"/>
              <w:rPr>
                <w:rFonts w:hint="default" w:ascii="方正仿宋_GB2312" w:hAnsi="仿宋" w:eastAsia="方正仿宋_GB2312" w:cs="宋体"/>
                <w:b/>
                <w:bCs/>
                <w:color w:val="auto"/>
                <w:kern w:val="0"/>
                <w:sz w:val="18"/>
                <w:szCs w:val="18"/>
                <w:highlight w:val="none"/>
              </w:rPr>
            </w:pPr>
          </w:p>
        </w:tc>
        <w:tc>
          <w:tcPr>
            <w:tcW w:w="1383" w:type="dxa"/>
            <w:tcBorders>
              <w:top w:val="nil"/>
              <w:left w:val="nil"/>
              <w:bottom w:val="single" w:color="auto" w:sz="4" w:space="0"/>
              <w:right w:val="single" w:color="auto" w:sz="4" w:space="0"/>
            </w:tcBorders>
            <w:vAlign w:val="center"/>
          </w:tcPr>
          <w:p w14:paraId="0165C859">
            <w:pPr>
              <w:keepNext w:val="0"/>
              <w:keepLines w:val="0"/>
              <w:widowControl/>
              <w:suppressLineNumbers w:val="0"/>
              <w:spacing w:before="0" w:beforeAutospacing="0" w:after="0" w:afterAutospacing="0"/>
              <w:ind w:left="0" w:right="0"/>
              <w:jc w:val="left"/>
              <w:rPr>
                <w:rFonts w:hint="default" w:ascii="方正仿宋_GB2312" w:hAnsi="仿宋" w:eastAsia="方正仿宋_GB2312" w:cs="宋体"/>
                <w:color w:val="auto"/>
                <w:kern w:val="0"/>
                <w:sz w:val="18"/>
                <w:szCs w:val="18"/>
                <w:highlight w:val="none"/>
              </w:rPr>
            </w:pPr>
            <w:r>
              <w:rPr>
                <w:rFonts w:hint="eastAsia" w:ascii="方正仿宋_GB2312" w:hAnsi="仿宋" w:eastAsia="方正仿宋_GB2312" w:cs="宋体"/>
                <w:color w:val="auto"/>
                <w:kern w:val="0"/>
                <w:sz w:val="18"/>
                <w:szCs w:val="18"/>
                <w:highlight w:val="none"/>
              </w:rPr>
              <w:t>营业收入（Y）</w:t>
            </w:r>
          </w:p>
        </w:tc>
        <w:tc>
          <w:tcPr>
            <w:tcW w:w="913" w:type="dxa"/>
            <w:tcBorders>
              <w:top w:val="nil"/>
              <w:left w:val="nil"/>
              <w:bottom w:val="single" w:color="auto" w:sz="4" w:space="0"/>
              <w:right w:val="single" w:color="auto" w:sz="4" w:space="0"/>
            </w:tcBorders>
            <w:vAlign w:val="center"/>
          </w:tcPr>
          <w:p w14:paraId="1F55ABBD">
            <w:pPr>
              <w:keepNext w:val="0"/>
              <w:keepLines w:val="0"/>
              <w:widowControl/>
              <w:suppressLineNumbers w:val="0"/>
              <w:spacing w:before="0" w:beforeAutospacing="0" w:after="0" w:afterAutospacing="0"/>
              <w:ind w:left="0" w:right="0"/>
              <w:jc w:val="left"/>
              <w:rPr>
                <w:rFonts w:hint="default" w:ascii="方正仿宋_GB2312" w:hAnsi="仿宋" w:eastAsia="方正仿宋_GB2312" w:cs="宋体"/>
                <w:color w:val="auto"/>
                <w:kern w:val="0"/>
                <w:sz w:val="18"/>
                <w:szCs w:val="18"/>
                <w:highlight w:val="none"/>
              </w:rPr>
            </w:pPr>
            <w:r>
              <w:rPr>
                <w:rFonts w:hint="eastAsia" w:ascii="方正仿宋_GB2312" w:hAnsi="仿宋" w:eastAsia="方正仿宋_GB2312" w:cs="宋体"/>
                <w:color w:val="auto"/>
                <w:kern w:val="0"/>
                <w:sz w:val="18"/>
                <w:szCs w:val="18"/>
                <w:highlight w:val="none"/>
              </w:rPr>
              <w:t>万元</w:t>
            </w:r>
          </w:p>
        </w:tc>
        <w:tc>
          <w:tcPr>
            <w:tcW w:w="1619" w:type="dxa"/>
            <w:tcBorders>
              <w:top w:val="nil"/>
              <w:left w:val="nil"/>
              <w:bottom w:val="single" w:color="auto" w:sz="4" w:space="0"/>
              <w:right w:val="single" w:color="auto" w:sz="4" w:space="0"/>
            </w:tcBorders>
            <w:vAlign w:val="center"/>
          </w:tcPr>
          <w:p w14:paraId="2644D7B4">
            <w:pPr>
              <w:keepNext w:val="0"/>
              <w:keepLines w:val="0"/>
              <w:widowControl/>
              <w:suppressLineNumbers w:val="0"/>
              <w:spacing w:before="0" w:beforeAutospacing="0" w:after="0" w:afterAutospacing="0"/>
              <w:ind w:left="0" w:right="0"/>
              <w:jc w:val="left"/>
              <w:rPr>
                <w:rFonts w:hint="default" w:ascii="方正仿宋_GB2312" w:hAnsi="仿宋" w:eastAsia="方正仿宋_GB2312" w:cs="宋体"/>
                <w:color w:val="auto"/>
                <w:kern w:val="0"/>
                <w:sz w:val="18"/>
                <w:szCs w:val="18"/>
                <w:highlight w:val="none"/>
              </w:rPr>
            </w:pPr>
            <w:r>
              <w:rPr>
                <w:rFonts w:hint="eastAsia" w:ascii="方正仿宋_GB2312" w:hAnsi="仿宋" w:eastAsia="方正仿宋_GB2312" w:cs="宋体"/>
                <w:color w:val="auto"/>
                <w:kern w:val="0"/>
                <w:sz w:val="18"/>
                <w:szCs w:val="18"/>
                <w:highlight w:val="none"/>
              </w:rPr>
              <w:t>2000≤Y＜10000</w:t>
            </w:r>
          </w:p>
        </w:tc>
        <w:tc>
          <w:tcPr>
            <w:tcW w:w="1439" w:type="dxa"/>
            <w:tcBorders>
              <w:top w:val="nil"/>
              <w:left w:val="nil"/>
              <w:bottom w:val="single" w:color="auto" w:sz="4" w:space="0"/>
              <w:right w:val="single" w:color="auto" w:sz="4" w:space="0"/>
            </w:tcBorders>
            <w:vAlign w:val="center"/>
          </w:tcPr>
          <w:p w14:paraId="12BE2B0D">
            <w:pPr>
              <w:keepNext w:val="0"/>
              <w:keepLines w:val="0"/>
              <w:widowControl/>
              <w:suppressLineNumbers w:val="0"/>
              <w:spacing w:before="0" w:beforeAutospacing="0" w:after="0" w:afterAutospacing="0"/>
              <w:ind w:left="0" w:right="0"/>
              <w:jc w:val="left"/>
              <w:rPr>
                <w:rFonts w:hint="default" w:ascii="方正仿宋_GB2312" w:hAnsi="仿宋" w:eastAsia="方正仿宋_GB2312" w:cs="宋体"/>
                <w:color w:val="auto"/>
                <w:kern w:val="0"/>
                <w:sz w:val="18"/>
                <w:szCs w:val="18"/>
                <w:highlight w:val="none"/>
              </w:rPr>
            </w:pPr>
            <w:r>
              <w:rPr>
                <w:rFonts w:hint="eastAsia" w:ascii="方正仿宋_GB2312" w:hAnsi="仿宋" w:eastAsia="方正仿宋_GB2312" w:cs="宋体"/>
                <w:color w:val="auto"/>
                <w:kern w:val="0"/>
                <w:sz w:val="18"/>
                <w:szCs w:val="18"/>
                <w:highlight w:val="none"/>
              </w:rPr>
              <w:t>100≤Y＜2000</w:t>
            </w:r>
          </w:p>
        </w:tc>
        <w:tc>
          <w:tcPr>
            <w:tcW w:w="2022" w:type="dxa"/>
            <w:tcBorders>
              <w:top w:val="nil"/>
              <w:left w:val="nil"/>
              <w:bottom w:val="single" w:color="auto" w:sz="4" w:space="0"/>
              <w:right w:val="single" w:color="auto" w:sz="4" w:space="0"/>
            </w:tcBorders>
            <w:vAlign w:val="center"/>
          </w:tcPr>
          <w:p w14:paraId="1CAFEAAD">
            <w:pPr>
              <w:keepNext w:val="0"/>
              <w:keepLines w:val="0"/>
              <w:widowControl/>
              <w:suppressLineNumbers w:val="0"/>
              <w:spacing w:before="0" w:beforeAutospacing="0" w:after="0" w:afterAutospacing="0"/>
              <w:ind w:left="0" w:right="0"/>
              <w:jc w:val="left"/>
              <w:rPr>
                <w:rFonts w:hint="default" w:ascii="方正仿宋_GB2312" w:hAnsi="仿宋" w:eastAsia="方正仿宋_GB2312" w:cs="宋体"/>
                <w:color w:val="auto"/>
                <w:kern w:val="0"/>
                <w:sz w:val="18"/>
                <w:szCs w:val="18"/>
                <w:highlight w:val="none"/>
              </w:rPr>
            </w:pPr>
            <w:r>
              <w:rPr>
                <w:rFonts w:hint="eastAsia" w:ascii="方正仿宋_GB2312" w:hAnsi="仿宋" w:eastAsia="方正仿宋_GB2312" w:cs="宋体"/>
                <w:color w:val="auto"/>
                <w:kern w:val="0"/>
                <w:sz w:val="18"/>
                <w:szCs w:val="18"/>
                <w:highlight w:val="none"/>
              </w:rPr>
              <w:t>Y＜100</w:t>
            </w:r>
          </w:p>
        </w:tc>
      </w:tr>
      <w:tr w14:paraId="4A364885">
        <w:tblPrEx>
          <w:tblCellMar>
            <w:top w:w="0" w:type="dxa"/>
            <w:left w:w="108" w:type="dxa"/>
            <w:bottom w:w="0" w:type="dxa"/>
            <w:right w:w="108" w:type="dxa"/>
          </w:tblCellMar>
        </w:tblPrEx>
        <w:trPr>
          <w:trHeight w:val="225" w:hRule="atLeast"/>
        </w:trPr>
        <w:tc>
          <w:tcPr>
            <w:tcW w:w="1701" w:type="dxa"/>
            <w:vMerge w:val="restart"/>
            <w:tcBorders>
              <w:top w:val="nil"/>
              <w:left w:val="single" w:color="auto" w:sz="4" w:space="0"/>
              <w:bottom w:val="single" w:color="auto" w:sz="4" w:space="0"/>
              <w:right w:val="single" w:color="auto" w:sz="4" w:space="0"/>
            </w:tcBorders>
            <w:vAlign w:val="bottom"/>
          </w:tcPr>
          <w:p w14:paraId="3313598F">
            <w:pPr>
              <w:keepNext w:val="0"/>
              <w:keepLines w:val="0"/>
              <w:widowControl/>
              <w:suppressLineNumbers w:val="0"/>
              <w:spacing w:before="0" w:beforeAutospacing="0" w:after="0" w:afterAutospacing="0"/>
              <w:ind w:left="0" w:right="0"/>
              <w:jc w:val="center"/>
              <w:rPr>
                <w:rFonts w:hint="default" w:ascii="方正仿宋_GB2312" w:hAnsi="仿宋" w:eastAsia="方正仿宋_GB2312" w:cs="宋体"/>
                <w:b/>
                <w:bCs/>
                <w:color w:val="auto"/>
                <w:kern w:val="0"/>
                <w:sz w:val="18"/>
                <w:szCs w:val="18"/>
                <w:highlight w:val="none"/>
              </w:rPr>
            </w:pPr>
            <w:r>
              <w:rPr>
                <w:rFonts w:hint="eastAsia" w:ascii="方正仿宋_GB2312" w:hAnsi="仿宋" w:eastAsia="方正仿宋_GB2312" w:cs="宋体"/>
                <w:b/>
                <w:bCs/>
                <w:color w:val="auto"/>
                <w:kern w:val="0"/>
                <w:sz w:val="18"/>
                <w:szCs w:val="18"/>
                <w:highlight w:val="none"/>
              </w:rPr>
              <w:t>信息传输业</w:t>
            </w:r>
          </w:p>
        </w:tc>
        <w:tc>
          <w:tcPr>
            <w:tcW w:w="1383" w:type="dxa"/>
            <w:tcBorders>
              <w:top w:val="nil"/>
              <w:left w:val="nil"/>
              <w:bottom w:val="single" w:color="auto" w:sz="4" w:space="0"/>
              <w:right w:val="single" w:color="auto" w:sz="4" w:space="0"/>
            </w:tcBorders>
            <w:vAlign w:val="center"/>
          </w:tcPr>
          <w:p w14:paraId="3C49FF21">
            <w:pPr>
              <w:keepNext w:val="0"/>
              <w:keepLines w:val="0"/>
              <w:widowControl/>
              <w:suppressLineNumbers w:val="0"/>
              <w:spacing w:before="0" w:beforeAutospacing="0" w:after="0" w:afterAutospacing="0"/>
              <w:ind w:left="0" w:right="0"/>
              <w:jc w:val="left"/>
              <w:rPr>
                <w:rFonts w:hint="default" w:ascii="方正仿宋_GB2312" w:hAnsi="仿宋" w:eastAsia="方正仿宋_GB2312" w:cs="宋体"/>
                <w:color w:val="auto"/>
                <w:kern w:val="0"/>
                <w:sz w:val="18"/>
                <w:szCs w:val="18"/>
                <w:highlight w:val="none"/>
              </w:rPr>
            </w:pPr>
            <w:r>
              <w:rPr>
                <w:rFonts w:hint="eastAsia" w:ascii="方正仿宋_GB2312" w:hAnsi="仿宋" w:eastAsia="方正仿宋_GB2312" w:cs="宋体"/>
                <w:color w:val="auto"/>
                <w:kern w:val="0"/>
                <w:sz w:val="18"/>
                <w:szCs w:val="18"/>
                <w:highlight w:val="none"/>
              </w:rPr>
              <w:t>从业人员（X）</w:t>
            </w:r>
          </w:p>
        </w:tc>
        <w:tc>
          <w:tcPr>
            <w:tcW w:w="913" w:type="dxa"/>
            <w:tcBorders>
              <w:top w:val="nil"/>
              <w:left w:val="nil"/>
              <w:bottom w:val="single" w:color="auto" w:sz="4" w:space="0"/>
              <w:right w:val="single" w:color="auto" w:sz="4" w:space="0"/>
            </w:tcBorders>
            <w:vAlign w:val="center"/>
          </w:tcPr>
          <w:p w14:paraId="5A2C06BF">
            <w:pPr>
              <w:keepNext w:val="0"/>
              <w:keepLines w:val="0"/>
              <w:widowControl/>
              <w:suppressLineNumbers w:val="0"/>
              <w:spacing w:before="0" w:beforeAutospacing="0" w:after="0" w:afterAutospacing="0"/>
              <w:ind w:left="0" w:right="0"/>
              <w:jc w:val="left"/>
              <w:rPr>
                <w:rFonts w:hint="default" w:ascii="方正仿宋_GB2312" w:hAnsi="仿宋" w:eastAsia="方正仿宋_GB2312" w:cs="宋体"/>
                <w:color w:val="auto"/>
                <w:kern w:val="0"/>
                <w:sz w:val="18"/>
                <w:szCs w:val="18"/>
                <w:highlight w:val="none"/>
              </w:rPr>
            </w:pPr>
            <w:r>
              <w:rPr>
                <w:rFonts w:hint="eastAsia" w:ascii="方正仿宋_GB2312" w:hAnsi="仿宋" w:eastAsia="方正仿宋_GB2312" w:cs="宋体"/>
                <w:color w:val="auto"/>
                <w:kern w:val="0"/>
                <w:sz w:val="18"/>
                <w:szCs w:val="18"/>
                <w:highlight w:val="none"/>
              </w:rPr>
              <w:t>人</w:t>
            </w:r>
          </w:p>
        </w:tc>
        <w:tc>
          <w:tcPr>
            <w:tcW w:w="1619" w:type="dxa"/>
            <w:tcBorders>
              <w:top w:val="nil"/>
              <w:left w:val="nil"/>
              <w:bottom w:val="single" w:color="auto" w:sz="4" w:space="0"/>
              <w:right w:val="single" w:color="auto" w:sz="4" w:space="0"/>
            </w:tcBorders>
            <w:vAlign w:val="center"/>
          </w:tcPr>
          <w:p w14:paraId="51DB1313">
            <w:pPr>
              <w:keepNext w:val="0"/>
              <w:keepLines w:val="0"/>
              <w:widowControl/>
              <w:suppressLineNumbers w:val="0"/>
              <w:spacing w:before="0" w:beforeAutospacing="0" w:after="0" w:afterAutospacing="0"/>
              <w:ind w:left="0" w:right="0"/>
              <w:jc w:val="left"/>
              <w:rPr>
                <w:rFonts w:hint="default" w:ascii="方正仿宋_GB2312" w:hAnsi="仿宋" w:eastAsia="方正仿宋_GB2312" w:cs="宋体"/>
                <w:color w:val="auto"/>
                <w:kern w:val="0"/>
                <w:sz w:val="18"/>
                <w:szCs w:val="18"/>
                <w:highlight w:val="none"/>
              </w:rPr>
            </w:pPr>
            <w:r>
              <w:rPr>
                <w:rFonts w:hint="eastAsia" w:ascii="方正仿宋_GB2312" w:hAnsi="仿宋" w:eastAsia="方正仿宋_GB2312" w:cs="宋体"/>
                <w:color w:val="auto"/>
                <w:kern w:val="0"/>
                <w:sz w:val="18"/>
                <w:szCs w:val="18"/>
                <w:highlight w:val="none"/>
              </w:rPr>
              <w:t>100≤X＜2000</w:t>
            </w:r>
          </w:p>
        </w:tc>
        <w:tc>
          <w:tcPr>
            <w:tcW w:w="1439" w:type="dxa"/>
            <w:tcBorders>
              <w:top w:val="nil"/>
              <w:left w:val="nil"/>
              <w:bottom w:val="single" w:color="auto" w:sz="4" w:space="0"/>
              <w:right w:val="single" w:color="auto" w:sz="4" w:space="0"/>
            </w:tcBorders>
            <w:vAlign w:val="center"/>
          </w:tcPr>
          <w:p w14:paraId="1B5470BC">
            <w:pPr>
              <w:keepNext w:val="0"/>
              <w:keepLines w:val="0"/>
              <w:widowControl/>
              <w:suppressLineNumbers w:val="0"/>
              <w:spacing w:before="0" w:beforeAutospacing="0" w:after="0" w:afterAutospacing="0"/>
              <w:ind w:left="0" w:right="0"/>
              <w:jc w:val="left"/>
              <w:rPr>
                <w:rFonts w:hint="default" w:ascii="方正仿宋_GB2312" w:hAnsi="仿宋" w:eastAsia="方正仿宋_GB2312" w:cs="宋体"/>
                <w:color w:val="auto"/>
                <w:kern w:val="0"/>
                <w:sz w:val="18"/>
                <w:szCs w:val="18"/>
                <w:highlight w:val="none"/>
              </w:rPr>
            </w:pPr>
            <w:r>
              <w:rPr>
                <w:rFonts w:hint="eastAsia" w:ascii="方正仿宋_GB2312" w:hAnsi="仿宋" w:eastAsia="方正仿宋_GB2312" w:cs="宋体"/>
                <w:color w:val="auto"/>
                <w:kern w:val="0"/>
                <w:sz w:val="18"/>
                <w:szCs w:val="18"/>
                <w:highlight w:val="none"/>
              </w:rPr>
              <w:t>10≤X＜100</w:t>
            </w:r>
          </w:p>
        </w:tc>
        <w:tc>
          <w:tcPr>
            <w:tcW w:w="2022" w:type="dxa"/>
            <w:tcBorders>
              <w:top w:val="nil"/>
              <w:left w:val="nil"/>
              <w:bottom w:val="single" w:color="auto" w:sz="4" w:space="0"/>
              <w:right w:val="single" w:color="auto" w:sz="4" w:space="0"/>
            </w:tcBorders>
            <w:vAlign w:val="center"/>
          </w:tcPr>
          <w:p w14:paraId="13A08891">
            <w:pPr>
              <w:keepNext w:val="0"/>
              <w:keepLines w:val="0"/>
              <w:widowControl/>
              <w:suppressLineNumbers w:val="0"/>
              <w:spacing w:before="0" w:beforeAutospacing="0" w:after="0" w:afterAutospacing="0"/>
              <w:ind w:left="0" w:right="0"/>
              <w:jc w:val="left"/>
              <w:rPr>
                <w:rFonts w:hint="default" w:ascii="方正仿宋_GB2312" w:hAnsi="仿宋" w:eastAsia="方正仿宋_GB2312" w:cs="宋体"/>
                <w:color w:val="auto"/>
                <w:kern w:val="0"/>
                <w:sz w:val="18"/>
                <w:szCs w:val="18"/>
                <w:highlight w:val="none"/>
              </w:rPr>
            </w:pPr>
            <w:r>
              <w:rPr>
                <w:rFonts w:hint="eastAsia" w:ascii="方正仿宋_GB2312" w:hAnsi="仿宋" w:eastAsia="方正仿宋_GB2312" w:cs="宋体"/>
                <w:color w:val="auto"/>
                <w:kern w:val="0"/>
                <w:sz w:val="18"/>
                <w:szCs w:val="18"/>
                <w:highlight w:val="none"/>
              </w:rPr>
              <w:t>X＜10</w:t>
            </w:r>
          </w:p>
        </w:tc>
      </w:tr>
      <w:tr w14:paraId="36DF480C">
        <w:tblPrEx>
          <w:tblCellMar>
            <w:top w:w="0" w:type="dxa"/>
            <w:left w:w="108" w:type="dxa"/>
            <w:bottom w:w="0" w:type="dxa"/>
            <w:right w:w="108" w:type="dxa"/>
          </w:tblCellMar>
        </w:tblPrEx>
        <w:trPr>
          <w:trHeight w:val="225" w:hRule="atLeast"/>
        </w:trPr>
        <w:tc>
          <w:tcPr>
            <w:tcW w:w="1701" w:type="dxa"/>
            <w:vMerge w:val="continue"/>
            <w:tcBorders>
              <w:top w:val="nil"/>
              <w:left w:val="single" w:color="auto" w:sz="4" w:space="0"/>
              <w:bottom w:val="single" w:color="auto" w:sz="4" w:space="0"/>
              <w:right w:val="single" w:color="auto" w:sz="4" w:space="0"/>
            </w:tcBorders>
            <w:vAlign w:val="center"/>
          </w:tcPr>
          <w:p w14:paraId="4B0E191C">
            <w:pPr>
              <w:keepNext w:val="0"/>
              <w:keepLines w:val="0"/>
              <w:widowControl/>
              <w:suppressLineNumbers w:val="0"/>
              <w:spacing w:before="0" w:beforeAutospacing="0" w:after="0" w:afterAutospacing="0"/>
              <w:ind w:left="0" w:right="0"/>
              <w:jc w:val="left"/>
              <w:rPr>
                <w:rFonts w:hint="default" w:ascii="方正仿宋_GB2312" w:hAnsi="仿宋" w:eastAsia="方正仿宋_GB2312" w:cs="宋体"/>
                <w:b/>
                <w:bCs/>
                <w:color w:val="auto"/>
                <w:kern w:val="0"/>
                <w:sz w:val="18"/>
                <w:szCs w:val="18"/>
                <w:highlight w:val="none"/>
              </w:rPr>
            </w:pPr>
          </w:p>
        </w:tc>
        <w:tc>
          <w:tcPr>
            <w:tcW w:w="1383" w:type="dxa"/>
            <w:tcBorders>
              <w:top w:val="nil"/>
              <w:left w:val="nil"/>
              <w:bottom w:val="single" w:color="auto" w:sz="4" w:space="0"/>
              <w:right w:val="single" w:color="auto" w:sz="4" w:space="0"/>
            </w:tcBorders>
            <w:vAlign w:val="center"/>
          </w:tcPr>
          <w:p w14:paraId="7CB86209">
            <w:pPr>
              <w:keepNext w:val="0"/>
              <w:keepLines w:val="0"/>
              <w:widowControl/>
              <w:suppressLineNumbers w:val="0"/>
              <w:spacing w:before="0" w:beforeAutospacing="0" w:after="0" w:afterAutospacing="0"/>
              <w:ind w:left="0" w:right="0"/>
              <w:jc w:val="left"/>
              <w:rPr>
                <w:rFonts w:hint="default" w:ascii="方正仿宋_GB2312" w:hAnsi="仿宋" w:eastAsia="方正仿宋_GB2312" w:cs="宋体"/>
                <w:color w:val="auto"/>
                <w:kern w:val="0"/>
                <w:sz w:val="18"/>
                <w:szCs w:val="18"/>
                <w:highlight w:val="none"/>
              </w:rPr>
            </w:pPr>
            <w:r>
              <w:rPr>
                <w:rFonts w:hint="eastAsia" w:ascii="方正仿宋_GB2312" w:hAnsi="仿宋" w:eastAsia="方正仿宋_GB2312" w:cs="宋体"/>
                <w:color w:val="auto"/>
                <w:kern w:val="0"/>
                <w:sz w:val="18"/>
                <w:szCs w:val="18"/>
                <w:highlight w:val="none"/>
              </w:rPr>
              <w:t>营业收入（Y）</w:t>
            </w:r>
          </w:p>
        </w:tc>
        <w:tc>
          <w:tcPr>
            <w:tcW w:w="913" w:type="dxa"/>
            <w:tcBorders>
              <w:top w:val="nil"/>
              <w:left w:val="nil"/>
              <w:bottom w:val="single" w:color="auto" w:sz="4" w:space="0"/>
              <w:right w:val="single" w:color="auto" w:sz="4" w:space="0"/>
            </w:tcBorders>
            <w:vAlign w:val="center"/>
          </w:tcPr>
          <w:p w14:paraId="32108A17">
            <w:pPr>
              <w:keepNext w:val="0"/>
              <w:keepLines w:val="0"/>
              <w:widowControl/>
              <w:suppressLineNumbers w:val="0"/>
              <w:spacing w:before="0" w:beforeAutospacing="0" w:after="0" w:afterAutospacing="0"/>
              <w:ind w:left="0" w:right="0"/>
              <w:jc w:val="left"/>
              <w:rPr>
                <w:rFonts w:hint="default" w:ascii="方正仿宋_GB2312" w:hAnsi="仿宋" w:eastAsia="方正仿宋_GB2312" w:cs="宋体"/>
                <w:color w:val="auto"/>
                <w:kern w:val="0"/>
                <w:sz w:val="18"/>
                <w:szCs w:val="18"/>
                <w:highlight w:val="none"/>
              </w:rPr>
            </w:pPr>
            <w:r>
              <w:rPr>
                <w:rFonts w:hint="eastAsia" w:ascii="方正仿宋_GB2312" w:hAnsi="仿宋" w:eastAsia="方正仿宋_GB2312" w:cs="宋体"/>
                <w:color w:val="auto"/>
                <w:kern w:val="0"/>
                <w:sz w:val="18"/>
                <w:szCs w:val="18"/>
                <w:highlight w:val="none"/>
              </w:rPr>
              <w:t>万元</w:t>
            </w:r>
          </w:p>
        </w:tc>
        <w:tc>
          <w:tcPr>
            <w:tcW w:w="1619" w:type="dxa"/>
            <w:tcBorders>
              <w:top w:val="nil"/>
              <w:left w:val="nil"/>
              <w:bottom w:val="single" w:color="auto" w:sz="4" w:space="0"/>
              <w:right w:val="single" w:color="auto" w:sz="4" w:space="0"/>
            </w:tcBorders>
            <w:vAlign w:val="center"/>
          </w:tcPr>
          <w:p w14:paraId="2ED1939D">
            <w:pPr>
              <w:keepNext w:val="0"/>
              <w:keepLines w:val="0"/>
              <w:widowControl/>
              <w:suppressLineNumbers w:val="0"/>
              <w:spacing w:before="0" w:beforeAutospacing="0" w:after="0" w:afterAutospacing="0"/>
              <w:ind w:left="0" w:right="0"/>
              <w:jc w:val="left"/>
              <w:rPr>
                <w:rFonts w:hint="default" w:ascii="方正仿宋_GB2312" w:hAnsi="仿宋" w:eastAsia="方正仿宋_GB2312" w:cs="宋体"/>
                <w:color w:val="auto"/>
                <w:kern w:val="0"/>
                <w:sz w:val="18"/>
                <w:szCs w:val="18"/>
                <w:highlight w:val="none"/>
              </w:rPr>
            </w:pPr>
            <w:r>
              <w:rPr>
                <w:rFonts w:hint="eastAsia" w:ascii="方正仿宋_GB2312" w:hAnsi="仿宋" w:eastAsia="方正仿宋_GB2312" w:cs="宋体"/>
                <w:color w:val="auto"/>
                <w:kern w:val="0"/>
                <w:sz w:val="18"/>
                <w:szCs w:val="18"/>
                <w:highlight w:val="none"/>
              </w:rPr>
              <w:t>1000≤Y＜100000</w:t>
            </w:r>
          </w:p>
        </w:tc>
        <w:tc>
          <w:tcPr>
            <w:tcW w:w="1439" w:type="dxa"/>
            <w:tcBorders>
              <w:top w:val="nil"/>
              <w:left w:val="nil"/>
              <w:bottom w:val="single" w:color="auto" w:sz="4" w:space="0"/>
              <w:right w:val="single" w:color="auto" w:sz="4" w:space="0"/>
            </w:tcBorders>
            <w:vAlign w:val="center"/>
          </w:tcPr>
          <w:p w14:paraId="76435499">
            <w:pPr>
              <w:keepNext w:val="0"/>
              <w:keepLines w:val="0"/>
              <w:widowControl/>
              <w:suppressLineNumbers w:val="0"/>
              <w:spacing w:before="0" w:beforeAutospacing="0" w:after="0" w:afterAutospacing="0"/>
              <w:ind w:left="0" w:right="0"/>
              <w:jc w:val="left"/>
              <w:rPr>
                <w:rFonts w:hint="default" w:ascii="方正仿宋_GB2312" w:hAnsi="仿宋" w:eastAsia="方正仿宋_GB2312" w:cs="宋体"/>
                <w:color w:val="auto"/>
                <w:kern w:val="0"/>
                <w:sz w:val="18"/>
                <w:szCs w:val="18"/>
                <w:highlight w:val="none"/>
              </w:rPr>
            </w:pPr>
            <w:r>
              <w:rPr>
                <w:rFonts w:hint="eastAsia" w:ascii="方正仿宋_GB2312" w:hAnsi="仿宋" w:eastAsia="方正仿宋_GB2312" w:cs="宋体"/>
                <w:color w:val="auto"/>
                <w:kern w:val="0"/>
                <w:sz w:val="18"/>
                <w:szCs w:val="18"/>
                <w:highlight w:val="none"/>
              </w:rPr>
              <w:t>100≤Y＜1000</w:t>
            </w:r>
          </w:p>
        </w:tc>
        <w:tc>
          <w:tcPr>
            <w:tcW w:w="2022" w:type="dxa"/>
            <w:tcBorders>
              <w:top w:val="nil"/>
              <w:left w:val="nil"/>
              <w:bottom w:val="single" w:color="auto" w:sz="4" w:space="0"/>
              <w:right w:val="single" w:color="auto" w:sz="4" w:space="0"/>
            </w:tcBorders>
            <w:vAlign w:val="center"/>
          </w:tcPr>
          <w:p w14:paraId="1859B6E6">
            <w:pPr>
              <w:keepNext w:val="0"/>
              <w:keepLines w:val="0"/>
              <w:widowControl/>
              <w:suppressLineNumbers w:val="0"/>
              <w:spacing w:before="0" w:beforeAutospacing="0" w:after="0" w:afterAutospacing="0"/>
              <w:ind w:left="0" w:right="0"/>
              <w:jc w:val="left"/>
              <w:rPr>
                <w:rFonts w:hint="default" w:ascii="方正仿宋_GB2312" w:hAnsi="仿宋" w:eastAsia="方正仿宋_GB2312" w:cs="宋体"/>
                <w:color w:val="auto"/>
                <w:kern w:val="0"/>
                <w:sz w:val="18"/>
                <w:szCs w:val="18"/>
                <w:highlight w:val="none"/>
              </w:rPr>
            </w:pPr>
            <w:r>
              <w:rPr>
                <w:rFonts w:hint="eastAsia" w:ascii="方正仿宋_GB2312" w:hAnsi="仿宋" w:eastAsia="方正仿宋_GB2312" w:cs="宋体"/>
                <w:color w:val="auto"/>
                <w:kern w:val="0"/>
                <w:sz w:val="18"/>
                <w:szCs w:val="18"/>
                <w:highlight w:val="none"/>
              </w:rPr>
              <w:t>Y＜100</w:t>
            </w:r>
          </w:p>
        </w:tc>
      </w:tr>
      <w:tr w14:paraId="2F2FB626">
        <w:tblPrEx>
          <w:tblCellMar>
            <w:top w:w="0" w:type="dxa"/>
            <w:left w:w="108" w:type="dxa"/>
            <w:bottom w:w="0" w:type="dxa"/>
            <w:right w:w="108" w:type="dxa"/>
          </w:tblCellMar>
        </w:tblPrEx>
        <w:trPr>
          <w:trHeight w:val="225" w:hRule="atLeast"/>
        </w:trPr>
        <w:tc>
          <w:tcPr>
            <w:tcW w:w="1701" w:type="dxa"/>
            <w:vMerge w:val="restart"/>
            <w:tcBorders>
              <w:top w:val="nil"/>
              <w:left w:val="single" w:color="auto" w:sz="4" w:space="0"/>
              <w:bottom w:val="single" w:color="auto" w:sz="4" w:space="0"/>
              <w:right w:val="single" w:color="auto" w:sz="4" w:space="0"/>
            </w:tcBorders>
            <w:vAlign w:val="bottom"/>
          </w:tcPr>
          <w:p w14:paraId="443E9F97">
            <w:pPr>
              <w:keepNext w:val="0"/>
              <w:keepLines w:val="0"/>
              <w:widowControl/>
              <w:suppressLineNumbers w:val="0"/>
              <w:spacing w:before="0" w:beforeAutospacing="0" w:after="0" w:afterAutospacing="0"/>
              <w:ind w:left="0" w:right="0"/>
              <w:jc w:val="center"/>
              <w:rPr>
                <w:rFonts w:hint="default" w:ascii="方正仿宋_GB2312" w:hAnsi="仿宋" w:eastAsia="方正仿宋_GB2312" w:cs="宋体"/>
                <w:b/>
                <w:bCs/>
                <w:color w:val="auto"/>
                <w:kern w:val="0"/>
                <w:sz w:val="18"/>
                <w:szCs w:val="18"/>
                <w:highlight w:val="none"/>
              </w:rPr>
            </w:pPr>
            <w:r>
              <w:rPr>
                <w:rFonts w:hint="eastAsia" w:ascii="方正仿宋_GB2312" w:hAnsi="仿宋" w:eastAsia="方正仿宋_GB2312" w:cs="宋体"/>
                <w:b/>
                <w:bCs/>
                <w:color w:val="auto"/>
                <w:kern w:val="0"/>
                <w:sz w:val="18"/>
                <w:szCs w:val="18"/>
                <w:highlight w:val="none"/>
              </w:rPr>
              <w:t>软件和信息技术服务业</w:t>
            </w:r>
          </w:p>
        </w:tc>
        <w:tc>
          <w:tcPr>
            <w:tcW w:w="1383" w:type="dxa"/>
            <w:tcBorders>
              <w:top w:val="nil"/>
              <w:left w:val="nil"/>
              <w:bottom w:val="single" w:color="auto" w:sz="4" w:space="0"/>
              <w:right w:val="single" w:color="auto" w:sz="4" w:space="0"/>
            </w:tcBorders>
            <w:vAlign w:val="center"/>
          </w:tcPr>
          <w:p w14:paraId="3452691A">
            <w:pPr>
              <w:keepNext w:val="0"/>
              <w:keepLines w:val="0"/>
              <w:widowControl/>
              <w:suppressLineNumbers w:val="0"/>
              <w:spacing w:before="0" w:beforeAutospacing="0" w:after="0" w:afterAutospacing="0"/>
              <w:ind w:left="0" w:right="0"/>
              <w:jc w:val="left"/>
              <w:rPr>
                <w:rFonts w:hint="default" w:ascii="方正仿宋_GB2312" w:hAnsi="仿宋" w:eastAsia="方正仿宋_GB2312" w:cs="宋体"/>
                <w:color w:val="auto"/>
                <w:kern w:val="0"/>
                <w:sz w:val="18"/>
                <w:szCs w:val="18"/>
                <w:highlight w:val="none"/>
              </w:rPr>
            </w:pPr>
            <w:r>
              <w:rPr>
                <w:rFonts w:hint="eastAsia" w:ascii="方正仿宋_GB2312" w:hAnsi="仿宋" w:eastAsia="方正仿宋_GB2312" w:cs="宋体"/>
                <w:color w:val="auto"/>
                <w:kern w:val="0"/>
                <w:sz w:val="18"/>
                <w:szCs w:val="18"/>
                <w:highlight w:val="none"/>
              </w:rPr>
              <w:t>从业人员（X）</w:t>
            </w:r>
          </w:p>
        </w:tc>
        <w:tc>
          <w:tcPr>
            <w:tcW w:w="913" w:type="dxa"/>
            <w:tcBorders>
              <w:top w:val="nil"/>
              <w:left w:val="nil"/>
              <w:bottom w:val="single" w:color="auto" w:sz="4" w:space="0"/>
              <w:right w:val="single" w:color="auto" w:sz="4" w:space="0"/>
            </w:tcBorders>
            <w:vAlign w:val="center"/>
          </w:tcPr>
          <w:p w14:paraId="2980669F">
            <w:pPr>
              <w:keepNext w:val="0"/>
              <w:keepLines w:val="0"/>
              <w:widowControl/>
              <w:suppressLineNumbers w:val="0"/>
              <w:spacing w:before="0" w:beforeAutospacing="0" w:after="0" w:afterAutospacing="0"/>
              <w:ind w:left="0" w:right="0"/>
              <w:jc w:val="left"/>
              <w:rPr>
                <w:rFonts w:hint="default" w:ascii="方正仿宋_GB2312" w:hAnsi="仿宋" w:eastAsia="方正仿宋_GB2312" w:cs="宋体"/>
                <w:color w:val="auto"/>
                <w:kern w:val="0"/>
                <w:sz w:val="18"/>
                <w:szCs w:val="18"/>
                <w:highlight w:val="none"/>
              </w:rPr>
            </w:pPr>
            <w:r>
              <w:rPr>
                <w:rFonts w:hint="eastAsia" w:ascii="方正仿宋_GB2312" w:hAnsi="仿宋" w:eastAsia="方正仿宋_GB2312" w:cs="宋体"/>
                <w:color w:val="auto"/>
                <w:kern w:val="0"/>
                <w:sz w:val="18"/>
                <w:szCs w:val="18"/>
                <w:highlight w:val="none"/>
              </w:rPr>
              <w:t>人</w:t>
            </w:r>
          </w:p>
        </w:tc>
        <w:tc>
          <w:tcPr>
            <w:tcW w:w="1619" w:type="dxa"/>
            <w:tcBorders>
              <w:top w:val="nil"/>
              <w:left w:val="nil"/>
              <w:bottom w:val="single" w:color="auto" w:sz="4" w:space="0"/>
              <w:right w:val="single" w:color="auto" w:sz="4" w:space="0"/>
            </w:tcBorders>
            <w:vAlign w:val="center"/>
          </w:tcPr>
          <w:p w14:paraId="6DE54D90">
            <w:pPr>
              <w:keepNext w:val="0"/>
              <w:keepLines w:val="0"/>
              <w:widowControl/>
              <w:suppressLineNumbers w:val="0"/>
              <w:spacing w:before="0" w:beforeAutospacing="0" w:after="0" w:afterAutospacing="0"/>
              <w:ind w:left="0" w:right="0"/>
              <w:jc w:val="left"/>
              <w:rPr>
                <w:rFonts w:hint="default" w:ascii="方正仿宋_GB2312" w:hAnsi="仿宋" w:eastAsia="方正仿宋_GB2312" w:cs="宋体"/>
                <w:color w:val="auto"/>
                <w:kern w:val="0"/>
                <w:sz w:val="18"/>
                <w:szCs w:val="18"/>
                <w:highlight w:val="none"/>
              </w:rPr>
            </w:pPr>
            <w:r>
              <w:rPr>
                <w:rFonts w:hint="eastAsia" w:ascii="方正仿宋_GB2312" w:hAnsi="仿宋" w:eastAsia="方正仿宋_GB2312" w:cs="宋体"/>
                <w:color w:val="auto"/>
                <w:kern w:val="0"/>
                <w:sz w:val="18"/>
                <w:szCs w:val="18"/>
                <w:highlight w:val="none"/>
              </w:rPr>
              <w:t>100≤X＜300</w:t>
            </w:r>
          </w:p>
        </w:tc>
        <w:tc>
          <w:tcPr>
            <w:tcW w:w="1439" w:type="dxa"/>
            <w:tcBorders>
              <w:top w:val="nil"/>
              <w:left w:val="nil"/>
              <w:bottom w:val="single" w:color="auto" w:sz="4" w:space="0"/>
              <w:right w:val="single" w:color="auto" w:sz="4" w:space="0"/>
            </w:tcBorders>
            <w:vAlign w:val="center"/>
          </w:tcPr>
          <w:p w14:paraId="163E5298">
            <w:pPr>
              <w:keepNext w:val="0"/>
              <w:keepLines w:val="0"/>
              <w:widowControl/>
              <w:suppressLineNumbers w:val="0"/>
              <w:spacing w:before="0" w:beforeAutospacing="0" w:after="0" w:afterAutospacing="0"/>
              <w:ind w:left="0" w:right="0"/>
              <w:jc w:val="left"/>
              <w:rPr>
                <w:rFonts w:hint="default" w:ascii="方正仿宋_GB2312" w:hAnsi="仿宋" w:eastAsia="方正仿宋_GB2312" w:cs="宋体"/>
                <w:color w:val="auto"/>
                <w:kern w:val="0"/>
                <w:sz w:val="18"/>
                <w:szCs w:val="18"/>
                <w:highlight w:val="none"/>
              </w:rPr>
            </w:pPr>
            <w:r>
              <w:rPr>
                <w:rFonts w:hint="eastAsia" w:ascii="方正仿宋_GB2312" w:hAnsi="仿宋" w:eastAsia="方正仿宋_GB2312" w:cs="宋体"/>
                <w:color w:val="auto"/>
                <w:kern w:val="0"/>
                <w:sz w:val="18"/>
                <w:szCs w:val="18"/>
                <w:highlight w:val="none"/>
              </w:rPr>
              <w:t>10≤X＜100</w:t>
            </w:r>
          </w:p>
        </w:tc>
        <w:tc>
          <w:tcPr>
            <w:tcW w:w="2022" w:type="dxa"/>
            <w:tcBorders>
              <w:top w:val="nil"/>
              <w:left w:val="nil"/>
              <w:bottom w:val="single" w:color="auto" w:sz="4" w:space="0"/>
              <w:right w:val="single" w:color="auto" w:sz="4" w:space="0"/>
            </w:tcBorders>
            <w:vAlign w:val="center"/>
          </w:tcPr>
          <w:p w14:paraId="6B658B85">
            <w:pPr>
              <w:keepNext w:val="0"/>
              <w:keepLines w:val="0"/>
              <w:widowControl/>
              <w:suppressLineNumbers w:val="0"/>
              <w:spacing w:before="0" w:beforeAutospacing="0" w:after="0" w:afterAutospacing="0"/>
              <w:ind w:left="0" w:right="0"/>
              <w:jc w:val="left"/>
              <w:rPr>
                <w:rFonts w:hint="default" w:ascii="方正仿宋_GB2312" w:hAnsi="仿宋" w:eastAsia="方正仿宋_GB2312" w:cs="宋体"/>
                <w:color w:val="auto"/>
                <w:kern w:val="0"/>
                <w:sz w:val="18"/>
                <w:szCs w:val="18"/>
                <w:highlight w:val="none"/>
              </w:rPr>
            </w:pPr>
            <w:r>
              <w:rPr>
                <w:rFonts w:hint="eastAsia" w:ascii="方正仿宋_GB2312" w:hAnsi="仿宋" w:eastAsia="方正仿宋_GB2312" w:cs="宋体"/>
                <w:color w:val="auto"/>
                <w:kern w:val="0"/>
                <w:sz w:val="18"/>
                <w:szCs w:val="18"/>
                <w:highlight w:val="none"/>
              </w:rPr>
              <w:t>X＜10</w:t>
            </w:r>
          </w:p>
        </w:tc>
      </w:tr>
      <w:tr w14:paraId="196B8D33">
        <w:tblPrEx>
          <w:tblCellMar>
            <w:top w:w="0" w:type="dxa"/>
            <w:left w:w="108" w:type="dxa"/>
            <w:bottom w:w="0" w:type="dxa"/>
            <w:right w:w="108" w:type="dxa"/>
          </w:tblCellMar>
        </w:tblPrEx>
        <w:trPr>
          <w:trHeight w:val="225" w:hRule="atLeast"/>
        </w:trPr>
        <w:tc>
          <w:tcPr>
            <w:tcW w:w="1701" w:type="dxa"/>
            <w:vMerge w:val="continue"/>
            <w:tcBorders>
              <w:top w:val="nil"/>
              <w:left w:val="single" w:color="auto" w:sz="4" w:space="0"/>
              <w:bottom w:val="single" w:color="auto" w:sz="4" w:space="0"/>
              <w:right w:val="single" w:color="auto" w:sz="4" w:space="0"/>
            </w:tcBorders>
            <w:vAlign w:val="center"/>
          </w:tcPr>
          <w:p w14:paraId="4955F304">
            <w:pPr>
              <w:keepNext w:val="0"/>
              <w:keepLines w:val="0"/>
              <w:widowControl/>
              <w:suppressLineNumbers w:val="0"/>
              <w:spacing w:before="0" w:beforeAutospacing="0" w:after="0" w:afterAutospacing="0"/>
              <w:ind w:left="0" w:right="0"/>
              <w:jc w:val="left"/>
              <w:rPr>
                <w:rFonts w:hint="default" w:ascii="方正仿宋_GB2312" w:hAnsi="仿宋" w:eastAsia="方正仿宋_GB2312" w:cs="宋体"/>
                <w:b/>
                <w:bCs/>
                <w:color w:val="auto"/>
                <w:kern w:val="0"/>
                <w:sz w:val="18"/>
                <w:szCs w:val="18"/>
                <w:highlight w:val="none"/>
              </w:rPr>
            </w:pPr>
          </w:p>
        </w:tc>
        <w:tc>
          <w:tcPr>
            <w:tcW w:w="1383" w:type="dxa"/>
            <w:tcBorders>
              <w:top w:val="nil"/>
              <w:left w:val="nil"/>
              <w:bottom w:val="single" w:color="auto" w:sz="4" w:space="0"/>
              <w:right w:val="single" w:color="auto" w:sz="4" w:space="0"/>
            </w:tcBorders>
            <w:vAlign w:val="center"/>
          </w:tcPr>
          <w:p w14:paraId="2DB4C17E">
            <w:pPr>
              <w:keepNext w:val="0"/>
              <w:keepLines w:val="0"/>
              <w:widowControl/>
              <w:suppressLineNumbers w:val="0"/>
              <w:spacing w:before="0" w:beforeAutospacing="0" w:after="0" w:afterAutospacing="0"/>
              <w:ind w:left="0" w:right="0"/>
              <w:jc w:val="left"/>
              <w:rPr>
                <w:rFonts w:hint="default" w:ascii="方正仿宋_GB2312" w:hAnsi="仿宋" w:eastAsia="方正仿宋_GB2312" w:cs="宋体"/>
                <w:color w:val="auto"/>
                <w:kern w:val="0"/>
                <w:sz w:val="18"/>
                <w:szCs w:val="18"/>
                <w:highlight w:val="none"/>
              </w:rPr>
            </w:pPr>
            <w:r>
              <w:rPr>
                <w:rFonts w:hint="eastAsia" w:ascii="方正仿宋_GB2312" w:hAnsi="仿宋" w:eastAsia="方正仿宋_GB2312" w:cs="宋体"/>
                <w:color w:val="auto"/>
                <w:kern w:val="0"/>
                <w:sz w:val="18"/>
                <w:szCs w:val="18"/>
                <w:highlight w:val="none"/>
              </w:rPr>
              <w:t>营业收入（Y）</w:t>
            </w:r>
          </w:p>
        </w:tc>
        <w:tc>
          <w:tcPr>
            <w:tcW w:w="913" w:type="dxa"/>
            <w:tcBorders>
              <w:top w:val="nil"/>
              <w:left w:val="nil"/>
              <w:bottom w:val="single" w:color="auto" w:sz="4" w:space="0"/>
              <w:right w:val="single" w:color="auto" w:sz="4" w:space="0"/>
            </w:tcBorders>
            <w:vAlign w:val="center"/>
          </w:tcPr>
          <w:p w14:paraId="3A109A47">
            <w:pPr>
              <w:keepNext w:val="0"/>
              <w:keepLines w:val="0"/>
              <w:widowControl/>
              <w:suppressLineNumbers w:val="0"/>
              <w:spacing w:before="0" w:beforeAutospacing="0" w:after="0" w:afterAutospacing="0"/>
              <w:ind w:left="0" w:right="0"/>
              <w:jc w:val="left"/>
              <w:rPr>
                <w:rFonts w:hint="default" w:ascii="方正仿宋_GB2312" w:hAnsi="仿宋" w:eastAsia="方正仿宋_GB2312" w:cs="宋体"/>
                <w:color w:val="auto"/>
                <w:kern w:val="0"/>
                <w:sz w:val="18"/>
                <w:szCs w:val="18"/>
                <w:highlight w:val="none"/>
              </w:rPr>
            </w:pPr>
            <w:r>
              <w:rPr>
                <w:rFonts w:hint="eastAsia" w:ascii="方正仿宋_GB2312" w:hAnsi="仿宋" w:eastAsia="方正仿宋_GB2312" w:cs="宋体"/>
                <w:color w:val="auto"/>
                <w:kern w:val="0"/>
                <w:sz w:val="18"/>
                <w:szCs w:val="18"/>
                <w:highlight w:val="none"/>
              </w:rPr>
              <w:t>万元</w:t>
            </w:r>
          </w:p>
        </w:tc>
        <w:tc>
          <w:tcPr>
            <w:tcW w:w="1619" w:type="dxa"/>
            <w:tcBorders>
              <w:top w:val="nil"/>
              <w:left w:val="nil"/>
              <w:bottom w:val="single" w:color="auto" w:sz="4" w:space="0"/>
              <w:right w:val="single" w:color="auto" w:sz="4" w:space="0"/>
            </w:tcBorders>
            <w:vAlign w:val="center"/>
          </w:tcPr>
          <w:p w14:paraId="55CD4BBA">
            <w:pPr>
              <w:keepNext w:val="0"/>
              <w:keepLines w:val="0"/>
              <w:widowControl/>
              <w:suppressLineNumbers w:val="0"/>
              <w:spacing w:before="0" w:beforeAutospacing="0" w:after="0" w:afterAutospacing="0"/>
              <w:ind w:left="0" w:right="0"/>
              <w:jc w:val="left"/>
              <w:rPr>
                <w:rFonts w:hint="default" w:ascii="方正仿宋_GB2312" w:hAnsi="仿宋" w:eastAsia="方正仿宋_GB2312" w:cs="宋体"/>
                <w:color w:val="auto"/>
                <w:kern w:val="0"/>
                <w:sz w:val="18"/>
                <w:szCs w:val="18"/>
                <w:highlight w:val="none"/>
              </w:rPr>
            </w:pPr>
            <w:r>
              <w:rPr>
                <w:rFonts w:hint="eastAsia" w:ascii="方正仿宋_GB2312" w:hAnsi="仿宋" w:eastAsia="方正仿宋_GB2312" w:cs="宋体"/>
                <w:color w:val="auto"/>
                <w:kern w:val="0"/>
                <w:sz w:val="18"/>
                <w:szCs w:val="18"/>
                <w:highlight w:val="none"/>
              </w:rPr>
              <w:t>1000≤Y＜10000</w:t>
            </w:r>
          </w:p>
        </w:tc>
        <w:tc>
          <w:tcPr>
            <w:tcW w:w="1439" w:type="dxa"/>
            <w:tcBorders>
              <w:top w:val="nil"/>
              <w:left w:val="nil"/>
              <w:bottom w:val="single" w:color="auto" w:sz="4" w:space="0"/>
              <w:right w:val="single" w:color="auto" w:sz="4" w:space="0"/>
            </w:tcBorders>
            <w:vAlign w:val="center"/>
          </w:tcPr>
          <w:p w14:paraId="1D998A43">
            <w:pPr>
              <w:keepNext w:val="0"/>
              <w:keepLines w:val="0"/>
              <w:widowControl/>
              <w:suppressLineNumbers w:val="0"/>
              <w:spacing w:before="0" w:beforeAutospacing="0" w:after="0" w:afterAutospacing="0"/>
              <w:ind w:left="0" w:right="0"/>
              <w:jc w:val="left"/>
              <w:rPr>
                <w:rFonts w:hint="default" w:ascii="方正仿宋_GB2312" w:hAnsi="仿宋" w:eastAsia="方正仿宋_GB2312" w:cs="宋体"/>
                <w:color w:val="auto"/>
                <w:kern w:val="0"/>
                <w:sz w:val="18"/>
                <w:szCs w:val="18"/>
                <w:highlight w:val="none"/>
              </w:rPr>
            </w:pPr>
            <w:r>
              <w:rPr>
                <w:rFonts w:hint="eastAsia" w:ascii="方正仿宋_GB2312" w:hAnsi="仿宋" w:eastAsia="方正仿宋_GB2312" w:cs="宋体"/>
                <w:color w:val="auto"/>
                <w:kern w:val="0"/>
                <w:sz w:val="18"/>
                <w:szCs w:val="18"/>
                <w:highlight w:val="none"/>
              </w:rPr>
              <w:t>50≤Y＜1000</w:t>
            </w:r>
          </w:p>
        </w:tc>
        <w:tc>
          <w:tcPr>
            <w:tcW w:w="2022" w:type="dxa"/>
            <w:tcBorders>
              <w:top w:val="nil"/>
              <w:left w:val="nil"/>
              <w:bottom w:val="single" w:color="auto" w:sz="4" w:space="0"/>
              <w:right w:val="single" w:color="auto" w:sz="4" w:space="0"/>
            </w:tcBorders>
            <w:vAlign w:val="center"/>
          </w:tcPr>
          <w:p w14:paraId="437B37A2">
            <w:pPr>
              <w:keepNext w:val="0"/>
              <w:keepLines w:val="0"/>
              <w:widowControl/>
              <w:suppressLineNumbers w:val="0"/>
              <w:spacing w:before="0" w:beforeAutospacing="0" w:after="0" w:afterAutospacing="0"/>
              <w:ind w:left="0" w:right="0"/>
              <w:jc w:val="left"/>
              <w:rPr>
                <w:rFonts w:hint="default" w:ascii="方正仿宋_GB2312" w:hAnsi="仿宋" w:eastAsia="方正仿宋_GB2312" w:cs="宋体"/>
                <w:color w:val="auto"/>
                <w:kern w:val="0"/>
                <w:sz w:val="18"/>
                <w:szCs w:val="18"/>
                <w:highlight w:val="none"/>
              </w:rPr>
            </w:pPr>
            <w:r>
              <w:rPr>
                <w:rFonts w:hint="eastAsia" w:ascii="方正仿宋_GB2312" w:hAnsi="仿宋" w:eastAsia="方正仿宋_GB2312" w:cs="宋体"/>
                <w:color w:val="auto"/>
                <w:kern w:val="0"/>
                <w:sz w:val="18"/>
                <w:szCs w:val="18"/>
                <w:highlight w:val="none"/>
              </w:rPr>
              <w:t>Y＜50</w:t>
            </w:r>
          </w:p>
        </w:tc>
      </w:tr>
      <w:tr w14:paraId="174C8D1B">
        <w:tblPrEx>
          <w:tblCellMar>
            <w:top w:w="0" w:type="dxa"/>
            <w:left w:w="108" w:type="dxa"/>
            <w:bottom w:w="0" w:type="dxa"/>
            <w:right w:w="108" w:type="dxa"/>
          </w:tblCellMar>
        </w:tblPrEx>
        <w:trPr>
          <w:trHeight w:val="225" w:hRule="atLeast"/>
        </w:trPr>
        <w:tc>
          <w:tcPr>
            <w:tcW w:w="1701" w:type="dxa"/>
            <w:vMerge w:val="restart"/>
            <w:tcBorders>
              <w:top w:val="nil"/>
              <w:left w:val="single" w:color="auto" w:sz="4" w:space="0"/>
              <w:bottom w:val="single" w:color="auto" w:sz="4" w:space="0"/>
              <w:right w:val="single" w:color="auto" w:sz="4" w:space="0"/>
            </w:tcBorders>
            <w:vAlign w:val="bottom"/>
          </w:tcPr>
          <w:p w14:paraId="4B5D619C">
            <w:pPr>
              <w:keepNext w:val="0"/>
              <w:keepLines w:val="0"/>
              <w:widowControl/>
              <w:suppressLineNumbers w:val="0"/>
              <w:spacing w:before="0" w:beforeAutospacing="0" w:after="0" w:afterAutospacing="0"/>
              <w:ind w:left="0" w:right="0"/>
              <w:jc w:val="center"/>
              <w:rPr>
                <w:rFonts w:hint="default" w:ascii="方正仿宋_GB2312" w:hAnsi="仿宋" w:eastAsia="方正仿宋_GB2312" w:cs="宋体"/>
                <w:b/>
                <w:bCs/>
                <w:color w:val="auto"/>
                <w:kern w:val="0"/>
                <w:sz w:val="18"/>
                <w:szCs w:val="18"/>
                <w:highlight w:val="none"/>
              </w:rPr>
            </w:pPr>
            <w:r>
              <w:rPr>
                <w:rFonts w:hint="eastAsia" w:ascii="方正仿宋_GB2312" w:hAnsi="仿宋" w:eastAsia="方正仿宋_GB2312" w:cs="宋体"/>
                <w:b/>
                <w:bCs/>
                <w:color w:val="auto"/>
                <w:kern w:val="0"/>
                <w:sz w:val="18"/>
                <w:szCs w:val="18"/>
                <w:highlight w:val="none"/>
              </w:rPr>
              <w:t>房地产开发经营</w:t>
            </w:r>
          </w:p>
        </w:tc>
        <w:tc>
          <w:tcPr>
            <w:tcW w:w="1383" w:type="dxa"/>
            <w:tcBorders>
              <w:top w:val="nil"/>
              <w:left w:val="nil"/>
              <w:bottom w:val="single" w:color="auto" w:sz="4" w:space="0"/>
              <w:right w:val="single" w:color="auto" w:sz="4" w:space="0"/>
            </w:tcBorders>
            <w:vAlign w:val="center"/>
          </w:tcPr>
          <w:p w14:paraId="5114B601">
            <w:pPr>
              <w:keepNext w:val="0"/>
              <w:keepLines w:val="0"/>
              <w:widowControl/>
              <w:suppressLineNumbers w:val="0"/>
              <w:spacing w:before="0" w:beforeAutospacing="0" w:after="0" w:afterAutospacing="0"/>
              <w:ind w:left="0" w:right="0"/>
              <w:jc w:val="left"/>
              <w:rPr>
                <w:rFonts w:hint="default" w:ascii="方正仿宋_GB2312" w:hAnsi="仿宋" w:eastAsia="方正仿宋_GB2312" w:cs="宋体"/>
                <w:color w:val="auto"/>
                <w:kern w:val="0"/>
                <w:sz w:val="18"/>
                <w:szCs w:val="18"/>
                <w:highlight w:val="none"/>
              </w:rPr>
            </w:pPr>
            <w:r>
              <w:rPr>
                <w:rFonts w:hint="eastAsia" w:ascii="方正仿宋_GB2312" w:hAnsi="仿宋" w:eastAsia="方正仿宋_GB2312" w:cs="宋体"/>
                <w:color w:val="auto"/>
                <w:kern w:val="0"/>
                <w:sz w:val="18"/>
                <w:szCs w:val="18"/>
                <w:highlight w:val="none"/>
              </w:rPr>
              <w:t>营业收入（Y）</w:t>
            </w:r>
          </w:p>
        </w:tc>
        <w:tc>
          <w:tcPr>
            <w:tcW w:w="913" w:type="dxa"/>
            <w:tcBorders>
              <w:top w:val="nil"/>
              <w:left w:val="nil"/>
              <w:bottom w:val="single" w:color="auto" w:sz="4" w:space="0"/>
              <w:right w:val="single" w:color="auto" w:sz="4" w:space="0"/>
            </w:tcBorders>
            <w:vAlign w:val="center"/>
          </w:tcPr>
          <w:p w14:paraId="779FA629">
            <w:pPr>
              <w:keepNext w:val="0"/>
              <w:keepLines w:val="0"/>
              <w:widowControl/>
              <w:suppressLineNumbers w:val="0"/>
              <w:spacing w:before="0" w:beforeAutospacing="0" w:after="0" w:afterAutospacing="0"/>
              <w:ind w:left="0" w:right="0"/>
              <w:jc w:val="left"/>
              <w:rPr>
                <w:rFonts w:hint="default" w:ascii="方正仿宋_GB2312" w:hAnsi="仿宋" w:eastAsia="方正仿宋_GB2312" w:cs="宋体"/>
                <w:color w:val="auto"/>
                <w:kern w:val="0"/>
                <w:sz w:val="18"/>
                <w:szCs w:val="18"/>
                <w:highlight w:val="none"/>
              </w:rPr>
            </w:pPr>
            <w:r>
              <w:rPr>
                <w:rFonts w:hint="eastAsia" w:ascii="方正仿宋_GB2312" w:hAnsi="仿宋" w:eastAsia="方正仿宋_GB2312" w:cs="宋体"/>
                <w:color w:val="auto"/>
                <w:kern w:val="0"/>
                <w:sz w:val="18"/>
                <w:szCs w:val="18"/>
                <w:highlight w:val="none"/>
              </w:rPr>
              <w:t>万元</w:t>
            </w:r>
          </w:p>
        </w:tc>
        <w:tc>
          <w:tcPr>
            <w:tcW w:w="1619" w:type="dxa"/>
            <w:tcBorders>
              <w:top w:val="nil"/>
              <w:left w:val="nil"/>
              <w:bottom w:val="single" w:color="auto" w:sz="4" w:space="0"/>
              <w:right w:val="single" w:color="auto" w:sz="4" w:space="0"/>
            </w:tcBorders>
            <w:vAlign w:val="center"/>
          </w:tcPr>
          <w:p w14:paraId="63666A43">
            <w:pPr>
              <w:keepNext w:val="0"/>
              <w:keepLines w:val="0"/>
              <w:widowControl/>
              <w:suppressLineNumbers w:val="0"/>
              <w:spacing w:before="0" w:beforeAutospacing="0" w:after="0" w:afterAutospacing="0"/>
              <w:ind w:left="0" w:right="0"/>
              <w:jc w:val="left"/>
              <w:rPr>
                <w:rFonts w:hint="default" w:ascii="方正仿宋_GB2312" w:hAnsi="仿宋" w:eastAsia="方正仿宋_GB2312" w:cs="宋体"/>
                <w:color w:val="auto"/>
                <w:kern w:val="0"/>
                <w:sz w:val="18"/>
                <w:szCs w:val="18"/>
                <w:highlight w:val="none"/>
              </w:rPr>
            </w:pPr>
            <w:r>
              <w:rPr>
                <w:rFonts w:hint="eastAsia" w:ascii="方正仿宋_GB2312" w:hAnsi="仿宋" w:eastAsia="方正仿宋_GB2312" w:cs="宋体"/>
                <w:color w:val="auto"/>
                <w:kern w:val="0"/>
                <w:sz w:val="18"/>
                <w:szCs w:val="18"/>
                <w:highlight w:val="none"/>
              </w:rPr>
              <w:t>1000≤Y＜200000</w:t>
            </w:r>
          </w:p>
        </w:tc>
        <w:tc>
          <w:tcPr>
            <w:tcW w:w="1439" w:type="dxa"/>
            <w:tcBorders>
              <w:top w:val="nil"/>
              <w:left w:val="nil"/>
              <w:bottom w:val="single" w:color="auto" w:sz="4" w:space="0"/>
              <w:right w:val="single" w:color="auto" w:sz="4" w:space="0"/>
            </w:tcBorders>
            <w:vAlign w:val="center"/>
          </w:tcPr>
          <w:p w14:paraId="459EE99B">
            <w:pPr>
              <w:keepNext w:val="0"/>
              <w:keepLines w:val="0"/>
              <w:widowControl/>
              <w:suppressLineNumbers w:val="0"/>
              <w:spacing w:before="0" w:beforeAutospacing="0" w:after="0" w:afterAutospacing="0"/>
              <w:ind w:left="0" w:right="0"/>
              <w:jc w:val="left"/>
              <w:rPr>
                <w:rFonts w:hint="default" w:ascii="方正仿宋_GB2312" w:hAnsi="仿宋" w:eastAsia="方正仿宋_GB2312" w:cs="宋体"/>
                <w:color w:val="auto"/>
                <w:kern w:val="0"/>
                <w:sz w:val="18"/>
                <w:szCs w:val="18"/>
                <w:highlight w:val="none"/>
              </w:rPr>
            </w:pPr>
            <w:r>
              <w:rPr>
                <w:rFonts w:hint="eastAsia" w:ascii="方正仿宋_GB2312" w:hAnsi="仿宋" w:eastAsia="方正仿宋_GB2312" w:cs="宋体"/>
                <w:color w:val="auto"/>
                <w:kern w:val="0"/>
                <w:sz w:val="18"/>
                <w:szCs w:val="18"/>
                <w:highlight w:val="none"/>
              </w:rPr>
              <w:t>100≤X＜1000</w:t>
            </w:r>
          </w:p>
        </w:tc>
        <w:tc>
          <w:tcPr>
            <w:tcW w:w="2022" w:type="dxa"/>
            <w:tcBorders>
              <w:top w:val="nil"/>
              <w:left w:val="nil"/>
              <w:bottom w:val="single" w:color="auto" w:sz="4" w:space="0"/>
              <w:right w:val="single" w:color="auto" w:sz="4" w:space="0"/>
            </w:tcBorders>
            <w:vAlign w:val="center"/>
          </w:tcPr>
          <w:p w14:paraId="226839E5">
            <w:pPr>
              <w:keepNext w:val="0"/>
              <w:keepLines w:val="0"/>
              <w:widowControl/>
              <w:suppressLineNumbers w:val="0"/>
              <w:spacing w:before="0" w:beforeAutospacing="0" w:after="0" w:afterAutospacing="0"/>
              <w:ind w:left="0" w:right="0"/>
              <w:jc w:val="left"/>
              <w:rPr>
                <w:rFonts w:hint="default" w:ascii="方正仿宋_GB2312" w:hAnsi="仿宋" w:eastAsia="方正仿宋_GB2312" w:cs="宋体"/>
                <w:color w:val="auto"/>
                <w:kern w:val="0"/>
                <w:sz w:val="18"/>
                <w:szCs w:val="18"/>
                <w:highlight w:val="none"/>
              </w:rPr>
            </w:pPr>
            <w:r>
              <w:rPr>
                <w:rFonts w:hint="eastAsia" w:ascii="方正仿宋_GB2312" w:hAnsi="仿宋" w:eastAsia="方正仿宋_GB2312" w:cs="宋体"/>
                <w:color w:val="auto"/>
                <w:kern w:val="0"/>
                <w:sz w:val="18"/>
                <w:szCs w:val="18"/>
                <w:highlight w:val="none"/>
              </w:rPr>
              <w:t>X＜100</w:t>
            </w:r>
          </w:p>
        </w:tc>
      </w:tr>
      <w:tr w14:paraId="03217B77">
        <w:tblPrEx>
          <w:tblCellMar>
            <w:top w:w="0" w:type="dxa"/>
            <w:left w:w="108" w:type="dxa"/>
            <w:bottom w:w="0" w:type="dxa"/>
            <w:right w:w="108" w:type="dxa"/>
          </w:tblCellMar>
        </w:tblPrEx>
        <w:trPr>
          <w:trHeight w:val="225" w:hRule="atLeast"/>
        </w:trPr>
        <w:tc>
          <w:tcPr>
            <w:tcW w:w="1701" w:type="dxa"/>
            <w:vMerge w:val="continue"/>
            <w:tcBorders>
              <w:top w:val="nil"/>
              <w:left w:val="single" w:color="auto" w:sz="4" w:space="0"/>
              <w:bottom w:val="single" w:color="auto" w:sz="4" w:space="0"/>
              <w:right w:val="single" w:color="auto" w:sz="4" w:space="0"/>
            </w:tcBorders>
            <w:vAlign w:val="center"/>
          </w:tcPr>
          <w:p w14:paraId="1D8122BE">
            <w:pPr>
              <w:keepNext w:val="0"/>
              <w:keepLines w:val="0"/>
              <w:widowControl/>
              <w:suppressLineNumbers w:val="0"/>
              <w:spacing w:before="0" w:beforeAutospacing="0" w:after="0" w:afterAutospacing="0"/>
              <w:ind w:left="0" w:right="0"/>
              <w:jc w:val="left"/>
              <w:rPr>
                <w:rFonts w:hint="default" w:ascii="方正仿宋_GB2312" w:hAnsi="仿宋" w:eastAsia="方正仿宋_GB2312" w:cs="宋体"/>
                <w:b/>
                <w:bCs/>
                <w:color w:val="auto"/>
                <w:kern w:val="0"/>
                <w:sz w:val="18"/>
                <w:szCs w:val="18"/>
                <w:highlight w:val="none"/>
              </w:rPr>
            </w:pPr>
          </w:p>
        </w:tc>
        <w:tc>
          <w:tcPr>
            <w:tcW w:w="1383" w:type="dxa"/>
            <w:tcBorders>
              <w:top w:val="nil"/>
              <w:left w:val="nil"/>
              <w:bottom w:val="single" w:color="auto" w:sz="4" w:space="0"/>
              <w:right w:val="single" w:color="auto" w:sz="4" w:space="0"/>
            </w:tcBorders>
            <w:vAlign w:val="center"/>
          </w:tcPr>
          <w:p w14:paraId="28BC5D2E">
            <w:pPr>
              <w:keepNext w:val="0"/>
              <w:keepLines w:val="0"/>
              <w:widowControl/>
              <w:suppressLineNumbers w:val="0"/>
              <w:spacing w:before="0" w:beforeAutospacing="0" w:after="0" w:afterAutospacing="0"/>
              <w:ind w:left="0" w:right="0"/>
              <w:jc w:val="left"/>
              <w:rPr>
                <w:rFonts w:hint="default" w:ascii="方正仿宋_GB2312" w:hAnsi="仿宋" w:eastAsia="方正仿宋_GB2312" w:cs="宋体"/>
                <w:color w:val="auto"/>
                <w:kern w:val="0"/>
                <w:sz w:val="18"/>
                <w:szCs w:val="18"/>
                <w:highlight w:val="none"/>
              </w:rPr>
            </w:pPr>
            <w:r>
              <w:rPr>
                <w:rFonts w:hint="eastAsia" w:ascii="方正仿宋_GB2312" w:hAnsi="仿宋" w:eastAsia="方正仿宋_GB2312" w:cs="宋体"/>
                <w:color w:val="auto"/>
                <w:kern w:val="0"/>
                <w:sz w:val="18"/>
                <w:szCs w:val="18"/>
                <w:highlight w:val="none"/>
              </w:rPr>
              <w:t>资产总额（Z）</w:t>
            </w:r>
          </w:p>
        </w:tc>
        <w:tc>
          <w:tcPr>
            <w:tcW w:w="913" w:type="dxa"/>
            <w:tcBorders>
              <w:top w:val="nil"/>
              <w:left w:val="nil"/>
              <w:bottom w:val="single" w:color="auto" w:sz="4" w:space="0"/>
              <w:right w:val="single" w:color="auto" w:sz="4" w:space="0"/>
            </w:tcBorders>
            <w:vAlign w:val="center"/>
          </w:tcPr>
          <w:p w14:paraId="6B34D192">
            <w:pPr>
              <w:keepNext w:val="0"/>
              <w:keepLines w:val="0"/>
              <w:widowControl/>
              <w:suppressLineNumbers w:val="0"/>
              <w:spacing w:before="0" w:beforeAutospacing="0" w:after="0" w:afterAutospacing="0"/>
              <w:ind w:left="0" w:right="0"/>
              <w:jc w:val="left"/>
              <w:rPr>
                <w:rFonts w:hint="default" w:ascii="方正仿宋_GB2312" w:hAnsi="仿宋" w:eastAsia="方正仿宋_GB2312" w:cs="宋体"/>
                <w:color w:val="auto"/>
                <w:kern w:val="0"/>
                <w:sz w:val="18"/>
                <w:szCs w:val="18"/>
                <w:highlight w:val="none"/>
              </w:rPr>
            </w:pPr>
            <w:r>
              <w:rPr>
                <w:rFonts w:hint="eastAsia" w:ascii="方正仿宋_GB2312" w:hAnsi="仿宋" w:eastAsia="方正仿宋_GB2312" w:cs="宋体"/>
                <w:color w:val="auto"/>
                <w:kern w:val="0"/>
                <w:sz w:val="18"/>
                <w:szCs w:val="18"/>
                <w:highlight w:val="none"/>
              </w:rPr>
              <w:t>万元</w:t>
            </w:r>
          </w:p>
        </w:tc>
        <w:tc>
          <w:tcPr>
            <w:tcW w:w="1619" w:type="dxa"/>
            <w:tcBorders>
              <w:top w:val="nil"/>
              <w:left w:val="nil"/>
              <w:bottom w:val="single" w:color="auto" w:sz="4" w:space="0"/>
              <w:right w:val="single" w:color="auto" w:sz="4" w:space="0"/>
            </w:tcBorders>
            <w:vAlign w:val="center"/>
          </w:tcPr>
          <w:p w14:paraId="092FE750">
            <w:pPr>
              <w:keepNext w:val="0"/>
              <w:keepLines w:val="0"/>
              <w:widowControl/>
              <w:suppressLineNumbers w:val="0"/>
              <w:spacing w:before="0" w:beforeAutospacing="0" w:after="0" w:afterAutospacing="0"/>
              <w:ind w:left="0" w:right="0"/>
              <w:jc w:val="left"/>
              <w:rPr>
                <w:rFonts w:hint="default" w:ascii="方正仿宋_GB2312" w:hAnsi="仿宋" w:eastAsia="方正仿宋_GB2312" w:cs="宋体"/>
                <w:color w:val="auto"/>
                <w:kern w:val="0"/>
                <w:sz w:val="18"/>
                <w:szCs w:val="18"/>
                <w:highlight w:val="none"/>
              </w:rPr>
            </w:pPr>
            <w:r>
              <w:rPr>
                <w:rFonts w:hint="eastAsia" w:ascii="方正仿宋_GB2312" w:hAnsi="仿宋" w:eastAsia="方正仿宋_GB2312" w:cs="宋体"/>
                <w:color w:val="auto"/>
                <w:kern w:val="0"/>
                <w:sz w:val="18"/>
                <w:szCs w:val="18"/>
                <w:highlight w:val="none"/>
              </w:rPr>
              <w:t>5000≤Z＜10000</w:t>
            </w:r>
          </w:p>
        </w:tc>
        <w:tc>
          <w:tcPr>
            <w:tcW w:w="1439" w:type="dxa"/>
            <w:tcBorders>
              <w:top w:val="nil"/>
              <w:left w:val="nil"/>
              <w:bottom w:val="single" w:color="auto" w:sz="4" w:space="0"/>
              <w:right w:val="single" w:color="auto" w:sz="4" w:space="0"/>
            </w:tcBorders>
            <w:vAlign w:val="center"/>
          </w:tcPr>
          <w:p w14:paraId="56A4219B">
            <w:pPr>
              <w:keepNext w:val="0"/>
              <w:keepLines w:val="0"/>
              <w:widowControl/>
              <w:suppressLineNumbers w:val="0"/>
              <w:spacing w:before="0" w:beforeAutospacing="0" w:after="0" w:afterAutospacing="0"/>
              <w:ind w:left="0" w:right="0"/>
              <w:jc w:val="left"/>
              <w:rPr>
                <w:rFonts w:hint="default" w:ascii="方正仿宋_GB2312" w:hAnsi="仿宋" w:eastAsia="方正仿宋_GB2312" w:cs="宋体"/>
                <w:color w:val="auto"/>
                <w:kern w:val="0"/>
                <w:sz w:val="18"/>
                <w:szCs w:val="18"/>
                <w:highlight w:val="none"/>
              </w:rPr>
            </w:pPr>
            <w:r>
              <w:rPr>
                <w:rFonts w:hint="eastAsia" w:ascii="方正仿宋_GB2312" w:hAnsi="仿宋" w:eastAsia="方正仿宋_GB2312" w:cs="宋体"/>
                <w:color w:val="auto"/>
                <w:kern w:val="0"/>
                <w:sz w:val="18"/>
                <w:szCs w:val="18"/>
                <w:highlight w:val="none"/>
              </w:rPr>
              <w:t>2000≤Y＜5000</w:t>
            </w:r>
          </w:p>
        </w:tc>
        <w:tc>
          <w:tcPr>
            <w:tcW w:w="2022" w:type="dxa"/>
            <w:tcBorders>
              <w:top w:val="nil"/>
              <w:left w:val="nil"/>
              <w:bottom w:val="single" w:color="auto" w:sz="4" w:space="0"/>
              <w:right w:val="single" w:color="auto" w:sz="4" w:space="0"/>
            </w:tcBorders>
            <w:vAlign w:val="center"/>
          </w:tcPr>
          <w:p w14:paraId="2748FF00">
            <w:pPr>
              <w:keepNext w:val="0"/>
              <w:keepLines w:val="0"/>
              <w:widowControl/>
              <w:suppressLineNumbers w:val="0"/>
              <w:spacing w:before="0" w:beforeAutospacing="0" w:after="0" w:afterAutospacing="0"/>
              <w:ind w:left="0" w:right="0"/>
              <w:jc w:val="left"/>
              <w:rPr>
                <w:rFonts w:hint="default" w:ascii="方正仿宋_GB2312" w:hAnsi="仿宋" w:eastAsia="方正仿宋_GB2312" w:cs="宋体"/>
                <w:color w:val="auto"/>
                <w:kern w:val="0"/>
                <w:sz w:val="18"/>
                <w:szCs w:val="18"/>
                <w:highlight w:val="none"/>
              </w:rPr>
            </w:pPr>
            <w:r>
              <w:rPr>
                <w:rFonts w:hint="eastAsia" w:ascii="方正仿宋_GB2312" w:hAnsi="仿宋" w:eastAsia="方正仿宋_GB2312" w:cs="宋体"/>
                <w:color w:val="auto"/>
                <w:kern w:val="0"/>
                <w:sz w:val="18"/>
                <w:szCs w:val="18"/>
                <w:highlight w:val="none"/>
              </w:rPr>
              <w:t>Y＜2000</w:t>
            </w:r>
          </w:p>
        </w:tc>
      </w:tr>
      <w:tr w14:paraId="57859D52">
        <w:tblPrEx>
          <w:tblCellMar>
            <w:top w:w="0" w:type="dxa"/>
            <w:left w:w="108" w:type="dxa"/>
            <w:bottom w:w="0" w:type="dxa"/>
            <w:right w:w="108" w:type="dxa"/>
          </w:tblCellMar>
        </w:tblPrEx>
        <w:trPr>
          <w:trHeight w:val="225" w:hRule="atLeast"/>
        </w:trPr>
        <w:tc>
          <w:tcPr>
            <w:tcW w:w="1701" w:type="dxa"/>
            <w:vMerge w:val="restart"/>
            <w:tcBorders>
              <w:top w:val="nil"/>
              <w:left w:val="single" w:color="auto" w:sz="4" w:space="0"/>
              <w:bottom w:val="single" w:color="auto" w:sz="4" w:space="0"/>
              <w:right w:val="single" w:color="auto" w:sz="4" w:space="0"/>
            </w:tcBorders>
            <w:vAlign w:val="bottom"/>
          </w:tcPr>
          <w:p w14:paraId="21619A98">
            <w:pPr>
              <w:keepNext w:val="0"/>
              <w:keepLines w:val="0"/>
              <w:widowControl/>
              <w:suppressLineNumbers w:val="0"/>
              <w:spacing w:before="0" w:beforeAutospacing="0" w:after="0" w:afterAutospacing="0"/>
              <w:ind w:left="0" w:right="0"/>
              <w:jc w:val="center"/>
              <w:rPr>
                <w:rFonts w:hint="default" w:ascii="方正仿宋_GB2312" w:hAnsi="仿宋" w:eastAsia="方正仿宋_GB2312" w:cs="宋体"/>
                <w:b/>
                <w:bCs/>
                <w:color w:val="auto"/>
                <w:kern w:val="0"/>
                <w:sz w:val="18"/>
                <w:szCs w:val="18"/>
                <w:highlight w:val="none"/>
              </w:rPr>
            </w:pPr>
            <w:r>
              <w:rPr>
                <w:rFonts w:hint="eastAsia" w:ascii="方正仿宋_GB2312" w:hAnsi="仿宋" w:eastAsia="方正仿宋_GB2312" w:cs="宋体"/>
                <w:b/>
                <w:bCs/>
                <w:color w:val="auto"/>
                <w:kern w:val="0"/>
                <w:sz w:val="18"/>
                <w:szCs w:val="18"/>
                <w:highlight w:val="none"/>
              </w:rPr>
              <w:t>物业管理</w:t>
            </w:r>
          </w:p>
        </w:tc>
        <w:tc>
          <w:tcPr>
            <w:tcW w:w="1383" w:type="dxa"/>
            <w:tcBorders>
              <w:top w:val="nil"/>
              <w:left w:val="nil"/>
              <w:bottom w:val="single" w:color="auto" w:sz="4" w:space="0"/>
              <w:right w:val="single" w:color="auto" w:sz="4" w:space="0"/>
            </w:tcBorders>
            <w:vAlign w:val="center"/>
          </w:tcPr>
          <w:p w14:paraId="306A674E">
            <w:pPr>
              <w:keepNext w:val="0"/>
              <w:keepLines w:val="0"/>
              <w:widowControl/>
              <w:suppressLineNumbers w:val="0"/>
              <w:spacing w:before="0" w:beforeAutospacing="0" w:after="0" w:afterAutospacing="0"/>
              <w:ind w:left="0" w:right="0"/>
              <w:jc w:val="left"/>
              <w:rPr>
                <w:rFonts w:hint="default" w:ascii="方正仿宋_GB2312" w:hAnsi="仿宋" w:eastAsia="方正仿宋_GB2312" w:cs="宋体"/>
                <w:color w:val="auto"/>
                <w:kern w:val="0"/>
                <w:sz w:val="18"/>
                <w:szCs w:val="18"/>
                <w:highlight w:val="none"/>
              </w:rPr>
            </w:pPr>
            <w:r>
              <w:rPr>
                <w:rFonts w:hint="eastAsia" w:ascii="方正仿宋_GB2312" w:hAnsi="仿宋" w:eastAsia="方正仿宋_GB2312" w:cs="宋体"/>
                <w:color w:val="auto"/>
                <w:kern w:val="0"/>
                <w:sz w:val="18"/>
                <w:szCs w:val="18"/>
                <w:highlight w:val="none"/>
              </w:rPr>
              <w:t>从业人员（X）</w:t>
            </w:r>
          </w:p>
        </w:tc>
        <w:tc>
          <w:tcPr>
            <w:tcW w:w="913" w:type="dxa"/>
            <w:tcBorders>
              <w:top w:val="nil"/>
              <w:left w:val="nil"/>
              <w:bottom w:val="single" w:color="auto" w:sz="4" w:space="0"/>
              <w:right w:val="single" w:color="auto" w:sz="4" w:space="0"/>
            </w:tcBorders>
            <w:vAlign w:val="center"/>
          </w:tcPr>
          <w:p w14:paraId="2D6ECB06">
            <w:pPr>
              <w:keepNext w:val="0"/>
              <w:keepLines w:val="0"/>
              <w:widowControl/>
              <w:suppressLineNumbers w:val="0"/>
              <w:spacing w:before="0" w:beforeAutospacing="0" w:after="0" w:afterAutospacing="0"/>
              <w:ind w:left="0" w:right="0"/>
              <w:jc w:val="left"/>
              <w:rPr>
                <w:rFonts w:hint="default" w:ascii="方正仿宋_GB2312" w:hAnsi="仿宋" w:eastAsia="方正仿宋_GB2312" w:cs="宋体"/>
                <w:color w:val="auto"/>
                <w:kern w:val="0"/>
                <w:sz w:val="18"/>
                <w:szCs w:val="18"/>
                <w:highlight w:val="none"/>
              </w:rPr>
            </w:pPr>
            <w:r>
              <w:rPr>
                <w:rFonts w:hint="eastAsia" w:ascii="方正仿宋_GB2312" w:hAnsi="仿宋" w:eastAsia="方正仿宋_GB2312" w:cs="宋体"/>
                <w:color w:val="auto"/>
                <w:kern w:val="0"/>
                <w:sz w:val="18"/>
                <w:szCs w:val="18"/>
                <w:highlight w:val="none"/>
              </w:rPr>
              <w:t>人</w:t>
            </w:r>
          </w:p>
        </w:tc>
        <w:tc>
          <w:tcPr>
            <w:tcW w:w="1619" w:type="dxa"/>
            <w:tcBorders>
              <w:top w:val="nil"/>
              <w:left w:val="nil"/>
              <w:bottom w:val="single" w:color="auto" w:sz="4" w:space="0"/>
              <w:right w:val="single" w:color="auto" w:sz="4" w:space="0"/>
            </w:tcBorders>
            <w:vAlign w:val="center"/>
          </w:tcPr>
          <w:p w14:paraId="647D85E6">
            <w:pPr>
              <w:keepNext w:val="0"/>
              <w:keepLines w:val="0"/>
              <w:widowControl/>
              <w:suppressLineNumbers w:val="0"/>
              <w:spacing w:before="0" w:beforeAutospacing="0" w:after="0" w:afterAutospacing="0"/>
              <w:ind w:left="0" w:right="0"/>
              <w:jc w:val="left"/>
              <w:rPr>
                <w:rFonts w:hint="default" w:ascii="方正仿宋_GB2312" w:hAnsi="仿宋" w:eastAsia="方正仿宋_GB2312" w:cs="宋体"/>
                <w:color w:val="auto"/>
                <w:kern w:val="0"/>
                <w:sz w:val="18"/>
                <w:szCs w:val="18"/>
                <w:highlight w:val="none"/>
              </w:rPr>
            </w:pPr>
            <w:r>
              <w:rPr>
                <w:rFonts w:hint="eastAsia" w:ascii="方正仿宋_GB2312" w:hAnsi="仿宋" w:eastAsia="方正仿宋_GB2312" w:cs="宋体"/>
                <w:color w:val="auto"/>
                <w:kern w:val="0"/>
                <w:sz w:val="18"/>
                <w:szCs w:val="18"/>
                <w:highlight w:val="none"/>
              </w:rPr>
              <w:t>300≤X＜1000</w:t>
            </w:r>
          </w:p>
        </w:tc>
        <w:tc>
          <w:tcPr>
            <w:tcW w:w="1439" w:type="dxa"/>
            <w:tcBorders>
              <w:top w:val="nil"/>
              <w:left w:val="nil"/>
              <w:bottom w:val="single" w:color="auto" w:sz="4" w:space="0"/>
              <w:right w:val="single" w:color="auto" w:sz="4" w:space="0"/>
            </w:tcBorders>
            <w:vAlign w:val="center"/>
          </w:tcPr>
          <w:p w14:paraId="274EC882">
            <w:pPr>
              <w:keepNext w:val="0"/>
              <w:keepLines w:val="0"/>
              <w:widowControl/>
              <w:suppressLineNumbers w:val="0"/>
              <w:spacing w:before="0" w:beforeAutospacing="0" w:after="0" w:afterAutospacing="0"/>
              <w:ind w:left="0" w:right="0"/>
              <w:jc w:val="left"/>
              <w:rPr>
                <w:rFonts w:hint="default" w:ascii="方正仿宋_GB2312" w:hAnsi="仿宋" w:eastAsia="方正仿宋_GB2312" w:cs="宋体"/>
                <w:color w:val="auto"/>
                <w:kern w:val="0"/>
                <w:sz w:val="18"/>
                <w:szCs w:val="18"/>
                <w:highlight w:val="none"/>
              </w:rPr>
            </w:pPr>
            <w:r>
              <w:rPr>
                <w:rFonts w:hint="eastAsia" w:ascii="方正仿宋_GB2312" w:hAnsi="仿宋" w:eastAsia="方正仿宋_GB2312" w:cs="宋体"/>
                <w:color w:val="auto"/>
                <w:kern w:val="0"/>
                <w:sz w:val="18"/>
                <w:szCs w:val="18"/>
                <w:highlight w:val="none"/>
              </w:rPr>
              <w:t>100≤X＜300</w:t>
            </w:r>
          </w:p>
        </w:tc>
        <w:tc>
          <w:tcPr>
            <w:tcW w:w="2022" w:type="dxa"/>
            <w:tcBorders>
              <w:top w:val="nil"/>
              <w:left w:val="nil"/>
              <w:bottom w:val="single" w:color="auto" w:sz="4" w:space="0"/>
              <w:right w:val="single" w:color="auto" w:sz="4" w:space="0"/>
            </w:tcBorders>
            <w:vAlign w:val="center"/>
          </w:tcPr>
          <w:p w14:paraId="0AADFC32">
            <w:pPr>
              <w:keepNext w:val="0"/>
              <w:keepLines w:val="0"/>
              <w:widowControl/>
              <w:suppressLineNumbers w:val="0"/>
              <w:spacing w:before="0" w:beforeAutospacing="0" w:after="0" w:afterAutospacing="0"/>
              <w:ind w:left="0" w:right="0"/>
              <w:jc w:val="left"/>
              <w:rPr>
                <w:rFonts w:hint="default" w:ascii="方正仿宋_GB2312" w:hAnsi="仿宋" w:eastAsia="方正仿宋_GB2312" w:cs="宋体"/>
                <w:color w:val="auto"/>
                <w:kern w:val="0"/>
                <w:sz w:val="18"/>
                <w:szCs w:val="18"/>
                <w:highlight w:val="none"/>
              </w:rPr>
            </w:pPr>
            <w:r>
              <w:rPr>
                <w:rFonts w:hint="eastAsia" w:ascii="方正仿宋_GB2312" w:hAnsi="仿宋" w:eastAsia="方正仿宋_GB2312" w:cs="宋体"/>
                <w:color w:val="auto"/>
                <w:kern w:val="0"/>
                <w:sz w:val="18"/>
                <w:szCs w:val="18"/>
                <w:highlight w:val="none"/>
              </w:rPr>
              <w:t>X＜100</w:t>
            </w:r>
          </w:p>
        </w:tc>
      </w:tr>
      <w:tr w14:paraId="4AAA54A5">
        <w:tblPrEx>
          <w:tblCellMar>
            <w:top w:w="0" w:type="dxa"/>
            <w:left w:w="108" w:type="dxa"/>
            <w:bottom w:w="0" w:type="dxa"/>
            <w:right w:w="108" w:type="dxa"/>
          </w:tblCellMar>
        </w:tblPrEx>
        <w:trPr>
          <w:trHeight w:val="225" w:hRule="atLeast"/>
        </w:trPr>
        <w:tc>
          <w:tcPr>
            <w:tcW w:w="1701" w:type="dxa"/>
            <w:vMerge w:val="continue"/>
            <w:tcBorders>
              <w:top w:val="nil"/>
              <w:left w:val="single" w:color="auto" w:sz="4" w:space="0"/>
              <w:bottom w:val="single" w:color="auto" w:sz="4" w:space="0"/>
              <w:right w:val="single" w:color="auto" w:sz="4" w:space="0"/>
            </w:tcBorders>
            <w:vAlign w:val="center"/>
          </w:tcPr>
          <w:p w14:paraId="587F38B3">
            <w:pPr>
              <w:keepNext w:val="0"/>
              <w:keepLines w:val="0"/>
              <w:widowControl/>
              <w:suppressLineNumbers w:val="0"/>
              <w:spacing w:before="0" w:beforeAutospacing="0" w:after="0" w:afterAutospacing="0"/>
              <w:ind w:left="0" w:right="0"/>
              <w:jc w:val="left"/>
              <w:rPr>
                <w:rFonts w:hint="default" w:ascii="方正仿宋_GB2312" w:hAnsi="仿宋" w:eastAsia="方正仿宋_GB2312" w:cs="宋体"/>
                <w:b/>
                <w:bCs/>
                <w:color w:val="auto"/>
                <w:kern w:val="0"/>
                <w:sz w:val="18"/>
                <w:szCs w:val="18"/>
                <w:highlight w:val="none"/>
              </w:rPr>
            </w:pPr>
          </w:p>
        </w:tc>
        <w:tc>
          <w:tcPr>
            <w:tcW w:w="1383" w:type="dxa"/>
            <w:tcBorders>
              <w:top w:val="nil"/>
              <w:left w:val="nil"/>
              <w:bottom w:val="single" w:color="auto" w:sz="4" w:space="0"/>
              <w:right w:val="single" w:color="auto" w:sz="4" w:space="0"/>
            </w:tcBorders>
            <w:vAlign w:val="center"/>
          </w:tcPr>
          <w:p w14:paraId="02AE85AB">
            <w:pPr>
              <w:keepNext w:val="0"/>
              <w:keepLines w:val="0"/>
              <w:widowControl/>
              <w:suppressLineNumbers w:val="0"/>
              <w:spacing w:before="0" w:beforeAutospacing="0" w:after="0" w:afterAutospacing="0"/>
              <w:ind w:left="0" w:right="0"/>
              <w:jc w:val="left"/>
              <w:rPr>
                <w:rFonts w:hint="default" w:ascii="方正仿宋_GB2312" w:hAnsi="仿宋" w:eastAsia="方正仿宋_GB2312" w:cs="宋体"/>
                <w:color w:val="auto"/>
                <w:kern w:val="0"/>
                <w:sz w:val="18"/>
                <w:szCs w:val="18"/>
                <w:highlight w:val="none"/>
              </w:rPr>
            </w:pPr>
            <w:r>
              <w:rPr>
                <w:rFonts w:hint="eastAsia" w:ascii="方正仿宋_GB2312" w:hAnsi="仿宋" w:eastAsia="方正仿宋_GB2312" w:cs="宋体"/>
                <w:color w:val="auto"/>
                <w:kern w:val="0"/>
                <w:sz w:val="18"/>
                <w:szCs w:val="18"/>
                <w:highlight w:val="none"/>
              </w:rPr>
              <w:t>营业收入（Y）</w:t>
            </w:r>
          </w:p>
        </w:tc>
        <w:tc>
          <w:tcPr>
            <w:tcW w:w="913" w:type="dxa"/>
            <w:tcBorders>
              <w:top w:val="nil"/>
              <w:left w:val="nil"/>
              <w:bottom w:val="single" w:color="auto" w:sz="4" w:space="0"/>
              <w:right w:val="single" w:color="auto" w:sz="4" w:space="0"/>
            </w:tcBorders>
            <w:vAlign w:val="center"/>
          </w:tcPr>
          <w:p w14:paraId="7B091B0D">
            <w:pPr>
              <w:keepNext w:val="0"/>
              <w:keepLines w:val="0"/>
              <w:widowControl/>
              <w:suppressLineNumbers w:val="0"/>
              <w:spacing w:before="0" w:beforeAutospacing="0" w:after="0" w:afterAutospacing="0"/>
              <w:ind w:left="0" w:right="0"/>
              <w:jc w:val="left"/>
              <w:rPr>
                <w:rFonts w:hint="default" w:ascii="方正仿宋_GB2312" w:hAnsi="仿宋" w:eastAsia="方正仿宋_GB2312" w:cs="宋体"/>
                <w:color w:val="auto"/>
                <w:kern w:val="0"/>
                <w:sz w:val="18"/>
                <w:szCs w:val="18"/>
                <w:highlight w:val="none"/>
              </w:rPr>
            </w:pPr>
            <w:r>
              <w:rPr>
                <w:rFonts w:hint="eastAsia" w:ascii="方正仿宋_GB2312" w:hAnsi="仿宋" w:eastAsia="方正仿宋_GB2312" w:cs="宋体"/>
                <w:color w:val="auto"/>
                <w:kern w:val="0"/>
                <w:sz w:val="18"/>
                <w:szCs w:val="18"/>
                <w:highlight w:val="none"/>
              </w:rPr>
              <w:t>万元</w:t>
            </w:r>
          </w:p>
        </w:tc>
        <w:tc>
          <w:tcPr>
            <w:tcW w:w="1619" w:type="dxa"/>
            <w:tcBorders>
              <w:top w:val="nil"/>
              <w:left w:val="nil"/>
              <w:bottom w:val="single" w:color="auto" w:sz="4" w:space="0"/>
              <w:right w:val="single" w:color="auto" w:sz="4" w:space="0"/>
            </w:tcBorders>
            <w:vAlign w:val="center"/>
          </w:tcPr>
          <w:p w14:paraId="1544564D">
            <w:pPr>
              <w:keepNext w:val="0"/>
              <w:keepLines w:val="0"/>
              <w:widowControl/>
              <w:suppressLineNumbers w:val="0"/>
              <w:spacing w:before="0" w:beforeAutospacing="0" w:after="0" w:afterAutospacing="0"/>
              <w:ind w:left="0" w:right="0"/>
              <w:jc w:val="left"/>
              <w:rPr>
                <w:rFonts w:hint="default" w:ascii="方正仿宋_GB2312" w:hAnsi="仿宋" w:eastAsia="方正仿宋_GB2312" w:cs="宋体"/>
                <w:color w:val="auto"/>
                <w:kern w:val="0"/>
                <w:sz w:val="18"/>
                <w:szCs w:val="18"/>
                <w:highlight w:val="none"/>
              </w:rPr>
            </w:pPr>
            <w:r>
              <w:rPr>
                <w:rFonts w:hint="eastAsia" w:ascii="方正仿宋_GB2312" w:hAnsi="仿宋" w:eastAsia="方正仿宋_GB2312" w:cs="宋体"/>
                <w:color w:val="auto"/>
                <w:kern w:val="0"/>
                <w:sz w:val="18"/>
                <w:szCs w:val="18"/>
                <w:highlight w:val="none"/>
              </w:rPr>
              <w:t>1000≤Y＜5000</w:t>
            </w:r>
          </w:p>
        </w:tc>
        <w:tc>
          <w:tcPr>
            <w:tcW w:w="1439" w:type="dxa"/>
            <w:tcBorders>
              <w:top w:val="nil"/>
              <w:left w:val="nil"/>
              <w:bottom w:val="single" w:color="auto" w:sz="4" w:space="0"/>
              <w:right w:val="single" w:color="auto" w:sz="4" w:space="0"/>
            </w:tcBorders>
            <w:vAlign w:val="center"/>
          </w:tcPr>
          <w:p w14:paraId="18CB95B4">
            <w:pPr>
              <w:keepNext w:val="0"/>
              <w:keepLines w:val="0"/>
              <w:widowControl/>
              <w:suppressLineNumbers w:val="0"/>
              <w:spacing w:before="0" w:beforeAutospacing="0" w:after="0" w:afterAutospacing="0"/>
              <w:ind w:left="0" w:right="0"/>
              <w:jc w:val="left"/>
              <w:rPr>
                <w:rFonts w:hint="default" w:ascii="方正仿宋_GB2312" w:hAnsi="仿宋" w:eastAsia="方正仿宋_GB2312" w:cs="宋体"/>
                <w:color w:val="auto"/>
                <w:kern w:val="0"/>
                <w:sz w:val="18"/>
                <w:szCs w:val="18"/>
                <w:highlight w:val="none"/>
              </w:rPr>
            </w:pPr>
            <w:r>
              <w:rPr>
                <w:rFonts w:hint="eastAsia" w:ascii="方正仿宋_GB2312" w:hAnsi="仿宋" w:eastAsia="方正仿宋_GB2312" w:cs="宋体"/>
                <w:color w:val="auto"/>
                <w:kern w:val="0"/>
                <w:sz w:val="18"/>
                <w:szCs w:val="18"/>
                <w:highlight w:val="none"/>
              </w:rPr>
              <w:t>500≤Y＜1000</w:t>
            </w:r>
          </w:p>
        </w:tc>
        <w:tc>
          <w:tcPr>
            <w:tcW w:w="2022" w:type="dxa"/>
            <w:tcBorders>
              <w:top w:val="nil"/>
              <w:left w:val="nil"/>
              <w:bottom w:val="single" w:color="auto" w:sz="4" w:space="0"/>
              <w:right w:val="single" w:color="auto" w:sz="4" w:space="0"/>
            </w:tcBorders>
            <w:vAlign w:val="center"/>
          </w:tcPr>
          <w:p w14:paraId="2FFAF9D1">
            <w:pPr>
              <w:keepNext w:val="0"/>
              <w:keepLines w:val="0"/>
              <w:widowControl/>
              <w:suppressLineNumbers w:val="0"/>
              <w:spacing w:before="0" w:beforeAutospacing="0" w:after="0" w:afterAutospacing="0"/>
              <w:ind w:left="0" w:right="0"/>
              <w:jc w:val="left"/>
              <w:rPr>
                <w:rFonts w:hint="default" w:ascii="方正仿宋_GB2312" w:hAnsi="仿宋" w:eastAsia="方正仿宋_GB2312" w:cs="宋体"/>
                <w:color w:val="auto"/>
                <w:kern w:val="0"/>
                <w:sz w:val="18"/>
                <w:szCs w:val="18"/>
                <w:highlight w:val="none"/>
              </w:rPr>
            </w:pPr>
            <w:r>
              <w:rPr>
                <w:rFonts w:hint="eastAsia" w:ascii="方正仿宋_GB2312" w:hAnsi="仿宋" w:eastAsia="方正仿宋_GB2312" w:cs="宋体"/>
                <w:color w:val="auto"/>
                <w:kern w:val="0"/>
                <w:sz w:val="18"/>
                <w:szCs w:val="18"/>
                <w:highlight w:val="none"/>
              </w:rPr>
              <w:t>Y＜500</w:t>
            </w:r>
          </w:p>
        </w:tc>
      </w:tr>
      <w:tr w14:paraId="21BA389F">
        <w:tblPrEx>
          <w:tblCellMar>
            <w:top w:w="0" w:type="dxa"/>
            <w:left w:w="108" w:type="dxa"/>
            <w:bottom w:w="0" w:type="dxa"/>
            <w:right w:w="108" w:type="dxa"/>
          </w:tblCellMar>
        </w:tblPrEx>
        <w:trPr>
          <w:trHeight w:val="225" w:hRule="atLeast"/>
        </w:trPr>
        <w:tc>
          <w:tcPr>
            <w:tcW w:w="1701" w:type="dxa"/>
            <w:vMerge w:val="restart"/>
            <w:tcBorders>
              <w:top w:val="nil"/>
              <w:left w:val="single" w:color="auto" w:sz="4" w:space="0"/>
              <w:bottom w:val="single" w:color="auto" w:sz="4" w:space="0"/>
              <w:right w:val="single" w:color="auto" w:sz="4" w:space="0"/>
            </w:tcBorders>
            <w:vAlign w:val="bottom"/>
          </w:tcPr>
          <w:p w14:paraId="273FD3CC">
            <w:pPr>
              <w:keepNext w:val="0"/>
              <w:keepLines w:val="0"/>
              <w:widowControl/>
              <w:suppressLineNumbers w:val="0"/>
              <w:spacing w:before="0" w:beforeAutospacing="0" w:after="0" w:afterAutospacing="0"/>
              <w:ind w:left="0" w:right="0"/>
              <w:jc w:val="center"/>
              <w:rPr>
                <w:rFonts w:hint="default" w:ascii="方正仿宋_GB2312" w:hAnsi="仿宋" w:eastAsia="方正仿宋_GB2312" w:cs="宋体"/>
                <w:b/>
                <w:bCs/>
                <w:color w:val="auto"/>
                <w:kern w:val="0"/>
                <w:sz w:val="18"/>
                <w:szCs w:val="18"/>
                <w:highlight w:val="none"/>
              </w:rPr>
            </w:pPr>
            <w:r>
              <w:rPr>
                <w:rFonts w:hint="eastAsia" w:ascii="方正仿宋_GB2312" w:hAnsi="仿宋" w:eastAsia="方正仿宋_GB2312" w:cs="宋体"/>
                <w:b/>
                <w:bCs/>
                <w:color w:val="auto"/>
                <w:kern w:val="0"/>
                <w:sz w:val="18"/>
                <w:szCs w:val="18"/>
                <w:highlight w:val="none"/>
              </w:rPr>
              <w:t>租赁和商务服务业</w:t>
            </w:r>
          </w:p>
        </w:tc>
        <w:tc>
          <w:tcPr>
            <w:tcW w:w="1383" w:type="dxa"/>
            <w:tcBorders>
              <w:top w:val="nil"/>
              <w:left w:val="nil"/>
              <w:bottom w:val="single" w:color="auto" w:sz="4" w:space="0"/>
              <w:right w:val="single" w:color="auto" w:sz="4" w:space="0"/>
            </w:tcBorders>
            <w:vAlign w:val="center"/>
          </w:tcPr>
          <w:p w14:paraId="66D3632A">
            <w:pPr>
              <w:keepNext w:val="0"/>
              <w:keepLines w:val="0"/>
              <w:widowControl/>
              <w:suppressLineNumbers w:val="0"/>
              <w:spacing w:before="0" w:beforeAutospacing="0" w:after="0" w:afterAutospacing="0"/>
              <w:ind w:left="0" w:right="0"/>
              <w:jc w:val="left"/>
              <w:rPr>
                <w:rFonts w:hint="default" w:ascii="方正仿宋_GB2312" w:hAnsi="仿宋" w:eastAsia="方正仿宋_GB2312" w:cs="宋体"/>
                <w:color w:val="auto"/>
                <w:kern w:val="0"/>
                <w:sz w:val="18"/>
                <w:szCs w:val="18"/>
                <w:highlight w:val="none"/>
              </w:rPr>
            </w:pPr>
            <w:r>
              <w:rPr>
                <w:rFonts w:hint="eastAsia" w:ascii="方正仿宋_GB2312" w:hAnsi="仿宋" w:eastAsia="方正仿宋_GB2312" w:cs="宋体"/>
                <w:color w:val="auto"/>
                <w:kern w:val="0"/>
                <w:sz w:val="18"/>
                <w:szCs w:val="18"/>
                <w:highlight w:val="none"/>
              </w:rPr>
              <w:t>从业人员（X）</w:t>
            </w:r>
          </w:p>
        </w:tc>
        <w:tc>
          <w:tcPr>
            <w:tcW w:w="913" w:type="dxa"/>
            <w:tcBorders>
              <w:top w:val="nil"/>
              <w:left w:val="nil"/>
              <w:bottom w:val="single" w:color="auto" w:sz="4" w:space="0"/>
              <w:right w:val="single" w:color="auto" w:sz="4" w:space="0"/>
            </w:tcBorders>
            <w:vAlign w:val="center"/>
          </w:tcPr>
          <w:p w14:paraId="2C080083">
            <w:pPr>
              <w:keepNext w:val="0"/>
              <w:keepLines w:val="0"/>
              <w:widowControl/>
              <w:suppressLineNumbers w:val="0"/>
              <w:spacing w:before="0" w:beforeAutospacing="0" w:after="0" w:afterAutospacing="0"/>
              <w:ind w:left="0" w:right="0"/>
              <w:jc w:val="left"/>
              <w:rPr>
                <w:rFonts w:hint="default" w:ascii="方正仿宋_GB2312" w:hAnsi="仿宋" w:eastAsia="方正仿宋_GB2312" w:cs="宋体"/>
                <w:color w:val="auto"/>
                <w:kern w:val="0"/>
                <w:sz w:val="18"/>
                <w:szCs w:val="18"/>
                <w:highlight w:val="none"/>
              </w:rPr>
            </w:pPr>
            <w:r>
              <w:rPr>
                <w:rFonts w:hint="eastAsia" w:ascii="方正仿宋_GB2312" w:hAnsi="仿宋" w:eastAsia="方正仿宋_GB2312" w:cs="宋体"/>
                <w:color w:val="auto"/>
                <w:kern w:val="0"/>
                <w:sz w:val="18"/>
                <w:szCs w:val="18"/>
                <w:highlight w:val="none"/>
              </w:rPr>
              <w:t>人</w:t>
            </w:r>
          </w:p>
        </w:tc>
        <w:tc>
          <w:tcPr>
            <w:tcW w:w="1619" w:type="dxa"/>
            <w:tcBorders>
              <w:top w:val="nil"/>
              <w:left w:val="nil"/>
              <w:bottom w:val="single" w:color="auto" w:sz="4" w:space="0"/>
              <w:right w:val="single" w:color="auto" w:sz="4" w:space="0"/>
            </w:tcBorders>
            <w:vAlign w:val="center"/>
          </w:tcPr>
          <w:p w14:paraId="422A03E3">
            <w:pPr>
              <w:keepNext w:val="0"/>
              <w:keepLines w:val="0"/>
              <w:widowControl/>
              <w:suppressLineNumbers w:val="0"/>
              <w:spacing w:before="0" w:beforeAutospacing="0" w:after="0" w:afterAutospacing="0"/>
              <w:ind w:left="0" w:right="0"/>
              <w:jc w:val="left"/>
              <w:rPr>
                <w:rFonts w:hint="default" w:ascii="方正仿宋_GB2312" w:hAnsi="仿宋" w:eastAsia="方正仿宋_GB2312" w:cs="宋体"/>
                <w:color w:val="auto"/>
                <w:kern w:val="0"/>
                <w:sz w:val="18"/>
                <w:szCs w:val="18"/>
                <w:highlight w:val="none"/>
              </w:rPr>
            </w:pPr>
            <w:r>
              <w:rPr>
                <w:rFonts w:hint="eastAsia" w:ascii="方正仿宋_GB2312" w:hAnsi="仿宋" w:eastAsia="方正仿宋_GB2312" w:cs="宋体"/>
                <w:color w:val="auto"/>
                <w:kern w:val="0"/>
                <w:sz w:val="18"/>
                <w:szCs w:val="18"/>
                <w:highlight w:val="none"/>
              </w:rPr>
              <w:t>100≤X＜300</w:t>
            </w:r>
          </w:p>
        </w:tc>
        <w:tc>
          <w:tcPr>
            <w:tcW w:w="1439" w:type="dxa"/>
            <w:tcBorders>
              <w:top w:val="nil"/>
              <w:left w:val="nil"/>
              <w:bottom w:val="single" w:color="auto" w:sz="4" w:space="0"/>
              <w:right w:val="single" w:color="auto" w:sz="4" w:space="0"/>
            </w:tcBorders>
            <w:vAlign w:val="center"/>
          </w:tcPr>
          <w:p w14:paraId="65CEBC70">
            <w:pPr>
              <w:keepNext w:val="0"/>
              <w:keepLines w:val="0"/>
              <w:widowControl/>
              <w:suppressLineNumbers w:val="0"/>
              <w:spacing w:before="0" w:beforeAutospacing="0" w:after="0" w:afterAutospacing="0"/>
              <w:ind w:left="0" w:right="0"/>
              <w:jc w:val="left"/>
              <w:rPr>
                <w:rFonts w:hint="default" w:ascii="方正仿宋_GB2312" w:hAnsi="仿宋" w:eastAsia="方正仿宋_GB2312" w:cs="宋体"/>
                <w:color w:val="auto"/>
                <w:kern w:val="0"/>
                <w:sz w:val="18"/>
                <w:szCs w:val="18"/>
                <w:highlight w:val="none"/>
              </w:rPr>
            </w:pPr>
            <w:r>
              <w:rPr>
                <w:rFonts w:hint="eastAsia" w:ascii="方正仿宋_GB2312" w:hAnsi="仿宋" w:eastAsia="方正仿宋_GB2312" w:cs="宋体"/>
                <w:color w:val="auto"/>
                <w:kern w:val="0"/>
                <w:sz w:val="18"/>
                <w:szCs w:val="18"/>
                <w:highlight w:val="none"/>
              </w:rPr>
              <w:t>10≤X＜100</w:t>
            </w:r>
          </w:p>
        </w:tc>
        <w:tc>
          <w:tcPr>
            <w:tcW w:w="2022" w:type="dxa"/>
            <w:tcBorders>
              <w:top w:val="nil"/>
              <w:left w:val="nil"/>
              <w:bottom w:val="single" w:color="auto" w:sz="4" w:space="0"/>
              <w:right w:val="single" w:color="auto" w:sz="4" w:space="0"/>
            </w:tcBorders>
            <w:vAlign w:val="center"/>
          </w:tcPr>
          <w:p w14:paraId="04228C86">
            <w:pPr>
              <w:keepNext w:val="0"/>
              <w:keepLines w:val="0"/>
              <w:widowControl/>
              <w:suppressLineNumbers w:val="0"/>
              <w:spacing w:before="0" w:beforeAutospacing="0" w:after="0" w:afterAutospacing="0"/>
              <w:ind w:left="0" w:right="0"/>
              <w:jc w:val="left"/>
              <w:rPr>
                <w:rFonts w:hint="default" w:ascii="方正仿宋_GB2312" w:hAnsi="仿宋" w:eastAsia="方正仿宋_GB2312" w:cs="宋体"/>
                <w:color w:val="auto"/>
                <w:kern w:val="0"/>
                <w:sz w:val="18"/>
                <w:szCs w:val="18"/>
                <w:highlight w:val="none"/>
              </w:rPr>
            </w:pPr>
            <w:r>
              <w:rPr>
                <w:rFonts w:hint="eastAsia" w:ascii="方正仿宋_GB2312" w:hAnsi="仿宋" w:eastAsia="方正仿宋_GB2312" w:cs="宋体"/>
                <w:color w:val="auto"/>
                <w:kern w:val="0"/>
                <w:sz w:val="18"/>
                <w:szCs w:val="18"/>
                <w:highlight w:val="none"/>
              </w:rPr>
              <w:t>X＜10</w:t>
            </w:r>
          </w:p>
        </w:tc>
      </w:tr>
      <w:tr w14:paraId="15081B60">
        <w:tblPrEx>
          <w:tblCellMar>
            <w:top w:w="0" w:type="dxa"/>
            <w:left w:w="108" w:type="dxa"/>
            <w:bottom w:w="0" w:type="dxa"/>
            <w:right w:w="108" w:type="dxa"/>
          </w:tblCellMar>
        </w:tblPrEx>
        <w:trPr>
          <w:trHeight w:val="225" w:hRule="atLeast"/>
        </w:trPr>
        <w:tc>
          <w:tcPr>
            <w:tcW w:w="1701" w:type="dxa"/>
            <w:vMerge w:val="continue"/>
            <w:tcBorders>
              <w:top w:val="nil"/>
              <w:left w:val="single" w:color="auto" w:sz="4" w:space="0"/>
              <w:bottom w:val="single" w:color="auto" w:sz="4" w:space="0"/>
              <w:right w:val="single" w:color="auto" w:sz="4" w:space="0"/>
            </w:tcBorders>
            <w:vAlign w:val="center"/>
          </w:tcPr>
          <w:p w14:paraId="04FC4D00">
            <w:pPr>
              <w:keepNext w:val="0"/>
              <w:keepLines w:val="0"/>
              <w:widowControl/>
              <w:suppressLineNumbers w:val="0"/>
              <w:spacing w:before="0" w:beforeAutospacing="0" w:after="0" w:afterAutospacing="0"/>
              <w:ind w:left="0" w:right="0"/>
              <w:jc w:val="left"/>
              <w:rPr>
                <w:rFonts w:hint="default" w:ascii="方正仿宋_GB2312" w:hAnsi="仿宋" w:eastAsia="方正仿宋_GB2312" w:cs="宋体"/>
                <w:b/>
                <w:bCs/>
                <w:color w:val="auto"/>
                <w:kern w:val="0"/>
                <w:sz w:val="18"/>
                <w:szCs w:val="18"/>
                <w:highlight w:val="none"/>
              </w:rPr>
            </w:pPr>
          </w:p>
        </w:tc>
        <w:tc>
          <w:tcPr>
            <w:tcW w:w="1383" w:type="dxa"/>
            <w:tcBorders>
              <w:top w:val="nil"/>
              <w:left w:val="nil"/>
              <w:bottom w:val="single" w:color="auto" w:sz="4" w:space="0"/>
              <w:right w:val="single" w:color="auto" w:sz="4" w:space="0"/>
            </w:tcBorders>
            <w:vAlign w:val="center"/>
          </w:tcPr>
          <w:p w14:paraId="0609EB21">
            <w:pPr>
              <w:keepNext w:val="0"/>
              <w:keepLines w:val="0"/>
              <w:widowControl/>
              <w:suppressLineNumbers w:val="0"/>
              <w:spacing w:before="0" w:beforeAutospacing="0" w:after="0" w:afterAutospacing="0"/>
              <w:ind w:left="0" w:right="0"/>
              <w:jc w:val="left"/>
              <w:rPr>
                <w:rFonts w:hint="default" w:ascii="方正仿宋_GB2312" w:hAnsi="仿宋" w:eastAsia="方正仿宋_GB2312" w:cs="宋体"/>
                <w:color w:val="auto"/>
                <w:kern w:val="0"/>
                <w:sz w:val="18"/>
                <w:szCs w:val="18"/>
                <w:highlight w:val="none"/>
              </w:rPr>
            </w:pPr>
            <w:r>
              <w:rPr>
                <w:rFonts w:hint="eastAsia" w:ascii="方正仿宋_GB2312" w:hAnsi="仿宋" w:eastAsia="方正仿宋_GB2312" w:cs="宋体"/>
                <w:color w:val="auto"/>
                <w:kern w:val="0"/>
                <w:sz w:val="18"/>
                <w:szCs w:val="18"/>
                <w:highlight w:val="none"/>
              </w:rPr>
              <w:t>资产总额（Z）</w:t>
            </w:r>
          </w:p>
        </w:tc>
        <w:tc>
          <w:tcPr>
            <w:tcW w:w="913" w:type="dxa"/>
            <w:tcBorders>
              <w:top w:val="nil"/>
              <w:left w:val="nil"/>
              <w:bottom w:val="single" w:color="auto" w:sz="4" w:space="0"/>
              <w:right w:val="single" w:color="auto" w:sz="4" w:space="0"/>
            </w:tcBorders>
            <w:vAlign w:val="center"/>
          </w:tcPr>
          <w:p w14:paraId="7F9F4A5C">
            <w:pPr>
              <w:keepNext w:val="0"/>
              <w:keepLines w:val="0"/>
              <w:widowControl/>
              <w:suppressLineNumbers w:val="0"/>
              <w:spacing w:before="0" w:beforeAutospacing="0" w:after="0" w:afterAutospacing="0"/>
              <w:ind w:left="0" w:right="0"/>
              <w:jc w:val="left"/>
              <w:rPr>
                <w:rFonts w:hint="default" w:ascii="方正仿宋_GB2312" w:hAnsi="仿宋" w:eastAsia="方正仿宋_GB2312" w:cs="宋体"/>
                <w:color w:val="auto"/>
                <w:kern w:val="0"/>
                <w:sz w:val="18"/>
                <w:szCs w:val="18"/>
                <w:highlight w:val="none"/>
              </w:rPr>
            </w:pPr>
            <w:r>
              <w:rPr>
                <w:rFonts w:hint="eastAsia" w:ascii="方正仿宋_GB2312" w:hAnsi="仿宋" w:eastAsia="方正仿宋_GB2312" w:cs="宋体"/>
                <w:color w:val="auto"/>
                <w:kern w:val="0"/>
                <w:sz w:val="18"/>
                <w:szCs w:val="18"/>
                <w:highlight w:val="none"/>
              </w:rPr>
              <w:t>万元</w:t>
            </w:r>
          </w:p>
        </w:tc>
        <w:tc>
          <w:tcPr>
            <w:tcW w:w="1619" w:type="dxa"/>
            <w:tcBorders>
              <w:top w:val="nil"/>
              <w:left w:val="nil"/>
              <w:bottom w:val="single" w:color="auto" w:sz="4" w:space="0"/>
              <w:right w:val="single" w:color="auto" w:sz="4" w:space="0"/>
            </w:tcBorders>
            <w:vAlign w:val="center"/>
          </w:tcPr>
          <w:p w14:paraId="416807FC">
            <w:pPr>
              <w:keepNext w:val="0"/>
              <w:keepLines w:val="0"/>
              <w:widowControl/>
              <w:suppressLineNumbers w:val="0"/>
              <w:spacing w:before="0" w:beforeAutospacing="0" w:after="0" w:afterAutospacing="0"/>
              <w:ind w:left="0" w:right="0"/>
              <w:jc w:val="left"/>
              <w:rPr>
                <w:rFonts w:hint="default" w:ascii="方正仿宋_GB2312" w:hAnsi="仿宋" w:eastAsia="方正仿宋_GB2312" w:cs="宋体"/>
                <w:color w:val="auto"/>
                <w:kern w:val="0"/>
                <w:sz w:val="18"/>
                <w:szCs w:val="18"/>
                <w:highlight w:val="none"/>
              </w:rPr>
            </w:pPr>
            <w:r>
              <w:rPr>
                <w:rFonts w:hint="eastAsia" w:ascii="方正仿宋_GB2312" w:hAnsi="仿宋" w:eastAsia="方正仿宋_GB2312" w:cs="宋体"/>
                <w:color w:val="auto"/>
                <w:kern w:val="0"/>
                <w:sz w:val="18"/>
                <w:szCs w:val="18"/>
                <w:highlight w:val="none"/>
              </w:rPr>
              <w:t>8000≤Z＜120000</w:t>
            </w:r>
          </w:p>
        </w:tc>
        <w:tc>
          <w:tcPr>
            <w:tcW w:w="1439" w:type="dxa"/>
            <w:tcBorders>
              <w:top w:val="nil"/>
              <w:left w:val="nil"/>
              <w:bottom w:val="single" w:color="auto" w:sz="4" w:space="0"/>
              <w:right w:val="single" w:color="auto" w:sz="4" w:space="0"/>
            </w:tcBorders>
            <w:vAlign w:val="center"/>
          </w:tcPr>
          <w:p w14:paraId="6249FE10">
            <w:pPr>
              <w:keepNext w:val="0"/>
              <w:keepLines w:val="0"/>
              <w:widowControl/>
              <w:suppressLineNumbers w:val="0"/>
              <w:spacing w:before="0" w:beforeAutospacing="0" w:after="0" w:afterAutospacing="0"/>
              <w:ind w:left="0" w:right="0"/>
              <w:jc w:val="left"/>
              <w:rPr>
                <w:rFonts w:hint="default" w:ascii="方正仿宋_GB2312" w:hAnsi="仿宋" w:eastAsia="方正仿宋_GB2312" w:cs="宋体"/>
                <w:color w:val="auto"/>
                <w:kern w:val="0"/>
                <w:sz w:val="18"/>
                <w:szCs w:val="18"/>
                <w:highlight w:val="none"/>
              </w:rPr>
            </w:pPr>
            <w:r>
              <w:rPr>
                <w:rFonts w:hint="eastAsia" w:ascii="方正仿宋_GB2312" w:hAnsi="仿宋" w:eastAsia="方正仿宋_GB2312" w:cs="宋体"/>
                <w:color w:val="auto"/>
                <w:kern w:val="0"/>
                <w:sz w:val="18"/>
                <w:szCs w:val="18"/>
                <w:highlight w:val="none"/>
              </w:rPr>
              <w:t>100≤Z＜8000</w:t>
            </w:r>
          </w:p>
        </w:tc>
        <w:tc>
          <w:tcPr>
            <w:tcW w:w="2022" w:type="dxa"/>
            <w:tcBorders>
              <w:top w:val="nil"/>
              <w:left w:val="nil"/>
              <w:bottom w:val="single" w:color="auto" w:sz="4" w:space="0"/>
              <w:right w:val="single" w:color="auto" w:sz="4" w:space="0"/>
            </w:tcBorders>
            <w:vAlign w:val="center"/>
          </w:tcPr>
          <w:p w14:paraId="74844BC3">
            <w:pPr>
              <w:keepNext w:val="0"/>
              <w:keepLines w:val="0"/>
              <w:widowControl/>
              <w:suppressLineNumbers w:val="0"/>
              <w:spacing w:before="0" w:beforeAutospacing="0" w:after="0" w:afterAutospacing="0"/>
              <w:ind w:left="0" w:right="0"/>
              <w:jc w:val="left"/>
              <w:rPr>
                <w:rFonts w:hint="default" w:ascii="方正仿宋_GB2312" w:hAnsi="仿宋" w:eastAsia="方正仿宋_GB2312" w:cs="宋体"/>
                <w:color w:val="auto"/>
                <w:kern w:val="0"/>
                <w:sz w:val="18"/>
                <w:szCs w:val="18"/>
                <w:highlight w:val="none"/>
              </w:rPr>
            </w:pPr>
            <w:r>
              <w:rPr>
                <w:rFonts w:hint="eastAsia" w:ascii="方正仿宋_GB2312" w:hAnsi="仿宋" w:eastAsia="方正仿宋_GB2312" w:cs="宋体"/>
                <w:color w:val="auto"/>
                <w:kern w:val="0"/>
                <w:sz w:val="18"/>
                <w:szCs w:val="18"/>
                <w:highlight w:val="none"/>
              </w:rPr>
              <w:t>Y＜100</w:t>
            </w:r>
          </w:p>
        </w:tc>
      </w:tr>
      <w:tr w14:paraId="5ADE9C7C">
        <w:tblPrEx>
          <w:tblCellMar>
            <w:top w:w="0" w:type="dxa"/>
            <w:left w:w="108" w:type="dxa"/>
            <w:bottom w:w="0" w:type="dxa"/>
            <w:right w:w="108" w:type="dxa"/>
          </w:tblCellMar>
        </w:tblPrEx>
        <w:trPr>
          <w:trHeight w:val="225" w:hRule="atLeast"/>
        </w:trPr>
        <w:tc>
          <w:tcPr>
            <w:tcW w:w="1701" w:type="dxa"/>
            <w:tcBorders>
              <w:top w:val="nil"/>
              <w:left w:val="single" w:color="auto" w:sz="4" w:space="0"/>
              <w:bottom w:val="single" w:color="auto" w:sz="4" w:space="0"/>
              <w:right w:val="single" w:color="auto" w:sz="4" w:space="0"/>
            </w:tcBorders>
            <w:vAlign w:val="bottom"/>
          </w:tcPr>
          <w:p w14:paraId="585C6D7E">
            <w:pPr>
              <w:keepNext w:val="0"/>
              <w:keepLines w:val="0"/>
              <w:widowControl/>
              <w:suppressLineNumbers w:val="0"/>
              <w:spacing w:before="0" w:beforeAutospacing="0" w:after="0" w:afterAutospacing="0"/>
              <w:ind w:left="0" w:right="0"/>
              <w:jc w:val="center"/>
              <w:rPr>
                <w:rFonts w:hint="default" w:ascii="方正仿宋_GB2312" w:hAnsi="仿宋" w:eastAsia="方正仿宋_GB2312" w:cs="宋体"/>
                <w:b/>
                <w:bCs/>
                <w:color w:val="auto"/>
                <w:kern w:val="0"/>
                <w:sz w:val="18"/>
                <w:szCs w:val="18"/>
                <w:highlight w:val="none"/>
              </w:rPr>
            </w:pPr>
            <w:r>
              <w:rPr>
                <w:rFonts w:hint="eastAsia" w:ascii="方正仿宋_GB2312" w:hAnsi="仿宋" w:eastAsia="方正仿宋_GB2312" w:cs="宋体"/>
                <w:b/>
                <w:bCs/>
                <w:color w:val="auto"/>
                <w:kern w:val="0"/>
                <w:sz w:val="18"/>
                <w:szCs w:val="18"/>
                <w:highlight w:val="none"/>
              </w:rPr>
              <w:t>其他未列明行业</w:t>
            </w:r>
          </w:p>
        </w:tc>
        <w:tc>
          <w:tcPr>
            <w:tcW w:w="1383" w:type="dxa"/>
            <w:tcBorders>
              <w:top w:val="nil"/>
              <w:left w:val="nil"/>
              <w:bottom w:val="single" w:color="auto" w:sz="4" w:space="0"/>
              <w:right w:val="single" w:color="auto" w:sz="4" w:space="0"/>
            </w:tcBorders>
            <w:vAlign w:val="center"/>
          </w:tcPr>
          <w:p w14:paraId="5D7831A6">
            <w:pPr>
              <w:keepNext w:val="0"/>
              <w:keepLines w:val="0"/>
              <w:widowControl/>
              <w:suppressLineNumbers w:val="0"/>
              <w:spacing w:before="0" w:beforeAutospacing="0" w:after="0" w:afterAutospacing="0"/>
              <w:ind w:left="0" w:right="0"/>
              <w:jc w:val="left"/>
              <w:rPr>
                <w:rFonts w:hint="default" w:ascii="方正仿宋_GB2312" w:hAnsi="仿宋" w:eastAsia="方正仿宋_GB2312" w:cs="宋体"/>
                <w:color w:val="auto"/>
                <w:kern w:val="0"/>
                <w:sz w:val="18"/>
                <w:szCs w:val="18"/>
                <w:highlight w:val="none"/>
              </w:rPr>
            </w:pPr>
            <w:r>
              <w:rPr>
                <w:rFonts w:hint="eastAsia" w:ascii="方正仿宋_GB2312" w:hAnsi="仿宋" w:eastAsia="方正仿宋_GB2312" w:cs="宋体"/>
                <w:color w:val="auto"/>
                <w:kern w:val="0"/>
                <w:sz w:val="18"/>
                <w:szCs w:val="18"/>
                <w:highlight w:val="none"/>
              </w:rPr>
              <w:t>从业人员（X）</w:t>
            </w:r>
          </w:p>
        </w:tc>
        <w:tc>
          <w:tcPr>
            <w:tcW w:w="913" w:type="dxa"/>
            <w:tcBorders>
              <w:top w:val="nil"/>
              <w:left w:val="nil"/>
              <w:bottom w:val="single" w:color="auto" w:sz="4" w:space="0"/>
              <w:right w:val="single" w:color="auto" w:sz="4" w:space="0"/>
            </w:tcBorders>
            <w:vAlign w:val="center"/>
          </w:tcPr>
          <w:p w14:paraId="0ACF269A">
            <w:pPr>
              <w:keepNext w:val="0"/>
              <w:keepLines w:val="0"/>
              <w:widowControl/>
              <w:suppressLineNumbers w:val="0"/>
              <w:spacing w:before="0" w:beforeAutospacing="0" w:after="0" w:afterAutospacing="0"/>
              <w:ind w:left="0" w:right="0"/>
              <w:jc w:val="left"/>
              <w:rPr>
                <w:rFonts w:hint="default" w:ascii="方正仿宋_GB2312" w:hAnsi="仿宋" w:eastAsia="方正仿宋_GB2312" w:cs="宋体"/>
                <w:color w:val="auto"/>
                <w:kern w:val="0"/>
                <w:sz w:val="18"/>
                <w:szCs w:val="18"/>
                <w:highlight w:val="none"/>
              </w:rPr>
            </w:pPr>
            <w:r>
              <w:rPr>
                <w:rFonts w:hint="eastAsia" w:ascii="方正仿宋_GB2312" w:hAnsi="仿宋" w:eastAsia="方正仿宋_GB2312" w:cs="宋体"/>
                <w:color w:val="auto"/>
                <w:kern w:val="0"/>
                <w:sz w:val="18"/>
                <w:szCs w:val="18"/>
                <w:highlight w:val="none"/>
              </w:rPr>
              <w:t>人</w:t>
            </w:r>
          </w:p>
        </w:tc>
        <w:tc>
          <w:tcPr>
            <w:tcW w:w="1619" w:type="dxa"/>
            <w:tcBorders>
              <w:top w:val="nil"/>
              <w:left w:val="nil"/>
              <w:bottom w:val="single" w:color="auto" w:sz="4" w:space="0"/>
              <w:right w:val="single" w:color="auto" w:sz="4" w:space="0"/>
            </w:tcBorders>
            <w:vAlign w:val="center"/>
          </w:tcPr>
          <w:p w14:paraId="54016471">
            <w:pPr>
              <w:keepNext w:val="0"/>
              <w:keepLines w:val="0"/>
              <w:widowControl/>
              <w:suppressLineNumbers w:val="0"/>
              <w:spacing w:before="0" w:beforeAutospacing="0" w:after="0" w:afterAutospacing="0"/>
              <w:ind w:left="0" w:right="0"/>
              <w:jc w:val="left"/>
              <w:rPr>
                <w:rFonts w:hint="default" w:ascii="方正仿宋_GB2312" w:hAnsi="仿宋" w:eastAsia="方正仿宋_GB2312" w:cs="宋体"/>
                <w:color w:val="auto"/>
                <w:kern w:val="0"/>
                <w:sz w:val="18"/>
                <w:szCs w:val="18"/>
                <w:highlight w:val="none"/>
              </w:rPr>
            </w:pPr>
            <w:r>
              <w:rPr>
                <w:rFonts w:hint="eastAsia" w:ascii="方正仿宋_GB2312" w:hAnsi="仿宋" w:eastAsia="方正仿宋_GB2312" w:cs="宋体"/>
                <w:color w:val="auto"/>
                <w:kern w:val="0"/>
                <w:sz w:val="18"/>
                <w:szCs w:val="18"/>
                <w:highlight w:val="none"/>
              </w:rPr>
              <w:t>100≤X＜300</w:t>
            </w:r>
          </w:p>
        </w:tc>
        <w:tc>
          <w:tcPr>
            <w:tcW w:w="1439" w:type="dxa"/>
            <w:tcBorders>
              <w:top w:val="nil"/>
              <w:left w:val="nil"/>
              <w:bottom w:val="single" w:color="auto" w:sz="4" w:space="0"/>
              <w:right w:val="single" w:color="auto" w:sz="4" w:space="0"/>
            </w:tcBorders>
            <w:vAlign w:val="center"/>
          </w:tcPr>
          <w:p w14:paraId="379E5C28">
            <w:pPr>
              <w:keepNext w:val="0"/>
              <w:keepLines w:val="0"/>
              <w:widowControl/>
              <w:suppressLineNumbers w:val="0"/>
              <w:spacing w:before="0" w:beforeAutospacing="0" w:after="0" w:afterAutospacing="0"/>
              <w:ind w:left="0" w:right="0"/>
              <w:jc w:val="left"/>
              <w:rPr>
                <w:rFonts w:hint="default" w:ascii="方正仿宋_GB2312" w:hAnsi="仿宋" w:eastAsia="方正仿宋_GB2312" w:cs="宋体"/>
                <w:color w:val="auto"/>
                <w:kern w:val="0"/>
                <w:sz w:val="18"/>
                <w:szCs w:val="18"/>
                <w:highlight w:val="none"/>
              </w:rPr>
            </w:pPr>
            <w:r>
              <w:rPr>
                <w:rFonts w:hint="eastAsia" w:ascii="方正仿宋_GB2312" w:hAnsi="仿宋" w:eastAsia="方正仿宋_GB2312" w:cs="宋体"/>
                <w:color w:val="auto"/>
                <w:kern w:val="0"/>
                <w:sz w:val="18"/>
                <w:szCs w:val="18"/>
                <w:highlight w:val="none"/>
              </w:rPr>
              <w:t>10≤X＜100</w:t>
            </w:r>
          </w:p>
        </w:tc>
        <w:tc>
          <w:tcPr>
            <w:tcW w:w="2022" w:type="dxa"/>
            <w:tcBorders>
              <w:top w:val="nil"/>
              <w:left w:val="nil"/>
              <w:bottom w:val="single" w:color="auto" w:sz="4" w:space="0"/>
              <w:right w:val="single" w:color="auto" w:sz="4" w:space="0"/>
            </w:tcBorders>
            <w:vAlign w:val="center"/>
          </w:tcPr>
          <w:p w14:paraId="380CE3FB">
            <w:pPr>
              <w:keepNext w:val="0"/>
              <w:keepLines w:val="0"/>
              <w:widowControl/>
              <w:suppressLineNumbers w:val="0"/>
              <w:spacing w:before="0" w:beforeAutospacing="0" w:after="0" w:afterAutospacing="0"/>
              <w:ind w:left="0" w:right="0"/>
              <w:jc w:val="left"/>
              <w:rPr>
                <w:rFonts w:hint="default" w:ascii="方正仿宋_GB2312" w:hAnsi="仿宋" w:eastAsia="方正仿宋_GB2312" w:cs="宋体"/>
                <w:color w:val="auto"/>
                <w:kern w:val="0"/>
                <w:sz w:val="18"/>
                <w:szCs w:val="18"/>
                <w:highlight w:val="none"/>
              </w:rPr>
            </w:pPr>
            <w:r>
              <w:rPr>
                <w:rFonts w:hint="eastAsia" w:ascii="方正仿宋_GB2312" w:hAnsi="仿宋" w:eastAsia="方正仿宋_GB2312" w:cs="宋体"/>
                <w:color w:val="auto"/>
                <w:kern w:val="0"/>
                <w:sz w:val="18"/>
                <w:szCs w:val="18"/>
                <w:highlight w:val="none"/>
              </w:rPr>
              <w:t>X＜10</w:t>
            </w:r>
          </w:p>
        </w:tc>
      </w:tr>
    </w:tbl>
    <w:p w14:paraId="30DA005C">
      <w:pPr>
        <w:spacing w:line="360" w:lineRule="auto"/>
        <w:ind w:firstLine="525" w:firstLineChars="250"/>
        <w:rPr>
          <w:rFonts w:ascii="方正仿宋_GB2312" w:hAnsi="仿宋" w:eastAsia="方正仿宋_GB2312"/>
          <w:color w:val="auto"/>
          <w:szCs w:val="21"/>
          <w:highlight w:val="none"/>
        </w:rPr>
      </w:pPr>
      <w:r>
        <w:rPr>
          <w:rFonts w:hint="eastAsia" w:ascii="方正仿宋_GB2312" w:hAnsi="仿宋" w:eastAsia="方正仿宋_GB2312"/>
          <w:color w:val="auto"/>
          <w:szCs w:val="21"/>
          <w:highlight w:val="none"/>
        </w:rPr>
        <w:t>说明：上述标准参照《关于印发中小企业划型标准规定的通知》（工信部联企业[2011]300号），大型、中型和小型企业须同时满足所列指标的下限，否则下划一档；微型企业只须满足所列指标中的一项即可。</w:t>
      </w:r>
    </w:p>
    <w:p w14:paraId="7293EA24">
      <w:pPr>
        <w:widowControl/>
        <w:jc w:val="left"/>
        <w:rPr>
          <w:rFonts w:ascii="宋体" w:hAnsi="宋体"/>
          <w:color w:val="auto"/>
          <w:szCs w:val="20"/>
          <w:highlight w:val="none"/>
        </w:rPr>
        <w:sectPr>
          <w:pgSz w:w="11906" w:h="16838"/>
          <w:pgMar w:top="1134" w:right="1134" w:bottom="1134" w:left="1134" w:header="720" w:footer="720" w:gutter="0"/>
          <w:pgNumType w:fmt="decimal"/>
          <w:cols w:space="720" w:num="1"/>
          <w:docGrid w:type="lines" w:linePitch="331" w:charSpace="0"/>
        </w:sectPr>
      </w:pPr>
    </w:p>
    <w:p w14:paraId="6BFAFF68">
      <w:pPr>
        <w:pStyle w:val="7"/>
        <w:jc w:val="center"/>
        <w:outlineLvl w:val="0"/>
        <w:rPr>
          <w:rFonts w:ascii="Times New Roman" w:hAnsi="Times New Roman"/>
          <w:b/>
          <w:color w:val="auto"/>
          <w:sz w:val="36"/>
          <w:highlight w:val="none"/>
        </w:rPr>
      </w:pPr>
      <w:bookmarkStart w:id="33" w:name="_Toc187761551"/>
      <w:bookmarkStart w:id="34" w:name="_Toc532545044"/>
    </w:p>
    <w:p w14:paraId="48A6DB8E">
      <w:pPr>
        <w:pStyle w:val="7"/>
        <w:jc w:val="center"/>
        <w:outlineLvl w:val="0"/>
        <w:rPr>
          <w:rFonts w:hAnsi="宋体"/>
          <w:b/>
          <w:color w:val="auto"/>
          <w:sz w:val="36"/>
          <w:szCs w:val="36"/>
          <w:highlight w:val="none"/>
        </w:rPr>
      </w:pPr>
      <w:r>
        <w:rPr>
          <w:rFonts w:hint="eastAsia" w:ascii="Times New Roman" w:hAnsi="Times New Roman"/>
          <w:b/>
          <w:color w:val="auto"/>
          <w:sz w:val="36"/>
          <w:highlight w:val="none"/>
        </w:rPr>
        <w:t>第三章投标人须知</w:t>
      </w:r>
      <w:bookmarkEnd w:id="33"/>
      <w:bookmarkEnd w:id="34"/>
    </w:p>
    <w:p w14:paraId="7A913D0E">
      <w:pPr>
        <w:pStyle w:val="7"/>
        <w:spacing w:line="720" w:lineRule="auto"/>
        <w:jc w:val="center"/>
        <w:outlineLvl w:val="1"/>
        <w:rPr>
          <w:rFonts w:ascii="Times New Roman" w:hAnsi="Times New Roman"/>
          <w:b/>
          <w:color w:val="auto"/>
          <w:sz w:val="30"/>
          <w:szCs w:val="30"/>
          <w:highlight w:val="none"/>
        </w:rPr>
      </w:pPr>
      <w:bookmarkStart w:id="35" w:name="_Toc187761552"/>
      <w:r>
        <w:rPr>
          <w:rFonts w:hint="eastAsia" w:ascii="Times New Roman" w:hAnsi="Times New Roman"/>
          <w:b/>
          <w:color w:val="auto"/>
          <w:sz w:val="30"/>
          <w:szCs w:val="30"/>
          <w:highlight w:val="none"/>
        </w:rPr>
        <w:t>第一节投标人须知前附表</w:t>
      </w:r>
      <w:bookmarkEnd w:id="35"/>
    </w:p>
    <w:tbl>
      <w:tblPr>
        <w:tblStyle w:val="37"/>
        <w:tblW w:w="10240" w:type="dxa"/>
        <w:tblInd w:w="113" w:type="dxa"/>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1065"/>
        <w:gridCol w:w="1878"/>
        <w:gridCol w:w="7297"/>
      </w:tblGrid>
      <w:tr w14:paraId="1A6A3B0B">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641" w:hRule="atLeast"/>
        </w:trPr>
        <w:tc>
          <w:tcPr>
            <w:tcW w:w="1065" w:type="dxa"/>
            <w:tcBorders>
              <w:top w:val="single" w:color="auto" w:sz="4" w:space="0"/>
              <w:left w:val="single" w:color="auto" w:sz="4" w:space="0"/>
              <w:bottom w:val="single" w:color="auto" w:sz="4" w:space="0"/>
              <w:right w:val="single" w:color="auto" w:sz="4" w:space="0"/>
            </w:tcBorders>
            <w:vAlign w:val="center"/>
          </w:tcPr>
          <w:p w14:paraId="4EC91981">
            <w:pPr>
              <w:keepNext w:val="0"/>
              <w:keepLines w:val="0"/>
              <w:suppressLineNumbers w:val="0"/>
              <w:snapToGrid w:val="0"/>
              <w:spacing w:before="0" w:beforeAutospacing="0" w:after="0" w:afterAutospacing="0" w:line="560" w:lineRule="exact"/>
              <w:ind w:left="0" w:right="0"/>
              <w:jc w:val="left"/>
              <w:rPr>
                <w:rFonts w:hint="default" w:ascii="宋体" w:hAnsi="宋体"/>
                <w:color w:val="auto"/>
                <w:szCs w:val="21"/>
                <w:highlight w:val="none"/>
              </w:rPr>
            </w:pPr>
            <w:r>
              <w:rPr>
                <w:rFonts w:hint="eastAsia" w:ascii="宋体" w:hAnsi="宋体"/>
                <w:color w:val="auto"/>
                <w:szCs w:val="21"/>
                <w:highlight w:val="none"/>
              </w:rPr>
              <w:t>条款号</w:t>
            </w:r>
          </w:p>
        </w:tc>
        <w:tc>
          <w:tcPr>
            <w:tcW w:w="1878" w:type="dxa"/>
            <w:tcBorders>
              <w:top w:val="single" w:color="auto" w:sz="4" w:space="0"/>
              <w:left w:val="single" w:color="auto" w:sz="4" w:space="0"/>
              <w:bottom w:val="single" w:color="auto" w:sz="4" w:space="0"/>
              <w:right w:val="single" w:color="auto" w:sz="4" w:space="0"/>
            </w:tcBorders>
            <w:vAlign w:val="center"/>
          </w:tcPr>
          <w:p w14:paraId="7705FB23">
            <w:pPr>
              <w:keepNext w:val="0"/>
              <w:keepLines w:val="0"/>
              <w:suppressLineNumbers w:val="0"/>
              <w:snapToGrid w:val="0"/>
              <w:spacing w:before="0" w:beforeAutospacing="0" w:after="0" w:afterAutospacing="0" w:line="560" w:lineRule="exact"/>
              <w:ind w:left="0" w:right="0"/>
              <w:jc w:val="left"/>
              <w:rPr>
                <w:rFonts w:hint="default" w:ascii="宋体" w:hAnsi="宋体"/>
                <w:color w:val="auto"/>
                <w:szCs w:val="21"/>
                <w:highlight w:val="none"/>
              </w:rPr>
            </w:pPr>
            <w:r>
              <w:rPr>
                <w:rFonts w:hint="eastAsia" w:ascii="宋体" w:hAnsi="宋体"/>
                <w:color w:val="auto"/>
                <w:szCs w:val="21"/>
                <w:highlight w:val="none"/>
              </w:rPr>
              <w:t>项目内容</w:t>
            </w:r>
          </w:p>
        </w:tc>
        <w:tc>
          <w:tcPr>
            <w:tcW w:w="7297" w:type="dxa"/>
            <w:tcBorders>
              <w:top w:val="single" w:color="auto" w:sz="4" w:space="0"/>
              <w:left w:val="single" w:color="auto" w:sz="4" w:space="0"/>
              <w:bottom w:val="single" w:color="auto" w:sz="4" w:space="0"/>
              <w:right w:val="single" w:color="auto" w:sz="4" w:space="0"/>
            </w:tcBorders>
            <w:vAlign w:val="center"/>
          </w:tcPr>
          <w:p w14:paraId="014BB038">
            <w:pPr>
              <w:keepNext w:val="0"/>
              <w:keepLines w:val="0"/>
              <w:suppressLineNumbers w:val="0"/>
              <w:snapToGrid w:val="0"/>
              <w:spacing w:before="0" w:beforeAutospacing="0" w:after="0" w:afterAutospacing="0" w:line="560" w:lineRule="exact"/>
              <w:ind w:left="0" w:right="0"/>
              <w:jc w:val="center"/>
              <w:rPr>
                <w:rFonts w:hint="default" w:ascii="宋体" w:hAnsi="宋体"/>
                <w:color w:val="auto"/>
                <w:szCs w:val="21"/>
                <w:highlight w:val="none"/>
              </w:rPr>
            </w:pPr>
            <w:r>
              <w:rPr>
                <w:rFonts w:hint="eastAsia" w:ascii="宋体" w:hAnsi="宋体"/>
                <w:color w:val="auto"/>
                <w:szCs w:val="21"/>
                <w:highlight w:val="none"/>
              </w:rPr>
              <w:t>编列内容</w:t>
            </w:r>
          </w:p>
        </w:tc>
      </w:tr>
      <w:tr w14:paraId="07F7B883">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c>
          <w:tcPr>
            <w:tcW w:w="1065" w:type="dxa"/>
            <w:tcBorders>
              <w:top w:val="single" w:color="auto" w:sz="4" w:space="0"/>
              <w:left w:val="single" w:color="auto" w:sz="4" w:space="0"/>
              <w:bottom w:val="single" w:color="auto" w:sz="4" w:space="0"/>
              <w:right w:val="single" w:color="auto" w:sz="4" w:space="0"/>
            </w:tcBorders>
            <w:vAlign w:val="center"/>
          </w:tcPr>
          <w:p w14:paraId="77419F4B">
            <w:pPr>
              <w:keepNext w:val="0"/>
              <w:keepLines w:val="0"/>
              <w:suppressLineNumbers w:val="0"/>
              <w:spacing w:before="0" w:beforeAutospacing="0" w:after="0" w:afterAutospacing="0" w:line="560" w:lineRule="exact"/>
              <w:ind w:left="0" w:right="0"/>
              <w:rPr>
                <w:rFonts w:hint="default" w:ascii="宋体" w:hAnsi="宋体"/>
                <w:color w:val="auto"/>
                <w:szCs w:val="21"/>
                <w:highlight w:val="none"/>
              </w:rPr>
            </w:pPr>
            <w:r>
              <w:rPr>
                <w:rFonts w:hint="eastAsia" w:ascii="宋体" w:hAnsi="宋体"/>
                <w:color w:val="auto"/>
                <w:szCs w:val="21"/>
                <w:highlight w:val="none"/>
              </w:rPr>
              <w:t>6.1</w:t>
            </w:r>
          </w:p>
        </w:tc>
        <w:tc>
          <w:tcPr>
            <w:tcW w:w="1878" w:type="dxa"/>
            <w:tcBorders>
              <w:top w:val="single" w:color="auto" w:sz="4" w:space="0"/>
              <w:left w:val="single" w:color="auto" w:sz="4" w:space="0"/>
              <w:bottom w:val="single" w:color="auto" w:sz="4" w:space="0"/>
              <w:right w:val="single" w:color="auto" w:sz="4" w:space="0"/>
            </w:tcBorders>
            <w:vAlign w:val="center"/>
          </w:tcPr>
          <w:p w14:paraId="6F10D8C3">
            <w:pPr>
              <w:keepNext w:val="0"/>
              <w:keepLines w:val="0"/>
              <w:suppressLineNumbers w:val="0"/>
              <w:spacing w:before="0" w:beforeAutospacing="0" w:after="0" w:afterAutospacing="0" w:line="560" w:lineRule="exact"/>
              <w:ind w:left="0" w:right="0"/>
              <w:rPr>
                <w:rFonts w:hint="default" w:ascii="宋体" w:hAnsi="宋体"/>
                <w:color w:val="auto"/>
                <w:szCs w:val="21"/>
                <w:highlight w:val="none"/>
              </w:rPr>
            </w:pPr>
            <w:bookmarkStart w:id="36" w:name="_5"/>
            <w:bookmarkEnd w:id="36"/>
            <w:bookmarkStart w:id="37" w:name="_8.1"/>
            <w:bookmarkEnd w:id="37"/>
            <w:bookmarkStart w:id="38" w:name="_9.2"/>
            <w:bookmarkEnd w:id="38"/>
            <w:r>
              <w:rPr>
                <w:rFonts w:hint="eastAsia" w:ascii="宋体" w:hAnsi="宋体"/>
                <w:color w:val="auto"/>
                <w:szCs w:val="21"/>
                <w:highlight w:val="none"/>
              </w:rPr>
              <w:t>是否接受联合体投标</w:t>
            </w:r>
          </w:p>
        </w:tc>
        <w:tc>
          <w:tcPr>
            <w:tcW w:w="7297" w:type="dxa"/>
            <w:tcBorders>
              <w:top w:val="single" w:color="auto" w:sz="4" w:space="0"/>
              <w:left w:val="single" w:color="auto" w:sz="4" w:space="0"/>
              <w:bottom w:val="single" w:color="auto" w:sz="4" w:space="0"/>
              <w:right w:val="single" w:color="auto" w:sz="4" w:space="0"/>
            </w:tcBorders>
            <w:vAlign w:val="center"/>
          </w:tcPr>
          <w:p w14:paraId="2D6EC637">
            <w:pPr>
              <w:pStyle w:val="18"/>
              <w:keepNext w:val="0"/>
              <w:keepLines w:val="0"/>
              <w:suppressLineNumbers w:val="0"/>
              <w:spacing w:before="0" w:beforeAutospacing="0" w:after="0" w:afterAutospacing="0" w:line="560" w:lineRule="exact"/>
              <w:ind w:left="0" w:right="0"/>
              <w:rPr>
                <w:rFonts w:hint="default" w:ascii="宋体" w:hAnsi="宋体"/>
                <w:color w:val="auto"/>
                <w:szCs w:val="21"/>
                <w:highlight w:val="none"/>
              </w:rPr>
            </w:pPr>
            <w:r>
              <w:rPr>
                <w:rFonts w:hint="eastAsia" w:ascii="宋体" w:hAnsi="宋体"/>
                <w:color w:val="auto"/>
                <w:szCs w:val="21"/>
                <w:highlight w:val="none"/>
              </w:rPr>
              <w:t>□是/√否。</w:t>
            </w:r>
          </w:p>
        </w:tc>
      </w:tr>
      <w:tr w14:paraId="65F6574D">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c>
          <w:tcPr>
            <w:tcW w:w="1065" w:type="dxa"/>
            <w:tcBorders>
              <w:top w:val="single" w:color="auto" w:sz="4" w:space="0"/>
              <w:left w:val="single" w:color="auto" w:sz="4" w:space="0"/>
              <w:bottom w:val="single" w:color="auto" w:sz="4" w:space="0"/>
              <w:right w:val="single" w:color="auto" w:sz="4" w:space="0"/>
            </w:tcBorders>
            <w:vAlign w:val="center"/>
          </w:tcPr>
          <w:p w14:paraId="40D8F751">
            <w:pPr>
              <w:keepNext w:val="0"/>
              <w:keepLines w:val="0"/>
              <w:suppressLineNumbers w:val="0"/>
              <w:spacing w:before="0" w:beforeAutospacing="0" w:after="0" w:afterAutospacing="0" w:line="560" w:lineRule="exact"/>
              <w:ind w:left="0" w:right="0"/>
              <w:rPr>
                <w:rFonts w:hint="default" w:ascii="宋体" w:hAnsi="宋体"/>
                <w:color w:val="auto"/>
                <w:szCs w:val="21"/>
                <w:highlight w:val="none"/>
              </w:rPr>
            </w:pPr>
            <w:r>
              <w:rPr>
                <w:rFonts w:hint="eastAsia" w:ascii="宋体" w:hAnsi="宋体"/>
                <w:color w:val="auto"/>
                <w:szCs w:val="21"/>
                <w:highlight w:val="none"/>
              </w:rPr>
              <w:t>6.2</w:t>
            </w:r>
          </w:p>
        </w:tc>
        <w:tc>
          <w:tcPr>
            <w:tcW w:w="1878" w:type="dxa"/>
            <w:tcBorders>
              <w:top w:val="single" w:color="auto" w:sz="4" w:space="0"/>
              <w:left w:val="single" w:color="auto" w:sz="4" w:space="0"/>
              <w:bottom w:val="single" w:color="auto" w:sz="4" w:space="0"/>
              <w:right w:val="single" w:color="auto" w:sz="4" w:space="0"/>
            </w:tcBorders>
            <w:vAlign w:val="center"/>
          </w:tcPr>
          <w:p w14:paraId="60F38568">
            <w:pPr>
              <w:keepNext w:val="0"/>
              <w:keepLines w:val="0"/>
              <w:suppressLineNumbers w:val="0"/>
              <w:spacing w:before="0" w:beforeAutospacing="0" w:after="0" w:afterAutospacing="0" w:line="560" w:lineRule="exact"/>
              <w:ind w:left="0" w:right="0"/>
              <w:rPr>
                <w:rFonts w:hint="default" w:ascii="宋体" w:hAnsi="宋体"/>
                <w:color w:val="auto"/>
                <w:szCs w:val="21"/>
                <w:highlight w:val="none"/>
              </w:rPr>
            </w:pPr>
            <w:r>
              <w:rPr>
                <w:rFonts w:hint="eastAsia" w:ascii="宋体" w:hAnsi="宋体"/>
                <w:color w:val="auto"/>
                <w:szCs w:val="21"/>
                <w:highlight w:val="none"/>
              </w:rPr>
              <w:t>联合体投标要求</w:t>
            </w:r>
          </w:p>
        </w:tc>
        <w:tc>
          <w:tcPr>
            <w:tcW w:w="7297" w:type="dxa"/>
            <w:tcBorders>
              <w:top w:val="single" w:color="auto" w:sz="4" w:space="0"/>
              <w:left w:val="single" w:color="auto" w:sz="4" w:space="0"/>
              <w:bottom w:val="single" w:color="auto" w:sz="4" w:space="0"/>
              <w:right w:val="single" w:color="auto" w:sz="4" w:space="0"/>
            </w:tcBorders>
            <w:vAlign w:val="center"/>
          </w:tcPr>
          <w:p w14:paraId="42CE594D">
            <w:pPr>
              <w:pStyle w:val="18"/>
              <w:keepNext w:val="0"/>
              <w:keepLines w:val="0"/>
              <w:suppressLineNumbers w:val="0"/>
              <w:spacing w:before="0" w:beforeAutospacing="0" w:after="0" w:afterAutospacing="0" w:line="560" w:lineRule="exact"/>
              <w:ind w:left="0" w:right="0"/>
              <w:rPr>
                <w:rFonts w:hint="default" w:ascii="宋体" w:hAnsi="宋体"/>
                <w:color w:val="auto"/>
                <w:szCs w:val="21"/>
                <w:highlight w:val="none"/>
              </w:rPr>
            </w:pPr>
            <w:r>
              <w:rPr>
                <w:rFonts w:hint="eastAsia" w:ascii="宋体" w:hAnsi="宋体"/>
                <w:color w:val="auto"/>
                <w:szCs w:val="21"/>
                <w:highlight w:val="none"/>
              </w:rPr>
              <w:t>1.两个以上投标人可以组成一个投标联合体，以一个投标人的身份共同参加投标，联合体投标人的名称应统一按“XXX公司与XXX公司的联合体”的规则填写。</w:t>
            </w:r>
          </w:p>
          <w:p w14:paraId="3D1567B6">
            <w:pPr>
              <w:pStyle w:val="18"/>
              <w:keepNext w:val="0"/>
              <w:keepLines w:val="0"/>
              <w:suppressLineNumbers w:val="0"/>
              <w:spacing w:before="0" w:beforeAutospacing="0" w:after="0" w:afterAutospacing="0" w:line="560" w:lineRule="exact"/>
              <w:ind w:left="0" w:right="0"/>
              <w:rPr>
                <w:rFonts w:hint="default" w:ascii="宋体" w:hAnsi="宋体"/>
                <w:color w:val="auto"/>
                <w:szCs w:val="21"/>
                <w:highlight w:val="none"/>
              </w:rPr>
            </w:pPr>
            <w:r>
              <w:rPr>
                <w:rFonts w:hint="eastAsia" w:ascii="宋体" w:hAnsi="宋体"/>
                <w:color w:val="auto"/>
                <w:szCs w:val="21"/>
                <w:highlight w:val="none"/>
              </w:rPr>
              <w:t>2.以联合体形式参加投标的，联合体各方均必须具备《中华人民共和国政府采购法》第二十二条第一款规定的基本条件（涉及行政许可范围的内容，联合体各方均应具备相应资质）。本项目有特殊要求规定投标人特定条件的，联合体各方中至少有一方必须符合招标文件“4. 本项目的特定条件”。</w:t>
            </w:r>
          </w:p>
          <w:p w14:paraId="7F7555AB">
            <w:pPr>
              <w:pStyle w:val="18"/>
              <w:keepNext w:val="0"/>
              <w:keepLines w:val="0"/>
              <w:suppressLineNumbers w:val="0"/>
              <w:spacing w:before="0" w:beforeAutospacing="0" w:after="0" w:afterAutospacing="0" w:line="560" w:lineRule="exact"/>
              <w:ind w:left="0" w:right="0"/>
              <w:rPr>
                <w:rFonts w:hint="default" w:ascii="宋体" w:hAnsi="宋体"/>
                <w:color w:val="auto"/>
                <w:szCs w:val="21"/>
                <w:highlight w:val="none"/>
              </w:rPr>
            </w:pPr>
            <w:r>
              <w:rPr>
                <w:rFonts w:hint="eastAsia" w:ascii="宋体" w:hAnsi="宋体"/>
                <w:color w:val="auto"/>
                <w:szCs w:val="21"/>
                <w:highlight w:val="none"/>
              </w:rPr>
              <w:t>3. 联合体投标的，须提供《联合体投标协议书》（格式后附），协议书必须明确主体方（或者牵头方）并明确约定联合体各方承担的工作和相应的责任（各方承担责任与义务的分工必须符合采购需求，否则，联合体投标无效），并将联合投标协议放入投标文件。联合体各方必须共同与采购人签订采购合同，就采购合同约定的事项对采购人承担连带责任。</w:t>
            </w:r>
          </w:p>
          <w:p w14:paraId="2E5A4D7C">
            <w:pPr>
              <w:pStyle w:val="18"/>
              <w:keepNext w:val="0"/>
              <w:keepLines w:val="0"/>
              <w:suppressLineNumbers w:val="0"/>
              <w:spacing w:before="0" w:beforeAutospacing="0" w:after="0" w:afterAutospacing="0" w:line="560" w:lineRule="exact"/>
              <w:ind w:left="0" w:right="0"/>
              <w:rPr>
                <w:rFonts w:hint="default" w:ascii="宋体" w:hAnsi="宋体"/>
                <w:color w:val="auto"/>
                <w:szCs w:val="21"/>
                <w:highlight w:val="none"/>
              </w:rPr>
            </w:pPr>
            <w:r>
              <w:rPr>
                <w:rFonts w:hint="eastAsia" w:ascii="宋体" w:hAnsi="宋体"/>
                <w:color w:val="auto"/>
                <w:szCs w:val="21"/>
                <w:highlight w:val="none"/>
              </w:rPr>
              <w:t>4.以联合体形式参加政府采购活动的，联合体各方不得再单独参加或者与其他投标人另外组成联合体参加同一合同项下的政府采购活动，否则与之相关的投标文件作废。</w:t>
            </w:r>
          </w:p>
          <w:p w14:paraId="6E011C6E">
            <w:pPr>
              <w:pStyle w:val="18"/>
              <w:keepNext w:val="0"/>
              <w:keepLines w:val="0"/>
              <w:suppressLineNumbers w:val="0"/>
              <w:spacing w:before="0" w:beforeAutospacing="0" w:after="0" w:afterAutospacing="0" w:line="560" w:lineRule="exact"/>
              <w:ind w:left="0" w:right="0"/>
              <w:rPr>
                <w:rFonts w:hint="default" w:ascii="宋体" w:hAnsi="宋体"/>
                <w:color w:val="auto"/>
                <w:szCs w:val="21"/>
                <w:highlight w:val="none"/>
              </w:rPr>
            </w:pPr>
            <w:r>
              <w:rPr>
                <w:rFonts w:hint="eastAsia" w:ascii="宋体" w:hAnsi="宋体"/>
                <w:color w:val="auto"/>
                <w:szCs w:val="21"/>
                <w:highlight w:val="none"/>
              </w:rPr>
              <w:t>5.联合体中有同类资质的投标人按照联合体分工承担相同工作的，应当按照资质等级较低的投标人确定资质等级。</w:t>
            </w:r>
          </w:p>
          <w:p w14:paraId="27F5757A">
            <w:pPr>
              <w:pStyle w:val="18"/>
              <w:keepNext w:val="0"/>
              <w:keepLines w:val="0"/>
              <w:suppressLineNumbers w:val="0"/>
              <w:spacing w:before="0" w:beforeAutospacing="0" w:after="0" w:afterAutospacing="0" w:line="560" w:lineRule="exact"/>
              <w:ind w:left="0" w:right="0"/>
              <w:rPr>
                <w:rFonts w:hint="default" w:ascii="宋体" w:hAnsi="宋体"/>
                <w:color w:val="auto"/>
                <w:szCs w:val="21"/>
                <w:highlight w:val="none"/>
              </w:rPr>
            </w:pPr>
            <w:r>
              <w:rPr>
                <w:rFonts w:hint="eastAsia" w:ascii="宋体" w:hAnsi="宋体"/>
                <w:color w:val="auto"/>
                <w:szCs w:val="21"/>
                <w:highlight w:val="none"/>
              </w:rPr>
              <w:t>6.联合体投标业绩、履约能力按照联合体各方其中较高的一方认定并计算（招标文件另有规定的除外）。</w:t>
            </w:r>
          </w:p>
          <w:p w14:paraId="32658672">
            <w:pPr>
              <w:pStyle w:val="18"/>
              <w:keepNext w:val="0"/>
              <w:keepLines w:val="0"/>
              <w:suppressLineNumbers w:val="0"/>
              <w:spacing w:before="0" w:beforeAutospacing="0" w:after="0" w:afterAutospacing="0" w:line="560" w:lineRule="exact"/>
              <w:ind w:left="0" w:right="0"/>
              <w:rPr>
                <w:rFonts w:hint="default" w:ascii="宋体" w:hAnsi="宋体"/>
                <w:color w:val="auto"/>
                <w:szCs w:val="21"/>
                <w:highlight w:val="none"/>
              </w:rPr>
            </w:pPr>
            <w:r>
              <w:rPr>
                <w:rFonts w:hint="eastAsia" w:ascii="宋体" w:hAnsi="宋体"/>
                <w:color w:val="auto"/>
                <w:szCs w:val="21"/>
                <w:highlight w:val="none"/>
              </w:rPr>
              <w:t>7.联合体各方均应按照招标文件的规定提交资格证明文件。</w:t>
            </w:r>
          </w:p>
        </w:tc>
      </w:tr>
      <w:tr w14:paraId="50054430">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c>
          <w:tcPr>
            <w:tcW w:w="1065" w:type="dxa"/>
            <w:tcBorders>
              <w:top w:val="single" w:color="auto" w:sz="4" w:space="0"/>
              <w:left w:val="single" w:color="auto" w:sz="4" w:space="0"/>
              <w:bottom w:val="single" w:color="auto" w:sz="4" w:space="0"/>
              <w:right w:val="single" w:color="auto" w:sz="4" w:space="0"/>
            </w:tcBorders>
            <w:vAlign w:val="center"/>
          </w:tcPr>
          <w:p w14:paraId="7CAB4AAA">
            <w:pPr>
              <w:keepNext w:val="0"/>
              <w:keepLines w:val="0"/>
              <w:suppressLineNumbers w:val="0"/>
              <w:spacing w:before="0" w:beforeAutospacing="0" w:after="0" w:afterAutospacing="0" w:line="560" w:lineRule="exact"/>
              <w:ind w:left="0" w:right="0"/>
              <w:rPr>
                <w:rFonts w:hint="default" w:ascii="宋体" w:hAnsi="宋体"/>
                <w:color w:val="auto"/>
                <w:szCs w:val="21"/>
                <w:highlight w:val="none"/>
              </w:rPr>
            </w:pPr>
            <w:r>
              <w:rPr>
                <w:rFonts w:hint="eastAsia" w:ascii="宋体" w:hAnsi="宋体"/>
                <w:color w:val="auto"/>
                <w:szCs w:val="21"/>
                <w:highlight w:val="none"/>
              </w:rPr>
              <w:t>7.2</w:t>
            </w:r>
          </w:p>
        </w:tc>
        <w:tc>
          <w:tcPr>
            <w:tcW w:w="1878" w:type="dxa"/>
            <w:tcBorders>
              <w:top w:val="single" w:color="auto" w:sz="4" w:space="0"/>
              <w:left w:val="single" w:color="auto" w:sz="4" w:space="0"/>
              <w:bottom w:val="single" w:color="auto" w:sz="4" w:space="0"/>
              <w:right w:val="single" w:color="auto" w:sz="4" w:space="0"/>
            </w:tcBorders>
            <w:vAlign w:val="center"/>
          </w:tcPr>
          <w:p w14:paraId="5F5D7FCD">
            <w:pPr>
              <w:keepNext w:val="0"/>
              <w:keepLines w:val="0"/>
              <w:suppressLineNumbers w:val="0"/>
              <w:spacing w:before="0" w:beforeAutospacing="0" w:after="0" w:afterAutospacing="0" w:line="560" w:lineRule="exact"/>
              <w:ind w:left="0" w:right="0"/>
              <w:rPr>
                <w:rFonts w:hint="default" w:ascii="宋体" w:hAnsi="宋体"/>
                <w:color w:val="auto"/>
                <w:szCs w:val="21"/>
                <w:highlight w:val="none"/>
              </w:rPr>
            </w:pPr>
            <w:r>
              <w:rPr>
                <w:rFonts w:hint="eastAsia" w:ascii="宋体" w:hAnsi="宋体"/>
                <w:color w:val="auto"/>
                <w:szCs w:val="21"/>
                <w:highlight w:val="none"/>
              </w:rPr>
              <w:t>是否允许转包/分包</w:t>
            </w:r>
          </w:p>
        </w:tc>
        <w:tc>
          <w:tcPr>
            <w:tcW w:w="7297" w:type="dxa"/>
            <w:tcBorders>
              <w:top w:val="single" w:color="auto" w:sz="4" w:space="0"/>
              <w:left w:val="single" w:color="auto" w:sz="4" w:space="0"/>
              <w:bottom w:val="single" w:color="auto" w:sz="4" w:space="0"/>
              <w:right w:val="single" w:color="auto" w:sz="4" w:space="0"/>
            </w:tcBorders>
            <w:vAlign w:val="center"/>
          </w:tcPr>
          <w:p w14:paraId="08E2E690">
            <w:pPr>
              <w:pStyle w:val="18"/>
              <w:keepNext w:val="0"/>
              <w:keepLines w:val="0"/>
              <w:suppressLineNumbers w:val="0"/>
              <w:spacing w:before="0" w:beforeAutospacing="0" w:after="0" w:afterAutospacing="0" w:line="560" w:lineRule="exact"/>
              <w:ind w:left="0" w:right="0"/>
              <w:rPr>
                <w:rFonts w:hint="default" w:ascii="宋体" w:hAnsi="宋体"/>
                <w:color w:val="auto"/>
                <w:szCs w:val="21"/>
                <w:highlight w:val="none"/>
              </w:rPr>
            </w:pPr>
            <w:r>
              <w:rPr>
                <w:rFonts w:hint="eastAsia" w:ascii="宋体" w:hAnsi="宋体"/>
                <w:color w:val="auto"/>
                <w:szCs w:val="21"/>
                <w:highlight w:val="none"/>
              </w:rPr>
              <w:t>□允许/√不允许。</w:t>
            </w:r>
          </w:p>
          <w:p w14:paraId="298A268D">
            <w:pPr>
              <w:pStyle w:val="18"/>
              <w:keepNext w:val="0"/>
              <w:keepLines w:val="0"/>
              <w:suppressLineNumbers w:val="0"/>
              <w:spacing w:before="0" w:beforeAutospacing="0" w:after="0" w:afterAutospacing="0" w:line="560" w:lineRule="exact"/>
              <w:ind w:left="0" w:right="0"/>
              <w:rPr>
                <w:rFonts w:hint="default" w:ascii="宋体" w:hAnsi="宋体"/>
                <w:color w:val="auto"/>
                <w:szCs w:val="21"/>
                <w:highlight w:val="none"/>
              </w:rPr>
            </w:pPr>
            <w:r>
              <w:rPr>
                <w:rFonts w:hint="eastAsia" w:ascii="宋体" w:hAnsi="宋体"/>
                <w:color w:val="auto"/>
                <w:szCs w:val="21"/>
                <w:highlight w:val="none"/>
              </w:rPr>
              <w:t>转包/分包内容：</w:t>
            </w:r>
            <w:r>
              <w:rPr>
                <w:rFonts w:hint="eastAsia" w:ascii="宋体" w:hAnsi="宋体"/>
                <w:color w:val="auto"/>
                <w:szCs w:val="21"/>
                <w:highlight w:val="none"/>
                <w:u w:val="single"/>
              </w:rPr>
              <w:t xml:space="preserve">                                     。</w:t>
            </w:r>
          </w:p>
          <w:p w14:paraId="6DA801AE">
            <w:pPr>
              <w:pStyle w:val="18"/>
              <w:keepNext w:val="0"/>
              <w:keepLines w:val="0"/>
              <w:suppressLineNumbers w:val="0"/>
              <w:spacing w:before="0" w:beforeAutospacing="0" w:after="0" w:afterAutospacing="0" w:line="560" w:lineRule="exact"/>
              <w:ind w:left="0" w:right="0"/>
              <w:rPr>
                <w:rFonts w:hint="default" w:ascii="宋体" w:hAnsi="宋体"/>
                <w:color w:val="auto"/>
                <w:szCs w:val="21"/>
                <w:highlight w:val="none"/>
              </w:rPr>
            </w:pPr>
            <w:r>
              <w:rPr>
                <w:rFonts w:hint="eastAsia" w:ascii="宋体" w:hAnsi="宋体"/>
                <w:color w:val="auto"/>
                <w:szCs w:val="21"/>
                <w:highlight w:val="none"/>
              </w:rPr>
              <w:t>转包/分包金额或者比例：</w:t>
            </w:r>
            <w:r>
              <w:rPr>
                <w:rFonts w:hint="eastAsia" w:ascii="宋体" w:hAnsi="宋体"/>
                <w:color w:val="auto"/>
                <w:szCs w:val="21"/>
                <w:highlight w:val="none"/>
                <w:u w:val="single"/>
              </w:rPr>
              <w:t xml:space="preserve">                                     。</w:t>
            </w:r>
          </w:p>
        </w:tc>
      </w:tr>
      <w:tr w14:paraId="64CCF208">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c>
          <w:tcPr>
            <w:tcW w:w="1065" w:type="dxa"/>
            <w:tcBorders>
              <w:top w:val="single" w:color="auto" w:sz="4" w:space="0"/>
              <w:left w:val="single" w:color="auto" w:sz="4" w:space="0"/>
              <w:bottom w:val="single" w:color="auto" w:sz="4" w:space="0"/>
              <w:right w:val="single" w:color="auto" w:sz="4" w:space="0"/>
            </w:tcBorders>
            <w:vAlign w:val="center"/>
          </w:tcPr>
          <w:p w14:paraId="0FBD1452">
            <w:pPr>
              <w:keepNext w:val="0"/>
              <w:keepLines w:val="0"/>
              <w:suppressLineNumbers w:val="0"/>
              <w:spacing w:before="0" w:beforeAutospacing="0" w:after="0" w:afterAutospacing="0" w:line="560" w:lineRule="exact"/>
              <w:ind w:left="0" w:right="0"/>
              <w:rPr>
                <w:rFonts w:hint="default" w:ascii="宋体" w:hAnsi="宋体"/>
                <w:color w:val="auto"/>
                <w:szCs w:val="21"/>
                <w:highlight w:val="none"/>
              </w:rPr>
            </w:pPr>
            <w:r>
              <w:rPr>
                <w:rFonts w:hint="eastAsia" w:ascii="宋体" w:hAnsi="宋体"/>
                <w:color w:val="auto"/>
                <w:szCs w:val="21"/>
                <w:highlight w:val="none"/>
              </w:rPr>
              <w:t>11.4</w:t>
            </w:r>
          </w:p>
        </w:tc>
        <w:tc>
          <w:tcPr>
            <w:tcW w:w="1878" w:type="dxa"/>
            <w:tcBorders>
              <w:top w:val="single" w:color="auto" w:sz="4" w:space="0"/>
              <w:left w:val="single" w:color="auto" w:sz="4" w:space="0"/>
              <w:bottom w:val="single" w:color="auto" w:sz="4" w:space="0"/>
              <w:right w:val="single" w:color="auto" w:sz="4" w:space="0"/>
            </w:tcBorders>
            <w:vAlign w:val="center"/>
          </w:tcPr>
          <w:p w14:paraId="235F90AA">
            <w:pPr>
              <w:keepNext w:val="0"/>
              <w:keepLines w:val="0"/>
              <w:suppressLineNumbers w:val="0"/>
              <w:spacing w:before="0" w:beforeAutospacing="0" w:after="0" w:afterAutospacing="0" w:line="560" w:lineRule="exact"/>
              <w:ind w:left="0" w:right="0"/>
              <w:rPr>
                <w:rFonts w:hint="default" w:ascii="宋体" w:hAnsi="宋体"/>
                <w:color w:val="auto"/>
                <w:szCs w:val="21"/>
                <w:highlight w:val="none"/>
              </w:rPr>
            </w:pPr>
            <w:r>
              <w:rPr>
                <w:rFonts w:hint="eastAsia" w:ascii="宋体" w:hAnsi="宋体"/>
                <w:color w:val="auto"/>
                <w:szCs w:val="21"/>
                <w:highlight w:val="none"/>
              </w:rPr>
              <w:t>媒体发布渠道</w:t>
            </w:r>
          </w:p>
        </w:tc>
        <w:tc>
          <w:tcPr>
            <w:tcW w:w="7297" w:type="dxa"/>
            <w:tcBorders>
              <w:top w:val="single" w:color="auto" w:sz="4" w:space="0"/>
              <w:left w:val="single" w:color="auto" w:sz="4" w:space="0"/>
              <w:bottom w:val="single" w:color="auto" w:sz="4" w:space="0"/>
              <w:right w:val="single" w:color="auto" w:sz="4" w:space="0"/>
            </w:tcBorders>
            <w:vAlign w:val="center"/>
          </w:tcPr>
          <w:p w14:paraId="6304EB9E">
            <w:pPr>
              <w:keepNext w:val="0"/>
              <w:keepLines w:val="0"/>
              <w:suppressLineNumbers w:val="0"/>
              <w:spacing w:before="0" w:beforeAutospacing="0" w:after="0" w:afterAutospacing="0" w:line="560" w:lineRule="exact"/>
              <w:ind w:left="0" w:right="0"/>
              <w:rPr>
                <w:rFonts w:hint="default"/>
                <w:color w:val="auto"/>
                <w:sz w:val="28"/>
                <w:szCs w:val="18"/>
                <w:highlight w:val="none"/>
              </w:rPr>
            </w:pPr>
            <w:r>
              <w:rPr>
                <w:rFonts w:hint="eastAsia" w:ascii="宋体" w:hAnsi="宋体" w:cs="宋体"/>
                <w:color w:val="auto"/>
                <w:szCs w:val="21"/>
                <w:highlight w:val="none"/>
              </w:rPr>
              <w:t>与本项目相关的政府采购业务澄清、更正及与之相关的事项将在采购公告中“</w:t>
            </w:r>
            <w:r>
              <w:rPr>
                <w:rFonts w:hint="eastAsia" w:ascii="宋体" w:hAnsi="宋体"/>
                <w:color w:val="auto"/>
                <w:szCs w:val="21"/>
                <w:highlight w:val="none"/>
              </w:rPr>
              <w:t>六、其他补充事宜”中网上查询地址</w:t>
            </w:r>
            <w:r>
              <w:rPr>
                <w:rFonts w:hint="eastAsia" w:ascii="宋体" w:hAnsi="宋体" w:cs="宋体"/>
                <w:color w:val="auto"/>
                <w:szCs w:val="21"/>
                <w:highlight w:val="none"/>
              </w:rPr>
              <w:t>上发布</w:t>
            </w:r>
            <w:r>
              <w:rPr>
                <w:rFonts w:hint="eastAsia" w:ascii="宋体" w:hAnsi="宋体" w:cs="宋体"/>
                <w:color w:val="auto"/>
                <w:kern w:val="0"/>
                <w:szCs w:val="21"/>
                <w:highlight w:val="none"/>
              </w:rPr>
              <w:t>。</w:t>
            </w:r>
          </w:p>
        </w:tc>
      </w:tr>
      <w:tr w14:paraId="58B564CF">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c>
          <w:tcPr>
            <w:tcW w:w="1065" w:type="dxa"/>
            <w:tcBorders>
              <w:top w:val="single" w:color="auto" w:sz="4" w:space="0"/>
              <w:left w:val="single" w:color="auto" w:sz="4" w:space="0"/>
              <w:bottom w:val="single" w:color="auto" w:sz="4" w:space="0"/>
              <w:right w:val="single" w:color="auto" w:sz="4" w:space="0"/>
            </w:tcBorders>
            <w:vAlign w:val="center"/>
          </w:tcPr>
          <w:p w14:paraId="210B395A">
            <w:pPr>
              <w:keepNext w:val="0"/>
              <w:keepLines w:val="0"/>
              <w:suppressLineNumbers w:val="0"/>
              <w:spacing w:before="0" w:beforeAutospacing="0" w:after="0" w:afterAutospacing="0" w:line="560" w:lineRule="exact"/>
              <w:ind w:left="0" w:right="0"/>
              <w:rPr>
                <w:rFonts w:hint="default" w:ascii="宋体" w:hAnsi="宋体"/>
                <w:color w:val="auto"/>
                <w:szCs w:val="21"/>
                <w:highlight w:val="none"/>
              </w:rPr>
            </w:pPr>
            <w:r>
              <w:rPr>
                <w:rFonts w:hint="eastAsia" w:ascii="宋体" w:hAnsi="宋体"/>
                <w:color w:val="auto"/>
                <w:szCs w:val="21"/>
                <w:highlight w:val="none"/>
              </w:rPr>
              <w:t>11.6</w:t>
            </w:r>
          </w:p>
        </w:tc>
        <w:tc>
          <w:tcPr>
            <w:tcW w:w="1878" w:type="dxa"/>
            <w:tcBorders>
              <w:top w:val="single" w:color="auto" w:sz="4" w:space="0"/>
              <w:left w:val="single" w:color="auto" w:sz="4" w:space="0"/>
              <w:bottom w:val="single" w:color="auto" w:sz="4" w:space="0"/>
              <w:right w:val="single" w:color="auto" w:sz="4" w:space="0"/>
            </w:tcBorders>
            <w:vAlign w:val="center"/>
          </w:tcPr>
          <w:p w14:paraId="669E552F">
            <w:pPr>
              <w:keepNext w:val="0"/>
              <w:keepLines w:val="0"/>
              <w:suppressLineNumbers w:val="0"/>
              <w:spacing w:before="0" w:beforeAutospacing="0" w:after="0" w:afterAutospacing="0" w:line="560" w:lineRule="exact"/>
              <w:ind w:left="0" w:right="0"/>
              <w:rPr>
                <w:rFonts w:hint="default" w:ascii="宋体" w:hAnsi="宋体"/>
                <w:color w:val="auto"/>
                <w:szCs w:val="21"/>
                <w:highlight w:val="none"/>
              </w:rPr>
            </w:pPr>
            <w:r>
              <w:rPr>
                <w:rFonts w:hint="eastAsia" w:ascii="宋体" w:hAnsi="宋体"/>
                <w:color w:val="auto"/>
                <w:szCs w:val="21"/>
                <w:highlight w:val="none"/>
              </w:rPr>
              <w:t>是否组织标前答疑会</w:t>
            </w:r>
          </w:p>
        </w:tc>
        <w:tc>
          <w:tcPr>
            <w:tcW w:w="7297" w:type="dxa"/>
            <w:tcBorders>
              <w:top w:val="single" w:color="auto" w:sz="4" w:space="0"/>
              <w:left w:val="single" w:color="auto" w:sz="4" w:space="0"/>
              <w:bottom w:val="single" w:color="auto" w:sz="4" w:space="0"/>
              <w:right w:val="single" w:color="auto" w:sz="4" w:space="0"/>
            </w:tcBorders>
            <w:vAlign w:val="center"/>
          </w:tcPr>
          <w:p w14:paraId="753A6A7E">
            <w:pPr>
              <w:keepNext w:val="0"/>
              <w:keepLines w:val="0"/>
              <w:suppressLineNumbers w:val="0"/>
              <w:snapToGrid w:val="0"/>
              <w:spacing w:before="0" w:beforeAutospacing="0" w:after="0" w:afterAutospacing="0" w:line="560" w:lineRule="exact"/>
              <w:ind w:left="0" w:right="0"/>
              <w:rPr>
                <w:rFonts w:hint="default" w:ascii="宋体" w:hAnsi="宋体"/>
                <w:color w:val="auto"/>
                <w:szCs w:val="21"/>
                <w:highlight w:val="none"/>
              </w:rPr>
            </w:pPr>
            <w:r>
              <w:rPr>
                <w:rFonts w:hint="eastAsia" w:ascii="宋体" w:hAnsi="宋体"/>
                <w:color w:val="auto"/>
                <w:szCs w:val="21"/>
                <w:highlight w:val="none"/>
              </w:rPr>
              <w:t>√不组织召开开标前答疑会</w:t>
            </w:r>
          </w:p>
          <w:p w14:paraId="736414FC">
            <w:pPr>
              <w:keepNext w:val="0"/>
              <w:keepLines w:val="0"/>
              <w:suppressLineNumbers w:val="0"/>
              <w:snapToGrid w:val="0"/>
              <w:spacing w:before="0" w:beforeAutospacing="0" w:after="0" w:afterAutospacing="0" w:line="560" w:lineRule="exact"/>
              <w:ind w:left="0" w:right="0"/>
              <w:rPr>
                <w:rFonts w:hint="default" w:ascii="宋体" w:hAnsi="宋体"/>
                <w:color w:val="auto"/>
                <w:szCs w:val="21"/>
                <w:highlight w:val="none"/>
              </w:rPr>
            </w:pPr>
            <w:r>
              <w:rPr>
                <w:rFonts w:hint="eastAsia" w:ascii="宋体" w:hAnsi="宋体"/>
                <w:color w:val="auto"/>
                <w:szCs w:val="21"/>
                <w:highlight w:val="none"/>
              </w:rPr>
              <w:t>□组织召开开标前答疑会</w:t>
            </w:r>
          </w:p>
          <w:p w14:paraId="4C35D664">
            <w:pPr>
              <w:keepNext w:val="0"/>
              <w:keepLines w:val="0"/>
              <w:suppressLineNumbers w:val="0"/>
              <w:snapToGrid w:val="0"/>
              <w:spacing w:before="0" w:beforeAutospacing="0" w:after="0" w:afterAutospacing="0" w:line="560" w:lineRule="exact"/>
              <w:ind w:left="0" w:right="0"/>
              <w:rPr>
                <w:rFonts w:hint="default" w:ascii="宋体" w:hAnsi="宋体"/>
                <w:color w:val="auto"/>
                <w:szCs w:val="21"/>
                <w:highlight w:val="none"/>
                <w:u w:val="single"/>
              </w:rPr>
            </w:pPr>
            <w:r>
              <w:rPr>
                <w:rFonts w:hint="eastAsia" w:ascii="宋体" w:hAnsi="宋体"/>
                <w:color w:val="auto"/>
                <w:szCs w:val="21"/>
                <w:highlight w:val="none"/>
              </w:rPr>
              <w:t>会议开始时间：年月日 时</w:t>
            </w:r>
            <w:r>
              <w:rPr>
                <w:rFonts w:hint="eastAsia" w:ascii="宋体" w:hAnsi="宋体"/>
                <w:color w:val="auto"/>
                <w:szCs w:val="21"/>
                <w:highlight w:val="none"/>
                <w:u w:val="single"/>
              </w:rPr>
              <w:t xml:space="preserve">  分</w:t>
            </w:r>
            <w:r>
              <w:rPr>
                <w:rFonts w:hint="eastAsia" w:ascii="宋体" w:hAnsi="宋体"/>
                <w:color w:val="auto"/>
                <w:szCs w:val="21"/>
                <w:highlight w:val="none"/>
              </w:rPr>
              <w:t>，逾期后果自负。会议地点：</w:t>
            </w:r>
          </w:p>
        </w:tc>
      </w:tr>
      <w:tr w14:paraId="0077AABB">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c>
          <w:tcPr>
            <w:tcW w:w="1065" w:type="dxa"/>
            <w:tcBorders>
              <w:top w:val="single" w:color="auto" w:sz="4" w:space="0"/>
              <w:left w:val="single" w:color="auto" w:sz="4" w:space="0"/>
              <w:bottom w:val="single" w:color="auto" w:sz="4" w:space="0"/>
              <w:right w:val="single" w:color="auto" w:sz="4" w:space="0"/>
            </w:tcBorders>
            <w:vAlign w:val="center"/>
          </w:tcPr>
          <w:p w14:paraId="5BA7FDF3">
            <w:pPr>
              <w:keepNext w:val="0"/>
              <w:keepLines w:val="0"/>
              <w:suppressLineNumbers w:val="0"/>
              <w:spacing w:before="0" w:beforeAutospacing="0" w:after="0" w:afterAutospacing="0" w:line="560" w:lineRule="exact"/>
              <w:ind w:left="0" w:right="0"/>
              <w:rPr>
                <w:rFonts w:hint="default" w:ascii="宋体" w:hAnsi="宋体"/>
                <w:color w:val="auto"/>
                <w:szCs w:val="21"/>
                <w:highlight w:val="none"/>
              </w:rPr>
            </w:pPr>
            <w:r>
              <w:rPr>
                <w:rFonts w:hint="eastAsia" w:ascii="宋体" w:hAnsi="宋体"/>
                <w:color w:val="auto"/>
                <w:szCs w:val="21"/>
                <w:highlight w:val="none"/>
              </w:rPr>
              <w:t>13.1</w:t>
            </w:r>
          </w:p>
        </w:tc>
        <w:tc>
          <w:tcPr>
            <w:tcW w:w="1878" w:type="dxa"/>
            <w:tcBorders>
              <w:top w:val="single" w:color="auto" w:sz="4" w:space="0"/>
              <w:left w:val="single" w:color="auto" w:sz="4" w:space="0"/>
              <w:bottom w:val="single" w:color="auto" w:sz="4" w:space="0"/>
              <w:right w:val="single" w:color="auto" w:sz="4" w:space="0"/>
            </w:tcBorders>
            <w:vAlign w:val="center"/>
          </w:tcPr>
          <w:p w14:paraId="656ACD7E">
            <w:pPr>
              <w:keepNext w:val="0"/>
              <w:keepLines w:val="0"/>
              <w:suppressLineNumbers w:val="0"/>
              <w:snapToGrid w:val="0"/>
              <w:spacing w:before="0" w:beforeAutospacing="0" w:after="0" w:afterAutospacing="0" w:line="560" w:lineRule="exact"/>
              <w:ind w:left="0" w:right="0"/>
              <w:jc w:val="left"/>
              <w:rPr>
                <w:rFonts w:hint="default" w:ascii="宋体" w:hAnsi="宋体" w:cs="Courier New"/>
                <w:color w:val="auto"/>
                <w:szCs w:val="21"/>
                <w:highlight w:val="none"/>
              </w:rPr>
            </w:pPr>
            <w:bookmarkStart w:id="39" w:name="_13.2"/>
            <w:bookmarkEnd w:id="39"/>
            <w:r>
              <w:rPr>
                <w:rFonts w:hint="eastAsia" w:ascii="宋体" w:hAnsi="宋体" w:cs="Courier New"/>
                <w:color w:val="auto"/>
                <w:szCs w:val="21"/>
                <w:highlight w:val="none"/>
              </w:rPr>
              <w:t>资格证明文件组成</w:t>
            </w:r>
          </w:p>
        </w:tc>
        <w:tc>
          <w:tcPr>
            <w:tcW w:w="7297" w:type="dxa"/>
            <w:tcBorders>
              <w:top w:val="single" w:color="auto" w:sz="4" w:space="0"/>
              <w:left w:val="single" w:color="auto" w:sz="4" w:space="0"/>
              <w:bottom w:val="single" w:color="auto" w:sz="4" w:space="0"/>
              <w:right w:val="single" w:color="auto" w:sz="4" w:space="0"/>
            </w:tcBorders>
            <w:vAlign w:val="center"/>
          </w:tcPr>
          <w:p w14:paraId="6B0E1308">
            <w:pPr>
              <w:keepNext w:val="0"/>
              <w:keepLines w:val="0"/>
              <w:suppressLineNumbers w:val="0"/>
              <w:snapToGrid w:val="0"/>
              <w:spacing w:before="0" w:beforeAutospacing="0" w:after="0" w:afterAutospacing="0" w:line="560" w:lineRule="exact"/>
              <w:ind w:left="0" w:right="0"/>
              <w:jc w:val="left"/>
              <w:rPr>
                <w:rFonts w:hint="default" w:ascii="宋体" w:hAnsi="宋体"/>
                <w:color w:val="auto"/>
                <w:szCs w:val="21"/>
                <w:highlight w:val="none"/>
              </w:rPr>
            </w:pPr>
            <w:r>
              <w:rPr>
                <w:rFonts w:hint="eastAsia" w:ascii="宋体" w:hAnsi="宋体"/>
                <w:color w:val="auto"/>
                <w:szCs w:val="21"/>
                <w:highlight w:val="none"/>
              </w:rPr>
              <w:t>1、投标人为法人或者其他组织的，提供营业执照等证明文件</w:t>
            </w:r>
            <w:r>
              <w:rPr>
                <w:rFonts w:hint="eastAsia" w:ascii="宋体" w:hAnsi="宋体" w:cs="宋体"/>
                <w:color w:val="auto"/>
                <w:szCs w:val="21"/>
                <w:highlight w:val="none"/>
              </w:rPr>
              <w:t>（如营业执照或者事业单位法人证书或者</w:t>
            </w:r>
            <w:r>
              <w:rPr>
                <w:rStyle w:val="73"/>
                <w:rFonts w:hint="default"/>
                <w:color w:val="auto"/>
                <w:szCs w:val="21"/>
                <w:highlight w:val="none"/>
              </w:rPr>
              <w:t>执业许可证</w:t>
            </w:r>
            <w:r>
              <w:rPr>
                <w:rFonts w:hint="eastAsia" w:ascii="宋体" w:hAnsi="宋体" w:cs="宋体"/>
                <w:color w:val="auto"/>
                <w:szCs w:val="21"/>
                <w:highlight w:val="none"/>
              </w:rPr>
              <w:t>等）</w:t>
            </w:r>
            <w:r>
              <w:rPr>
                <w:rFonts w:hint="eastAsia" w:ascii="宋体" w:hAnsi="宋体"/>
                <w:color w:val="auto"/>
                <w:szCs w:val="21"/>
                <w:highlight w:val="none"/>
              </w:rPr>
              <w:t>，投标人为自然人的，提供身份证</w:t>
            </w:r>
            <w:r>
              <w:rPr>
                <w:rFonts w:hint="eastAsia" w:ascii="宋体" w:hAnsi="宋体" w:cs="宋体"/>
                <w:color w:val="auto"/>
                <w:szCs w:val="21"/>
                <w:highlight w:val="none"/>
              </w:rPr>
              <w:t>复印件</w:t>
            </w:r>
            <w:r>
              <w:rPr>
                <w:rFonts w:hint="eastAsia" w:ascii="宋体" w:hAnsi="宋体"/>
                <w:color w:val="auto"/>
                <w:szCs w:val="21"/>
                <w:highlight w:val="none"/>
              </w:rPr>
              <w:t>。（</w:t>
            </w:r>
            <w:r>
              <w:rPr>
                <w:rFonts w:hint="eastAsia" w:ascii="宋体" w:hAnsi="宋体"/>
                <w:b/>
                <w:color w:val="auto"/>
                <w:szCs w:val="21"/>
                <w:highlight w:val="none"/>
              </w:rPr>
              <w:t>必须提供，否则作无效投标处理</w:t>
            </w:r>
            <w:r>
              <w:rPr>
                <w:rFonts w:hint="eastAsia" w:ascii="宋体" w:hAnsi="宋体"/>
                <w:color w:val="auto"/>
                <w:szCs w:val="21"/>
                <w:highlight w:val="none"/>
              </w:rPr>
              <w:t>）</w:t>
            </w:r>
          </w:p>
          <w:p w14:paraId="3566FE90">
            <w:pPr>
              <w:keepNext w:val="0"/>
              <w:keepLines w:val="0"/>
              <w:suppressLineNumbers w:val="0"/>
              <w:snapToGrid w:val="0"/>
              <w:spacing w:before="0" w:beforeAutospacing="0" w:after="0" w:afterAutospacing="0" w:line="560" w:lineRule="exact"/>
              <w:ind w:left="0" w:right="0"/>
              <w:jc w:val="left"/>
              <w:rPr>
                <w:rFonts w:hint="default" w:ascii="宋体" w:hAnsi="宋体"/>
                <w:color w:val="auto"/>
                <w:szCs w:val="21"/>
                <w:highlight w:val="none"/>
              </w:rPr>
            </w:pPr>
            <w:r>
              <w:rPr>
                <w:rFonts w:hint="eastAsia" w:ascii="宋体" w:hAnsi="宋体" w:cs="宋体"/>
                <w:color w:val="auto"/>
                <w:szCs w:val="21"/>
                <w:highlight w:val="none"/>
              </w:rPr>
              <w:t>2、投标人依法缴纳税收的相关材料[</w:t>
            </w:r>
            <w:r>
              <w:rPr>
                <w:rFonts w:hint="default" w:ascii="宋体" w:hAnsi="宋体" w:cs="宋体"/>
                <w:color w:val="auto"/>
                <w:szCs w:val="21"/>
                <w:highlight w:val="none"/>
                <w:u w:val="single"/>
              </w:rPr>
              <w:t>202</w:t>
            </w:r>
            <w:r>
              <w:rPr>
                <w:rFonts w:hint="eastAsia" w:ascii="宋体" w:hAnsi="宋体" w:cs="宋体"/>
                <w:color w:val="auto"/>
                <w:szCs w:val="21"/>
                <w:highlight w:val="none"/>
                <w:u w:val="single"/>
              </w:rPr>
              <w:t>5</w:t>
            </w:r>
            <w:r>
              <w:rPr>
                <w:rFonts w:hint="eastAsia" w:ascii="宋体" w:hAnsi="宋体" w:cs="宋体"/>
                <w:color w:val="auto"/>
                <w:szCs w:val="21"/>
                <w:highlight w:val="none"/>
              </w:rPr>
              <w:t>年</w:t>
            </w:r>
            <w:r>
              <w:rPr>
                <w:rFonts w:hint="eastAsia" w:ascii="宋体" w:hAnsi="宋体" w:cs="宋体"/>
                <w:color w:val="auto"/>
                <w:szCs w:val="21"/>
                <w:highlight w:val="none"/>
                <w:u w:val="single"/>
              </w:rPr>
              <w:t>10</w:t>
            </w:r>
            <w:r>
              <w:rPr>
                <w:rFonts w:hint="eastAsia" w:ascii="宋体" w:hAnsi="宋体" w:cs="宋体"/>
                <w:color w:val="auto"/>
                <w:szCs w:val="21"/>
                <w:highlight w:val="none"/>
              </w:rPr>
              <w:t>月至</w:t>
            </w:r>
            <w:r>
              <w:rPr>
                <w:rFonts w:hint="default" w:ascii="宋体" w:hAnsi="宋体" w:cs="宋体"/>
                <w:color w:val="auto"/>
                <w:szCs w:val="21"/>
                <w:highlight w:val="none"/>
                <w:u w:val="single"/>
              </w:rPr>
              <w:t>202</w:t>
            </w:r>
            <w:r>
              <w:rPr>
                <w:rFonts w:hint="eastAsia" w:ascii="宋体" w:hAnsi="宋体" w:cs="宋体"/>
                <w:color w:val="auto"/>
                <w:szCs w:val="21"/>
                <w:highlight w:val="none"/>
                <w:u w:val="single"/>
              </w:rPr>
              <w:t>6</w:t>
            </w:r>
            <w:r>
              <w:rPr>
                <w:rFonts w:hint="eastAsia" w:ascii="宋体" w:hAnsi="宋体" w:cs="宋体"/>
                <w:color w:val="auto"/>
                <w:szCs w:val="21"/>
                <w:highlight w:val="none"/>
              </w:rPr>
              <w:t>年</w:t>
            </w:r>
            <w:r>
              <w:rPr>
                <w:rFonts w:hint="eastAsia" w:ascii="宋体" w:hAnsi="宋体" w:cs="宋体"/>
                <w:color w:val="auto"/>
                <w:szCs w:val="21"/>
                <w:highlight w:val="none"/>
                <w:u w:val="single"/>
              </w:rPr>
              <w:t>3</w:t>
            </w:r>
            <w:r>
              <w:rPr>
                <w:rFonts w:hint="eastAsia" w:ascii="宋体" w:hAnsi="宋体" w:cs="宋体"/>
                <w:color w:val="auto"/>
                <w:szCs w:val="21"/>
                <w:highlight w:val="none"/>
              </w:rPr>
              <w:t>月内]连续</w:t>
            </w:r>
            <w:r>
              <w:rPr>
                <w:rFonts w:hint="default" w:ascii="宋体" w:hAnsi="宋体" w:cs="宋体"/>
                <w:color w:val="auto"/>
                <w:szCs w:val="21"/>
                <w:highlight w:val="none"/>
                <w:u w:val="single"/>
              </w:rPr>
              <w:t>3</w:t>
            </w:r>
            <w:r>
              <w:rPr>
                <w:rFonts w:hint="eastAsia" w:ascii="宋体" w:hAnsi="宋体" w:cs="宋体"/>
                <w:color w:val="auto"/>
                <w:szCs w:val="21"/>
                <w:highlight w:val="none"/>
              </w:rPr>
              <w:t>个月的依法缴纳税收的凭据复印件；依</w:t>
            </w:r>
            <w:r>
              <w:rPr>
                <w:rFonts w:hint="eastAsia" w:ascii="宋体" w:hAnsi="宋体"/>
                <w:color w:val="auto"/>
                <w:szCs w:val="21"/>
                <w:highlight w:val="none"/>
              </w:rPr>
              <w:t>法免税的投标人，必须提供相应文件证明其依法免税。无纳税记录的，应提供投标人所在地主管税务部门出具的依法纳税或依法免税证明复印件。</w:t>
            </w:r>
            <w:r>
              <w:rPr>
                <w:rFonts w:hint="eastAsia" w:ascii="宋体" w:hAnsi="宋体" w:cs="宋体"/>
                <w:color w:val="auto"/>
                <w:szCs w:val="21"/>
                <w:highlight w:val="none"/>
              </w:rPr>
              <w:t>从取得营业执照时间起到投标文件提交截止时间为止不足要求月数的，只需提供从取得营业执照起的依法缴纳税收</w:t>
            </w:r>
            <w:r>
              <w:rPr>
                <w:rFonts w:hint="eastAsia" w:ascii="宋体" w:hAnsi="宋体"/>
                <w:color w:val="auto"/>
                <w:szCs w:val="21"/>
                <w:highlight w:val="none"/>
              </w:rPr>
              <w:t>相应证明文件</w:t>
            </w:r>
            <w:r>
              <w:rPr>
                <w:rFonts w:hint="eastAsia" w:ascii="宋体" w:hAnsi="宋体" w:cs="宋体"/>
                <w:color w:val="auto"/>
                <w:szCs w:val="21"/>
                <w:highlight w:val="none"/>
              </w:rPr>
              <w:t>）</w:t>
            </w:r>
            <w:r>
              <w:rPr>
                <w:rFonts w:hint="eastAsia" w:ascii="宋体" w:hAnsi="宋体"/>
                <w:color w:val="auto"/>
                <w:szCs w:val="21"/>
                <w:highlight w:val="none"/>
              </w:rPr>
              <w:t>。（</w:t>
            </w:r>
            <w:r>
              <w:rPr>
                <w:rFonts w:hint="eastAsia" w:ascii="宋体" w:hAnsi="宋体"/>
                <w:b/>
                <w:color w:val="auto"/>
                <w:szCs w:val="21"/>
                <w:highlight w:val="none"/>
              </w:rPr>
              <w:t>必须提供，否则作无效投标处理</w:t>
            </w:r>
            <w:r>
              <w:rPr>
                <w:rFonts w:hint="eastAsia" w:ascii="宋体" w:hAnsi="宋体"/>
                <w:color w:val="auto"/>
                <w:szCs w:val="21"/>
                <w:highlight w:val="none"/>
              </w:rPr>
              <w:t>）</w:t>
            </w:r>
          </w:p>
          <w:p w14:paraId="05234FEF">
            <w:pPr>
              <w:keepNext w:val="0"/>
              <w:keepLines w:val="0"/>
              <w:suppressLineNumbers w:val="0"/>
              <w:snapToGrid w:val="0"/>
              <w:spacing w:before="0" w:beforeAutospacing="0" w:after="0" w:afterAutospacing="0" w:line="560" w:lineRule="exact"/>
              <w:ind w:left="0" w:right="0"/>
              <w:jc w:val="left"/>
              <w:rPr>
                <w:rFonts w:hint="default" w:ascii="宋体" w:hAnsi="宋体"/>
                <w:color w:val="auto"/>
                <w:szCs w:val="21"/>
                <w:highlight w:val="none"/>
              </w:rPr>
            </w:pPr>
            <w:r>
              <w:rPr>
                <w:rFonts w:hint="eastAsia" w:ascii="宋体" w:hAnsi="宋体" w:cs="宋体"/>
                <w:color w:val="auto"/>
                <w:szCs w:val="21"/>
                <w:highlight w:val="none"/>
              </w:rPr>
              <w:t>3、投标人依法缴纳社会保障资金的相关材料[</w:t>
            </w:r>
            <w:r>
              <w:rPr>
                <w:rFonts w:hint="default" w:ascii="宋体" w:hAnsi="宋体" w:cs="宋体"/>
                <w:color w:val="auto"/>
                <w:szCs w:val="21"/>
                <w:highlight w:val="none"/>
                <w:u w:val="single"/>
              </w:rPr>
              <w:t>202</w:t>
            </w:r>
            <w:r>
              <w:rPr>
                <w:rFonts w:hint="eastAsia" w:ascii="宋体" w:hAnsi="宋体" w:cs="宋体"/>
                <w:color w:val="auto"/>
                <w:szCs w:val="21"/>
                <w:highlight w:val="none"/>
                <w:u w:val="single"/>
              </w:rPr>
              <w:t>5</w:t>
            </w:r>
            <w:r>
              <w:rPr>
                <w:rFonts w:hint="eastAsia" w:ascii="宋体" w:hAnsi="宋体" w:cs="宋体"/>
                <w:color w:val="auto"/>
                <w:szCs w:val="21"/>
                <w:highlight w:val="none"/>
              </w:rPr>
              <w:t>年</w:t>
            </w:r>
            <w:r>
              <w:rPr>
                <w:rFonts w:hint="eastAsia" w:ascii="宋体" w:hAnsi="宋体" w:cs="宋体"/>
                <w:color w:val="auto"/>
                <w:szCs w:val="21"/>
                <w:highlight w:val="none"/>
                <w:u w:val="single"/>
              </w:rPr>
              <w:t>10</w:t>
            </w:r>
            <w:r>
              <w:rPr>
                <w:rFonts w:hint="eastAsia" w:ascii="宋体" w:hAnsi="宋体" w:cs="宋体"/>
                <w:color w:val="auto"/>
                <w:szCs w:val="21"/>
                <w:highlight w:val="none"/>
              </w:rPr>
              <w:t>月至</w:t>
            </w:r>
            <w:r>
              <w:rPr>
                <w:rFonts w:hint="default" w:ascii="宋体" w:hAnsi="宋体" w:cs="宋体"/>
                <w:color w:val="auto"/>
                <w:szCs w:val="21"/>
                <w:highlight w:val="none"/>
                <w:u w:val="single"/>
              </w:rPr>
              <w:t>202</w:t>
            </w:r>
            <w:r>
              <w:rPr>
                <w:rFonts w:hint="eastAsia" w:ascii="宋体" w:hAnsi="宋体" w:cs="宋体"/>
                <w:color w:val="auto"/>
                <w:szCs w:val="21"/>
                <w:highlight w:val="none"/>
                <w:u w:val="single"/>
              </w:rPr>
              <w:t>6</w:t>
            </w:r>
            <w:r>
              <w:rPr>
                <w:rFonts w:hint="eastAsia" w:ascii="宋体" w:hAnsi="宋体" w:cs="宋体"/>
                <w:color w:val="auto"/>
                <w:szCs w:val="21"/>
                <w:highlight w:val="none"/>
              </w:rPr>
              <w:t>年</w:t>
            </w:r>
            <w:r>
              <w:rPr>
                <w:rFonts w:hint="eastAsia" w:ascii="宋体" w:hAnsi="宋体" w:cs="宋体"/>
                <w:color w:val="auto"/>
                <w:szCs w:val="21"/>
                <w:highlight w:val="none"/>
                <w:u w:val="single"/>
              </w:rPr>
              <w:t>3</w:t>
            </w:r>
            <w:r>
              <w:rPr>
                <w:rFonts w:hint="eastAsia" w:ascii="宋体" w:hAnsi="宋体" w:cs="宋体"/>
                <w:color w:val="auto"/>
                <w:szCs w:val="21"/>
                <w:highlight w:val="none"/>
              </w:rPr>
              <w:t>月内]连续</w:t>
            </w:r>
            <w:r>
              <w:rPr>
                <w:rFonts w:hint="default" w:ascii="宋体" w:hAnsi="宋体" w:cs="宋体"/>
                <w:color w:val="auto"/>
                <w:szCs w:val="21"/>
                <w:highlight w:val="none"/>
                <w:u w:val="single"/>
              </w:rPr>
              <w:t>3</w:t>
            </w:r>
            <w:r>
              <w:rPr>
                <w:rFonts w:hint="eastAsia" w:ascii="宋体" w:hAnsi="宋体" w:cs="宋体"/>
                <w:color w:val="auto"/>
                <w:szCs w:val="21"/>
                <w:highlight w:val="none"/>
              </w:rPr>
              <w:t>个月的依法缴纳社会保障资金的缴费凭证（专用收据或者社会保险缴纳清单）复印件；</w:t>
            </w:r>
            <w:r>
              <w:rPr>
                <w:rFonts w:hint="eastAsia" w:ascii="宋体" w:hAnsi="宋体"/>
                <w:color w:val="auto"/>
                <w:szCs w:val="21"/>
                <w:highlight w:val="none"/>
              </w:rPr>
              <w:t>依法不需要缴纳社会保障资金的投标人，必须提供相应文件证明不需要缴纳社会保障资金。</w:t>
            </w:r>
            <w:r>
              <w:rPr>
                <w:rFonts w:hint="eastAsia" w:ascii="宋体" w:hAnsi="宋体" w:cs="宋体"/>
                <w:color w:val="auto"/>
                <w:szCs w:val="21"/>
                <w:highlight w:val="none"/>
              </w:rPr>
              <w:t>从取得营业执照时间起到投标文件提交截止时间为止不足要求月数的只需提供从取得营业执照起的依法缴纳社会保障资金的</w:t>
            </w:r>
            <w:r>
              <w:rPr>
                <w:rFonts w:hint="eastAsia" w:ascii="宋体" w:hAnsi="宋体"/>
                <w:color w:val="auto"/>
                <w:szCs w:val="21"/>
                <w:highlight w:val="none"/>
              </w:rPr>
              <w:t>相应证明文件。（</w:t>
            </w:r>
            <w:r>
              <w:rPr>
                <w:rFonts w:hint="eastAsia" w:ascii="宋体" w:hAnsi="宋体"/>
                <w:b/>
                <w:color w:val="auto"/>
                <w:szCs w:val="21"/>
                <w:highlight w:val="none"/>
              </w:rPr>
              <w:t>必须提供，否则作无效投标处理</w:t>
            </w:r>
            <w:r>
              <w:rPr>
                <w:rFonts w:hint="eastAsia" w:ascii="宋体" w:hAnsi="宋体"/>
                <w:color w:val="auto"/>
                <w:szCs w:val="21"/>
                <w:highlight w:val="none"/>
              </w:rPr>
              <w:t>）</w:t>
            </w:r>
          </w:p>
          <w:p w14:paraId="077D58A7">
            <w:pPr>
              <w:keepNext w:val="0"/>
              <w:keepLines w:val="0"/>
              <w:suppressLineNumbers w:val="0"/>
              <w:snapToGrid w:val="0"/>
              <w:spacing w:before="0" w:beforeAutospacing="0" w:after="0" w:afterAutospacing="0" w:line="560" w:lineRule="exact"/>
              <w:ind w:left="0" w:right="0"/>
              <w:jc w:val="left"/>
              <w:rPr>
                <w:rFonts w:hint="default" w:ascii="宋体" w:hAnsi="宋体"/>
                <w:color w:val="auto"/>
                <w:szCs w:val="21"/>
                <w:highlight w:val="none"/>
              </w:rPr>
            </w:pPr>
            <w:r>
              <w:rPr>
                <w:rFonts w:hint="eastAsia" w:ascii="宋体" w:hAnsi="宋体" w:cs="宋体"/>
                <w:color w:val="auto"/>
                <w:szCs w:val="21"/>
                <w:highlight w:val="none"/>
              </w:rPr>
              <w:t>4、投标人财务状况报告：</w:t>
            </w:r>
            <w:r>
              <w:rPr>
                <w:rFonts w:hint="eastAsia" w:ascii="宋体" w:hAnsi="宋体"/>
                <w:color w:val="auto"/>
                <w:szCs w:val="21"/>
                <w:highlight w:val="none"/>
              </w:rPr>
              <w:t>[</w:t>
            </w:r>
            <w:r>
              <w:rPr>
                <w:rFonts w:hint="eastAsia" w:ascii="宋体" w:hAnsi="宋体"/>
                <w:color w:val="auto"/>
                <w:szCs w:val="21"/>
                <w:highlight w:val="none"/>
                <w:u w:val="single"/>
              </w:rPr>
              <w:t>2</w:t>
            </w:r>
            <w:r>
              <w:rPr>
                <w:rFonts w:hint="default" w:ascii="宋体" w:hAnsi="宋体"/>
                <w:color w:val="auto"/>
                <w:szCs w:val="21"/>
                <w:highlight w:val="none"/>
                <w:u w:val="single"/>
              </w:rPr>
              <w:t>024</w:t>
            </w:r>
            <w:r>
              <w:rPr>
                <w:rFonts w:hint="eastAsia" w:ascii="宋体" w:hAnsi="宋体"/>
                <w:color w:val="auto"/>
                <w:szCs w:val="21"/>
                <w:highlight w:val="none"/>
              </w:rPr>
              <w:t>年度]或者[</w:t>
            </w:r>
            <w:r>
              <w:rPr>
                <w:rFonts w:hint="eastAsia" w:ascii="宋体" w:hAnsi="宋体"/>
                <w:color w:val="auto"/>
                <w:szCs w:val="21"/>
                <w:highlight w:val="none"/>
                <w:u w:val="single"/>
              </w:rPr>
              <w:t>2</w:t>
            </w:r>
            <w:r>
              <w:rPr>
                <w:rFonts w:hint="default" w:ascii="宋体" w:hAnsi="宋体"/>
                <w:color w:val="auto"/>
                <w:szCs w:val="21"/>
                <w:highlight w:val="none"/>
                <w:u w:val="single"/>
              </w:rPr>
              <w:t>02</w:t>
            </w:r>
            <w:r>
              <w:rPr>
                <w:rFonts w:hint="eastAsia" w:ascii="宋体" w:hAnsi="宋体"/>
                <w:color w:val="auto"/>
                <w:szCs w:val="21"/>
                <w:highlight w:val="none"/>
                <w:u w:val="single"/>
              </w:rPr>
              <w:t>5</w:t>
            </w:r>
            <w:r>
              <w:rPr>
                <w:rFonts w:hint="eastAsia" w:ascii="宋体" w:hAnsi="宋体"/>
                <w:color w:val="auto"/>
                <w:szCs w:val="21"/>
                <w:highlight w:val="none"/>
              </w:rPr>
              <w:t>年度]财务状况报告复印件；投标人成立不满一年的应按提供截标之日上一个月的财务状况报告复印件。（上述财务状况报告包括：投标人执行《企业会计准则》的，提供资产负债表、利润表、现金流量表、所有者权益变动表及其附注（以下称“四表一注”）；投标人执行《小企业会计准则》的，提供资产负债表、利润表、现金流量表及其附注（以下称“三表一注”）；投标人执行《政府会计制度》的，提供资产负债表、收入费用表和净资产变动表及其附注)。（</w:t>
            </w:r>
            <w:r>
              <w:rPr>
                <w:rFonts w:hint="eastAsia" w:ascii="宋体" w:hAnsi="宋体"/>
                <w:b/>
                <w:color w:val="auto"/>
                <w:szCs w:val="21"/>
                <w:highlight w:val="none"/>
              </w:rPr>
              <w:t>必须提供，否则作无效投标处理</w:t>
            </w:r>
            <w:r>
              <w:rPr>
                <w:rFonts w:hint="eastAsia" w:ascii="宋体" w:hAnsi="宋体"/>
                <w:color w:val="auto"/>
                <w:szCs w:val="21"/>
                <w:highlight w:val="none"/>
              </w:rPr>
              <w:t>）</w:t>
            </w:r>
          </w:p>
          <w:p w14:paraId="33E280C1">
            <w:pPr>
              <w:keepNext w:val="0"/>
              <w:keepLines w:val="0"/>
              <w:suppressLineNumbers w:val="0"/>
              <w:snapToGrid w:val="0"/>
              <w:spacing w:before="0" w:beforeAutospacing="0" w:after="0" w:afterAutospacing="0" w:line="560" w:lineRule="exact"/>
              <w:ind w:left="0" w:right="0"/>
              <w:jc w:val="left"/>
              <w:rPr>
                <w:rFonts w:hint="default" w:ascii="宋体" w:hAnsi="宋体"/>
                <w:color w:val="auto"/>
                <w:szCs w:val="21"/>
                <w:highlight w:val="none"/>
              </w:rPr>
            </w:pPr>
            <w:r>
              <w:rPr>
                <w:rFonts w:hint="eastAsia" w:ascii="宋体" w:hAnsi="宋体"/>
                <w:color w:val="auto"/>
                <w:szCs w:val="21"/>
                <w:highlight w:val="none"/>
              </w:rPr>
              <w:t>5、投标人直接控股、管理关系信息表。（</w:t>
            </w:r>
            <w:r>
              <w:rPr>
                <w:rFonts w:hint="eastAsia" w:ascii="宋体" w:hAnsi="宋体"/>
                <w:b/>
                <w:color w:val="auto"/>
                <w:szCs w:val="21"/>
                <w:highlight w:val="none"/>
              </w:rPr>
              <w:t>必须提供，否则作无效投标处理</w:t>
            </w:r>
            <w:r>
              <w:rPr>
                <w:rFonts w:hint="eastAsia" w:ascii="宋体" w:hAnsi="宋体"/>
                <w:color w:val="auto"/>
                <w:szCs w:val="21"/>
                <w:highlight w:val="none"/>
              </w:rPr>
              <w:t>）</w:t>
            </w:r>
          </w:p>
          <w:p w14:paraId="7601084E">
            <w:pPr>
              <w:keepNext w:val="0"/>
              <w:keepLines w:val="0"/>
              <w:numPr>
                <w:ilvl w:val="0"/>
                <w:numId w:val="1"/>
              </w:numPr>
              <w:suppressLineNumbers w:val="0"/>
              <w:snapToGrid w:val="0"/>
              <w:spacing w:before="0" w:beforeAutospacing="0" w:after="0" w:afterAutospacing="0" w:line="560" w:lineRule="exact"/>
              <w:ind w:right="0"/>
              <w:jc w:val="left"/>
              <w:rPr>
                <w:rFonts w:hint="default" w:ascii="宋体" w:hAnsi="宋体"/>
                <w:color w:val="auto"/>
                <w:szCs w:val="21"/>
                <w:highlight w:val="none"/>
              </w:rPr>
            </w:pPr>
            <w:r>
              <w:rPr>
                <w:rFonts w:hint="eastAsia" w:ascii="宋体" w:hAnsi="宋体"/>
                <w:color w:val="auto"/>
                <w:szCs w:val="21"/>
                <w:highlight w:val="none"/>
              </w:rPr>
              <w:t>投标资格声明。（</w:t>
            </w:r>
            <w:r>
              <w:rPr>
                <w:rFonts w:hint="eastAsia" w:ascii="宋体" w:hAnsi="宋体"/>
                <w:b/>
                <w:color w:val="auto"/>
                <w:szCs w:val="21"/>
                <w:highlight w:val="none"/>
              </w:rPr>
              <w:t>必须提供，否则作无效投标处理</w:t>
            </w:r>
            <w:r>
              <w:rPr>
                <w:rFonts w:hint="eastAsia" w:ascii="宋体" w:hAnsi="宋体"/>
                <w:color w:val="auto"/>
                <w:szCs w:val="21"/>
                <w:highlight w:val="none"/>
              </w:rPr>
              <w:t>）</w:t>
            </w:r>
          </w:p>
          <w:p w14:paraId="2E1F8D5D">
            <w:pPr>
              <w:keepNext w:val="0"/>
              <w:keepLines w:val="0"/>
              <w:suppressLineNumbers w:val="0"/>
              <w:snapToGrid w:val="0"/>
              <w:spacing w:before="0" w:beforeAutospacing="0" w:after="0" w:afterAutospacing="0" w:line="560" w:lineRule="exact"/>
              <w:ind w:left="0" w:right="0"/>
              <w:jc w:val="left"/>
              <w:rPr>
                <w:rFonts w:hint="default" w:ascii="宋体" w:hAnsi="宋体"/>
                <w:color w:val="auto"/>
                <w:szCs w:val="21"/>
                <w:highlight w:val="none"/>
              </w:rPr>
            </w:pPr>
            <w:r>
              <w:rPr>
                <w:rFonts w:hint="eastAsia" w:ascii="宋体" w:hAnsi="宋体"/>
                <w:color w:val="auto"/>
                <w:szCs w:val="21"/>
                <w:highlight w:val="none"/>
              </w:rPr>
              <w:t>7、联合体协议书。（</w:t>
            </w:r>
            <w:r>
              <w:rPr>
                <w:rFonts w:hint="eastAsia" w:ascii="宋体" w:hAnsi="宋体"/>
                <w:b/>
                <w:color w:val="auto"/>
                <w:szCs w:val="21"/>
                <w:highlight w:val="none"/>
              </w:rPr>
              <w:t>联合体投标时必须提供，否则作无效投标处理</w:t>
            </w:r>
            <w:r>
              <w:rPr>
                <w:rFonts w:hint="eastAsia" w:ascii="宋体" w:hAnsi="宋体"/>
                <w:color w:val="auto"/>
                <w:szCs w:val="21"/>
                <w:highlight w:val="none"/>
              </w:rPr>
              <w:t>）</w:t>
            </w:r>
          </w:p>
          <w:p w14:paraId="11BC2246">
            <w:pPr>
              <w:keepNext w:val="0"/>
              <w:keepLines w:val="0"/>
              <w:suppressLineNumbers w:val="0"/>
              <w:snapToGrid w:val="0"/>
              <w:spacing w:before="0" w:beforeAutospacing="0" w:after="0" w:afterAutospacing="0" w:line="560" w:lineRule="exact"/>
              <w:ind w:left="0" w:right="0"/>
              <w:jc w:val="left"/>
              <w:rPr>
                <w:rFonts w:hint="default" w:ascii="宋体" w:hAnsi="宋体"/>
                <w:color w:val="auto"/>
                <w:szCs w:val="21"/>
                <w:highlight w:val="none"/>
              </w:rPr>
            </w:pPr>
            <w:r>
              <w:rPr>
                <w:rFonts w:hint="default" w:ascii="宋体" w:hAnsi="宋体"/>
                <w:color w:val="auto"/>
                <w:szCs w:val="21"/>
                <w:highlight w:val="none"/>
              </w:rPr>
              <w:t>8</w:t>
            </w:r>
            <w:r>
              <w:rPr>
                <w:rFonts w:hint="eastAsia" w:ascii="宋体" w:hAnsi="宋体"/>
                <w:color w:val="auto"/>
                <w:szCs w:val="21"/>
                <w:highlight w:val="none"/>
              </w:rPr>
              <w:t>、《中小企业声明函》或《残疾人福利性单位声明函》或监狱企业证明（由省级以上监狱管理局、戒毒管理局（含新疆生产建设兵团）出具的属于监狱企业的证明文件）。（</w:t>
            </w:r>
            <w:r>
              <w:rPr>
                <w:rFonts w:hint="eastAsia" w:ascii="宋体" w:hAnsi="宋体"/>
                <w:b/>
                <w:color w:val="auto"/>
                <w:szCs w:val="21"/>
                <w:highlight w:val="none"/>
              </w:rPr>
              <w:t>必须提供，否则作无效投标处理</w:t>
            </w:r>
            <w:r>
              <w:rPr>
                <w:rFonts w:hint="eastAsia" w:ascii="宋体" w:hAnsi="宋体"/>
                <w:color w:val="auto"/>
                <w:szCs w:val="21"/>
                <w:highlight w:val="none"/>
              </w:rPr>
              <w:t>）</w:t>
            </w:r>
          </w:p>
          <w:p w14:paraId="017E8D40">
            <w:pPr>
              <w:keepNext w:val="0"/>
              <w:keepLines w:val="0"/>
              <w:suppressLineNumbers w:val="0"/>
              <w:snapToGrid w:val="0"/>
              <w:spacing w:before="0" w:beforeAutospacing="0" w:after="0" w:afterAutospacing="0" w:line="560" w:lineRule="exact"/>
              <w:ind w:left="0" w:right="0"/>
              <w:jc w:val="left"/>
              <w:rPr>
                <w:rFonts w:hint="default" w:ascii="宋体" w:hAnsi="宋体"/>
                <w:color w:val="auto"/>
                <w:szCs w:val="21"/>
                <w:highlight w:val="none"/>
              </w:rPr>
            </w:pPr>
            <w:r>
              <w:rPr>
                <w:rFonts w:hint="eastAsia" w:ascii="宋体" w:hAnsi="宋体"/>
                <w:color w:val="auto"/>
                <w:szCs w:val="21"/>
                <w:highlight w:val="none"/>
                <w:lang w:val="en-US" w:eastAsia="zh-CN"/>
              </w:rPr>
              <w:t>9</w:t>
            </w:r>
            <w:r>
              <w:rPr>
                <w:rFonts w:hint="eastAsia" w:ascii="宋体" w:hAnsi="宋体"/>
                <w:color w:val="auto"/>
                <w:szCs w:val="21"/>
                <w:highlight w:val="none"/>
              </w:rPr>
              <w:t>、除招标文件规定必须提供以外，投标人认为需要提供的其他证明材料。</w:t>
            </w:r>
          </w:p>
          <w:p w14:paraId="49A5423F">
            <w:pPr>
              <w:keepNext w:val="0"/>
              <w:keepLines w:val="0"/>
              <w:suppressLineNumbers w:val="0"/>
              <w:snapToGrid w:val="0"/>
              <w:spacing w:before="0" w:beforeAutospacing="0" w:after="0" w:afterAutospacing="0" w:line="560" w:lineRule="exact"/>
              <w:ind w:left="0" w:right="0"/>
              <w:jc w:val="left"/>
              <w:rPr>
                <w:rFonts w:hint="default" w:ascii="宋体" w:hAnsi="宋体" w:cs="Courier New"/>
                <w:b/>
                <w:color w:val="auto"/>
                <w:szCs w:val="21"/>
                <w:highlight w:val="none"/>
              </w:rPr>
            </w:pPr>
            <w:r>
              <w:rPr>
                <w:rFonts w:hint="eastAsia" w:ascii="宋体" w:hAnsi="宋体"/>
                <w:b/>
                <w:bCs/>
                <w:color w:val="auto"/>
                <w:szCs w:val="21"/>
                <w:highlight w:val="none"/>
              </w:rPr>
              <w:t>注：1.以上标明“必须提供”的材料</w:t>
            </w:r>
            <w:r>
              <w:rPr>
                <w:rFonts w:hint="eastAsia" w:ascii="宋体" w:hAnsi="宋体" w:cs="宋体"/>
                <w:b/>
                <w:color w:val="auto"/>
                <w:szCs w:val="21"/>
                <w:highlight w:val="none"/>
              </w:rPr>
              <w:t>属于复印件的扫描件的</w:t>
            </w:r>
            <w:r>
              <w:rPr>
                <w:rFonts w:hint="eastAsia" w:ascii="宋体" w:hAnsi="宋体"/>
                <w:b/>
                <w:bCs/>
                <w:color w:val="auto"/>
                <w:szCs w:val="21"/>
                <w:highlight w:val="none"/>
              </w:rPr>
              <w:t>，必须加盖投标人电子公章，否则</w:t>
            </w:r>
            <w:r>
              <w:rPr>
                <w:rFonts w:hint="eastAsia" w:ascii="宋体" w:hAnsi="宋体" w:cs="Courier New"/>
                <w:b/>
                <w:color w:val="auto"/>
                <w:szCs w:val="21"/>
                <w:highlight w:val="none"/>
              </w:rPr>
              <w:t>作无效投标处理。</w:t>
            </w:r>
          </w:p>
          <w:p w14:paraId="198F311F">
            <w:pPr>
              <w:keepNext w:val="0"/>
              <w:keepLines w:val="0"/>
              <w:suppressLineNumbers w:val="0"/>
              <w:snapToGrid w:val="0"/>
              <w:spacing w:before="0" w:beforeAutospacing="0" w:after="0" w:afterAutospacing="0" w:line="560" w:lineRule="exact"/>
              <w:ind w:left="0" w:right="0" w:firstLine="422" w:firstLineChars="200"/>
              <w:jc w:val="left"/>
              <w:rPr>
                <w:rFonts w:hint="default" w:ascii="宋体" w:hAnsi="宋体"/>
                <w:b/>
                <w:bCs/>
                <w:color w:val="auto"/>
                <w:szCs w:val="21"/>
                <w:highlight w:val="none"/>
              </w:rPr>
            </w:pPr>
            <w:r>
              <w:rPr>
                <w:rFonts w:hint="eastAsia" w:ascii="宋体" w:hAnsi="宋体" w:cs="Courier New"/>
                <w:b/>
                <w:color w:val="auto"/>
                <w:szCs w:val="21"/>
                <w:highlight w:val="none"/>
              </w:rPr>
              <w:t>2</w:t>
            </w:r>
            <w:r>
              <w:rPr>
                <w:rFonts w:hint="eastAsia" w:ascii="宋体" w:hAnsi="宋体"/>
                <w:b/>
                <w:bCs/>
                <w:color w:val="auto"/>
                <w:szCs w:val="21"/>
                <w:highlight w:val="none"/>
              </w:rPr>
              <w:t>.联合体投标时，第1-5、8项资格证明文件联合体各方均必须分别提供，联合体各方分别盖章和签字，否则投标文件按无效</w:t>
            </w:r>
            <w:r>
              <w:rPr>
                <w:rFonts w:hint="eastAsia" w:ascii="宋体" w:hAnsi="宋体"/>
                <w:b/>
                <w:bCs/>
                <w:color w:val="auto"/>
                <w:szCs w:val="21"/>
                <w:highlight w:val="none"/>
                <w:lang w:val="en-US" w:eastAsia="zh-CN"/>
              </w:rPr>
              <w:t>投标</w:t>
            </w:r>
            <w:r>
              <w:rPr>
                <w:rFonts w:hint="eastAsia" w:ascii="宋体" w:hAnsi="宋体"/>
                <w:b/>
                <w:bCs/>
                <w:color w:val="auto"/>
                <w:szCs w:val="21"/>
                <w:highlight w:val="none"/>
              </w:rPr>
              <w:t>处理。</w:t>
            </w:r>
          </w:p>
        </w:tc>
      </w:tr>
      <w:tr w14:paraId="0D71A8F0">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c>
          <w:tcPr>
            <w:tcW w:w="1065" w:type="dxa"/>
            <w:tcBorders>
              <w:top w:val="single" w:color="auto" w:sz="4" w:space="0"/>
              <w:left w:val="single" w:color="auto" w:sz="4" w:space="0"/>
              <w:bottom w:val="single" w:color="auto" w:sz="4" w:space="0"/>
              <w:right w:val="single" w:color="auto" w:sz="4" w:space="0"/>
            </w:tcBorders>
            <w:vAlign w:val="center"/>
          </w:tcPr>
          <w:p w14:paraId="753E3A95">
            <w:pPr>
              <w:keepNext w:val="0"/>
              <w:keepLines w:val="0"/>
              <w:suppressLineNumbers w:val="0"/>
              <w:spacing w:before="0" w:beforeAutospacing="0" w:after="0" w:afterAutospacing="0" w:line="560" w:lineRule="exact"/>
              <w:ind w:left="0" w:right="0"/>
              <w:rPr>
                <w:rFonts w:hint="default" w:ascii="宋体" w:hAnsi="宋体"/>
                <w:color w:val="auto"/>
                <w:szCs w:val="21"/>
                <w:highlight w:val="none"/>
              </w:rPr>
            </w:pPr>
          </w:p>
        </w:tc>
        <w:tc>
          <w:tcPr>
            <w:tcW w:w="1878" w:type="dxa"/>
            <w:tcBorders>
              <w:top w:val="single" w:color="auto" w:sz="4" w:space="0"/>
              <w:left w:val="single" w:color="auto" w:sz="4" w:space="0"/>
              <w:bottom w:val="single" w:color="auto" w:sz="4" w:space="0"/>
              <w:right w:val="single" w:color="auto" w:sz="4" w:space="0"/>
            </w:tcBorders>
            <w:vAlign w:val="center"/>
          </w:tcPr>
          <w:p w14:paraId="5E41FA81">
            <w:pPr>
              <w:keepNext w:val="0"/>
              <w:keepLines w:val="0"/>
              <w:suppressLineNumbers w:val="0"/>
              <w:snapToGrid w:val="0"/>
              <w:spacing w:before="0" w:beforeAutospacing="0" w:after="0" w:afterAutospacing="0" w:line="560" w:lineRule="exact"/>
              <w:ind w:left="0" w:right="0"/>
              <w:jc w:val="left"/>
              <w:rPr>
                <w:rFonts w:hint="default" w:ascii="宋体" w:hAnsi="宋体" w:cs="Courier New"/>
                <w:color w:val="auto"/>
                <w:szCs w:val="21"/>
                <w:highlight w:val="none"/>
              </w:rPr>
            </w:pPr>
            <w:bookmarkStart w:id="40" w:name="_13.3"/>
            <w:bookmarkEnd w:id="40"/>
            <w:r>
              <w:rPr>
                <w:rFonts w:hint="eastAsia" w:ascii="宋体" w:hAnsi="宋体" w:cs="Courier New"/>
                <w:color w:val="auto"/>
                <w:szCs w:val="21"/>
                <w:highlight w:val="none"/>
              </w:rPr>
              <w:t>商务文件组成</w:t>
            </w:r>
          </w:p>
          <w:p w14:paraId="7E530D64">
            <w:pPr>
              <w:keepNext w:val="0"/>
              <w:keepLines w:val="0"/>
              <w:suppressLineNumbers w:val="0"/>
              <w:spacing w:before="0" w:beforeAutospacing="0" w:after="0" w:afterAutospacing="0" w:line="560" w:lineRule="exact"/>
              <w:ind w:left="0" w:right="0"/>
              <w:rPr>
                <w:rFonts w:hint="default" w:ascii="宋体" w:hAnsi="宋体"/>
                <w:color w:val="auto"/>
                <w:szCs w:val="21"/>
                <w:highlight w:val="none"/>
              </w:rPr>
            </w:pPr>
          </w:p>
        </w:tc>
        <w:tc>
          <w:tcPr>
            <w:tcW w:w="7297" w:type="dxa"/>
            <w:tcBorders>
              <w:top w:val="single" w:color="auto" w:sz="4" w:space="0"/>
              <w:left w:val="single" w:color="auto" w:sz="4" w:space="0"/>
              <w:bottom w:val="single" w:color="auto" w:sz="4" w:space="0"/>
              <w:right w:val="single" w:color="auto" w:sz="4" w:space="0"/>
            </w:tcBorders>
            <w:vAlign w:val="center"/>
          </w:tcPr>
          <w:p w14:paraId="702D2762">
            <w:pPr>
              <w:keepNext w:val="0"/>
              <w:keepLines w:val="0"/>
              <w:suppressLineNumbers w:val="0"/>
              <w:snapToGrid w:val="0"/>
              <w:spacing w:before="0" w:beforeAutospacing="0" w:after="0" w:afterAutospacing="0" w:line="560" w:lineRule="exact"/>
              <w:ind w:left="0" w:right="0"/>
              <w:jc w:val="left"/>
              <w:rPr>
                <w:rFonts w:hint="default" w:ascii="宋体" w:hAnsi="宋体"/>
                <w:color w:val="auto"/>
                <w:szCs w:val="21"/>
                <w:highlight w:val="none"/>
              </w:rPr>
            </w:pPr>
            <w:r>
              <w:rPr>
                <w:rFonts w:hint="eastAsia" w:ascii="宋体" w:hAnsi="宋体"/>
                <w:color w:val="auto"/>
                <w:szCs w:val="21"/>
                <w:highlight w:val="none"/>
              </w:rPr>
              <w:t>1、无串通投标行为的承诺函；（</w:t>
            </w:r>
            <w:r>
              <w:rPr>
                <w:rFonts w:hint="eastAsia" w:ascii="宋体" w:hAnsi="宋体"/>
                <w:b/>
                <w:color w:val="auto"/>
                <w:szCs w:val="21"/>
                <w:highlight w:val="none"/>
              </w:rPr>
              <w:t>必须提供，否则作无效投标处理</w:t>
            </w:r>
            <w:r>
              <w:rPr>
                <w:rFonts w:hint="eastAsia" w:ascii="宋体" w:hAnsi="宋体"/>
                <w:color w:val="auto"/>
                <w:szCs w:val="21"/>
                <w:highlight w:val="none"/>
              </w:rPr>
              <w:t>）</w:t>
            </w:r>
          </w:p>
          <w:p w14:paraId="17F4F596">
            <w:pPr>
              <w:keepNext w:val="0"/>
              <w:keepLines w:val="0"/>
              <w:suppressLineNumbers w:val="0"/>
              <w:snapToGrid w:val="0"/>
              <w:spacing w:before="0" w:beforeAutospacing="0" w:after="0" w:afterAutospacing="0" w:line="560" w:lineRule="exact"/>
              <w:ind w:left="0" w:right="0"/>
              <w:jc w:val="left"/>
              <w:rPr>
                <w:rFonts w:hint="default" w:ascii="宋体" w:hAnsi="宋体"/>
                <w:color w:val="auto"/>
                <w:szCs w:val="21"/>
                <w:highlight w:val="none"/>
              </w:rPr>
            </w:pPr>
            <w:r>
              <w:rPr>
                <w:rFonts w:hint="eastAsia" w:ascii="宋体" w:hAnsi="宋体"/>
                <w:color w:val="auto"/>
                <w:szCs w:val="21"/>
                <w:highlight w:val="none"/>
              </w:rPr>
              <w:t>2、法定代表人身份证明及法定代表人有效身份证正反面复印件；（</w:t>
            </w:r>
            <w:r>
              <w:rPr>
                <w:rFonts w:hint="eastAsia" w:ascii="宋体" w:hAnsi="宋体" w:cs="宋体"/>
                <w:b/>
                <w:bCs/>
                <w:color w:val="auto"/>
                <w:szCs w:val="21"/>
                <w:highlight w:val="none"/>
              </w:rPr>
              <w:t>除自然人投标外</w:t>
            </w:r>
            <w:r>
              <w:rPr>
                <w:rFonts w:hint="eastAsia" w:ascii="宋体" w:hAnsi="宋体"/>
                <w:b/>
                <w:color w:val="auto"/>
                <w:szCs w:val="21"/>
                <w:highlight w:val="none"/>
              </w:rPr>
              <w:t>必须提供，否则作无效投标处理</w:t>
            </w:r>
            <w:r>
              <w:rPr>
                <w:rFonts w:hint="eastAsia" w:ascii="宋体" w:hAnsi="宋体"/>
                <w:color w:val="auto"/>
                <w:szCs w:val="21"/>
                <w:highlight w:val="none"/>
              </w:rPr>
              <w:t>）</w:t>
            </w:r>
          </w:p>
          <w:p w14:paraId="38107D0E">
            <w:pPr>
              <w:keepNext w:val="0"/>
              <w:keepLines w:val="0"/>
              <w:suppressLineNumbers w:val="0"/>
              <w:snapToGrid w:val="0"/>
              <w:spacing w:before="0" w:beforeAutospacing="0" w:after="0" w:afterAutospacing="0" w:line="560" w:lineRule="exact"/>
              <w:ind w:left="0" w:right="0"/>
              <w:jc w:val="left"/>
              <w:rPr>
                <w:rFonts w:hint="default" w:ascii="宋体" w:hAnsi="宋体"/>
                <w:color w:val="auto"/>
                <w:szCs w:val="21"/>
                <w:highlight w:val="none"/>
              </w:rPr>
            </w:pPr>
            <w:r>
              <w:rPr>
                <w:rFonts w:hint="eastAsia" w:ascii="宋体" w:hAnsi="宋体"/>
                <w:color w:val="auto"/>
                <w:szCs w:val="21"/>
                <w:highlight w:val="none"/>
              </w:rPr>
              <w:t>3、法定代表人授权委托书及委托代理人有效身份证正反面复印件；（</w:t>
            </w:r>
            <w:r>
              <w:rPr>
                <w:rFonts w:hint="eastAsia" w:ascii="宋体" w:hAnsi="宋体"/>
                <w:b/>
                <w:color w:val="auto"/>
                <w:szCs w:val="21"/>
                <w:highlight w:val="none"/>
              </w:rPr>
              <w:t>委托时必须提供，否则作无效投标处理</w:t>
            </w:r>
            <w:r>
              <w:rPr>
                <w:rFonts w:hint="eastAsia" w:ascii="宋体" w:hAnsi="宋体"/>
                <w:color w:val="auto"/>
                <w:szCs w:val="21"/>
                <w:highlight w:val="none"/>
              </w:rPr>
              <w:t>）</w:t>
            </w:r>
          </w:p>
          <w:p w14:paraId="0E75DCE4">
            <w:pPr>
              <w:keepNext w:val="0"/>
              <w:keepLines w:val="0"/>
              <w:suppressLineNumbers w:val="0"/>
              <w:snapToGrid w:val="0"/>
              <w:spacing w:before="0" w:beforeAutospacing="0" w:after="0" w:afterAutospacing="0" w:line="560" w:lineRule="exact"/>
              <w:ind w:left="0" w:right="0"/>
              <w:jc w:val="left"/>
              <w:rPr>
                <w:rFonts w:hint="default" w:ascii="宋体" w:hAnsi="宋体"/>
                <w:color w:val="auto"/>
                <w:szCs w:val="21"/>
                <w:highlight w:val="none"/>
              </w:rPr>
            </w:pPr>
            <w:r>
              <w:rPr>
                <w:rFonts w:hint="eastAsia" w:ascii="宋体" w:hAnsi="宋体"/>
                <w:color w:val="auto"/>
                <w:szCs w:val="21"/>
                <w:highlight w:val="none"/>
              </w:rPr>
              <w:t>4、商务条款偏离表；（</w:t>
            </w:r>
            <w:r>
              <w:rPr>
                <w:rFonts w:hint="eastAsia" w:ascii="宋体" w:hAnsi="宋体"/>
                <w:b/>
                <w:color w:val="auto"/>
                <w:szCs w:val="21"/>
                <w:highlight w:val="none"/>
              </w:rPr>
              <w:t>必须提供，否则作无效投标处理</w:t>
            </w:r>
            <w:r>
              <w:rPr>
                <w:rFonts w:hint="eastAsia" w:ascii="宋体" w:hAnsi="宋体"/>
                <w:color w:val="auto"/>
                <w:szCs w:val="21"/>
                <w:highlight w:val="none"/>
              </w:rPr>
              <w:t>）</w:t>
            </w:r>
          </w:p>
          <w:p w14:paraId="00FF16F2">
            <w:pPr>
              <w:keepNext w:val="0"/>
              <w:keepLines w:val="0"/>
              <w:suppressLineNumbers w:val="0"/>
              <w:snapToGrid w:val="0"/>
              <w:spacing w:before="0" w:beforeAutospacing="0" w:after="0" w:afterAutospacing="0" w:line="560" w:lineRule="exact"/>
              <w:ind w:left="0" w:right="0"/>
              <w:jc w:val="left"/>
              <w:rPr>
                <w:rFonts w:hint="eastAsia" w:ascii="宋体" w:hAnsi="宋体"/>
                <w:color w:val="auto"/>
                <w:szCs w:val="21"/>
                <w:highlight w:val="none"/>
              </w:rPr>
            </w:pPr>
            <w:r>
              <w:rPr>
                <w:rFonts w:hint="eastAsia" w:ascii="宋体" w:hAnsi="宋体"/>
                <w:color w:val="auto"/>
                <w:szCs w:val="21"/>
                <w:highlight w:val="none"/>
              </w:rPr>
              <w:t>5、投标人情况介绍；</w:t>
            </w:r>
          </w:p>
          <w:p w14:paraId="6D1DD8F6">
            <w:pPr>
              <w:keepNext w:val="0"/>
              <w:keepLines w:val="0"/>
              <w:suppressLineNumbers w:val="0"/>
              <w:snapToGrid w:val="0"/>
              <w:spacing w:before="0" w:beforeAutospacing="0" w:after="0" w:afterAutospacing="0" w:line="560" w:lineRule="exact"/>
              <w:ind w:left="0" w:right="0"/>
              <w:jc w:val="left"/>
              <w:rPr>
                <w:rFonts w:hint="default" w:ascii="宋体" w:hAnsi="宋体" w:eastAsia="宋体"/>
                <w:color w:val="auto"/>
                <w:szCs w:val="21"/>
                <w:highlight w:val="none"/>
                <w:lang w:val="en-US" w:eastAsia="zh-CN"/>
              </w:rPr>
            </w:pPr>
            <w:r>
              <w:rPr>
                <w:rFonts w:hint="eastAsia" w:ascii="宋体" w:hAnsi="宋体"/>
                <w:color w:val="auto"/>
                <w:szCs w:val="21"/>
                <w:highlight w:val="none"/>
                <w:lang w:val="en-US" w:eastAsia="zh-CN"/>
              </w:rPr>
              <w:t>6、</w:t>
            </w:r>
            <w:r>
              <w:rPr>
                <w:rFonts w:hint="eastAsia" w:ascii="宋体" w:hAnsi="宋体"/>
                <w:bCs/>
                <w:color w:val="auto"/>
                <w:szCs w:val="21"/>
                <w:highlight w:val="none"/>
                <w:lang w:val="en-US" w:eastAsia="zh-CN"/>
              </w:rPr>
              <w:t>信誉</w:t>
            </w:r>
            <w:r>
              <w:rPr>
                <w:rFonts w:hint="eastAsia" w:ascii="宋体" w:hAnsi="宋体"/>
                <w:bCs/>
                <w:color w:val="auto"/>
                <w:szCs w:val="21"/>
                <w:highlight w:val="none"/>
              </w:rPr>
              <w:t>、</w:t>
            </w:r>
            <w:r>
              <w:rPr>
                <w:rFonts w:hint="eastAsia" w:ascii="宋体" w:hAnsi="宋体"/>
                <w:color w:val="auto"/>
                <w:szCs w:val="21"/>
                <w:highlight w:val="none"/>
              </w:rPr>
              <w:t>业绩证明材料</w:t>
            </w:r>
          </w:p>
          <w:p w14:paraId="4851FD31">
            <w:pPr>
              <w:keepNext w:val="0"/>
              <w:keepLines w:val="0"/>
              <w:suppressLineNumbers w:val="0"/>
              <w:snapToGrid w:val="0"/>
              <w:spacing w:before="0" w:beforeAutospacing="0" w:after="0" w:afterAutospacing="0" w:line="560" w:lineRule="exact"/>
              <w:ind w:left="0" w:right="0"/>
              <w:jc w:val="left"/>
              <w:rPr>
                <w:rFonts w:hint="default" w:ascii="宋体" w:hAnsi="宋体"/>
                <w:color w:val="auto"/>
                <w:szCs w:val="21"/>
                <w:highlight w:val="none"/>
              </w:rPr>
            </w:pPr>
            <w:r>
              <w:rPr>
                <w:rFonts w:hint="eastAsia" w:ascii="宋体" w:hAnsi="宋体"/>
                <w:color w:val="auto"/>
                <w:szCs w:val="21"/>
                <w:highlight w:val="none"/>
                <w:lang w:val="en-US" w:eastAsia="zh-CN"/>
              </w:rPr>
              <w:t>7</w:t>
            </w:r>
            <w:r>
              <w:rPr>
                <w:rFonts w:hint="eastAsia" w:ascii="宋体" w:hAnsi="宋体"/>
                <w:color w:val="auto"/>
                <w:szCs w:val="21"/>
                <w:highlight w:val="none"/>
              </w:rPr>
              <w:t>、除招标文件规定必须提供以外，投标人认为需要提供的其他证明材料。（投标人根据“第二章 采购需求”及“第四章 评标方法及评标标准”提供有关证明材料）。</w:t>
            </w:r>
          </w:p>
          <w:p w14:paraId="6CFAD711">
            <w:pPr>
              <w:keepNext w:val="0"/>
              <w:keepLines w:val="0"/>
              <w:suppressLineNumbers w:val="0"/>
              <w:snapToGrid w:val="0"/>
              <w:spacing w:before="0" w:beforeAutospacing="0" w:after="0" w:afterAutospacing="0" w:line="560" w:lineRule="exact"/>
              <w:ind w:left="0" w:right="0"/>
              <w:jc w:val="left"/>
              <w:rPr>
                <w:rFonts w:hint="default" w:ascii="宋体" w:hAnsi="宋体"/>
                <w:b/>
                <w:bCs/>
                <w:color w:val="auto"/>
                <w:szCs w:val="21"/>
                <w:highlight w:val="none"/>
              </w:rPr>
            </w:pPr>
            <w:r>
              <w:rPr>
                <w:rFonts w:hint="eastAsia" w:ascii="宋体" w:hAnsi="宋体"/>
                <w:b/>
                <w:bCs/>
                <w:color w:val="auto"/>
                <w:szCs w:val="21"/>
                <w:highlight w:val="none"/>
              </w:rPr>
              <w:t>注： 1.法定代表人授权委托书必须由法定代表人及委托代理人签字，并加盖投标人公章，否则作无效投标处理。</w:t>
            </w:r>
          </w:p>
          <w:p w14:paraId="67BCB5AB">
            <w:pPr>
              <w:keepNext w:val="0"/>
              <w:keepLines w:val="0"/>
              <w:suppressLineNumbers w:val="0"/>
              <w:snapToGrid w:val="0"/>
              <w:spacing w:before="0" w:beforeAutospacing="0" w:after="0" w:afterAutospacing="0" w:line="560" w:lineRule="exact"/>
              <w:ind w:left="0" w:right="0" w:firstLine="422" w:firstLineChars="200"/>
              <w:jc w:val="left"/>
              <w:rPr>
                <w:rFonts w:hint="default" w:ascii="宋体" w:hAnsi="宋体" w:cs="Courier New"/>
                <w:b/>
                <w:color w:val="auto"/>
                <w:szCs w:val="21"/>
                <w:highlight w:val="none"/>
              </w:rPr>
            </w:pPr>
            <w:r>
              <w:rPr>
                <w:rFonts w:hint="eastAsia" w:ascii="宋体" w:hAnsi="宋体"/>
                <w:b/>
                <w:bCs/>
                <w:color w:val="auto"/>
                <w:szCs w:val="21"/>
                <w:highlight w:val="none"/>
              </w:rPr>
              <w:t>2.以上标明“必须提供”的材料</w:t>
            </w:r>
            <w:r>
              <w:rPr>
                <w:rFonts w:hint="eastAsia" w:ascii="宋体" w:hAnsi="宋体" w:cs="宋体"/>
                <w:b/>
                <w:color w:val="auto"/>
                <w:szCs w:val="21"/>
                <w:highlight w:val="none"/>
              </w:rPr>
              <w:t>属于复印件的扫描件的</w:t>
            </w:r>
            <w:r>
              <w:rPr>
                <w:rFonts w:hint="eastAsia" w:ascii="宋体" w:hAnsi="宋体"/>
                <w:b/>
                <w:bCs/>
                <w:color w:val="auto"/>
                <w:szCs w:val="21"/>
                <w:highlight w:val="none"/>
              </w:rPr>
              <w:t>，必须加盖投标人电子公章，否则</w:t>
            </w:r>
            <w:r>
              <w:rPr>
                <w:rFonts w:hint="eastAsia" w:ascii="宋体" w:hAnsi="宋体" w:cs="Courier New"/>
                <w:b/>
                <w:color w:val="auto"/>
                <w:szCs w:val="21"/>
                <w:highlight w:val="none"/>
              </w:rPr>
              <w:t>作无效投标处理</w:t>
            </w:r>
            <w:r>
              <w:rPr>
                <w:rFonts w:hint="eastAsia" w:ascii="宋体" w:hAnsi="宋体"/>
                <w:b/>
                <w:bCs/>
                <w:color w:val="auto"/>
                <w:szCs w:val="21"/>
                <w:highlight w:val="none"/>
              </w:rPr>
              <w:t>。</w:t>
            </w:r>
          </w:p>
        </w:tc>
      </w:tr>
      <w:tr w14:paraId="79892BFB">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c>
          <w:tcPr>
            <w:tcW w:w="1065" w:type="dxa"/>
            <w:vMerge w:val="restart"/>
            <w:tcBorders>
              <w:top w:val="single" w:color="auto" w:sz="4" w:space="0"/>
              <w:left w:val="single" w:color="auto" w:sz="4" w:space="0"/>
              <w:bottom w:val="single" w:color="auto" w:sz="4" w:space="0"/>
              <w:right w:val="single" w:color="auto" w:sz="4" w:space="0"/>
            </w:tcBorders>
            <w:vAlign w:val="center"/>
          </w:tcPr>
          <w:p w14:paraId="3F5BE9C5">
            <w:pPr>
              <w:keepNext w:val="0"/>
              <w:keepLines w:val="0"/>
              <w:suppressLineNumbers w:val="0"/>
              <w:spacing w:before="0" w:beforeAutospacing="0" w:after="0" w:afterAutospacing="0" w:line="560" w:lineRule="exact"/>
              <w:ind w:left="0" w:right="0"/>
              <w:rPr>
                <w:rFonts w:hint="default" w:ascii="宋体" w:hAnsi="宋体"/>
                <w:color w:val="auto"/>
                <w:szCs w:val="21"/>
                <w:highlight w:val="none"/>
              </w:rPr>
            </w:pPr>
          </w:p>
        </w:tc>
        <w:tc>
          <w:tcPr>
            <w:tcW w:w="1878" w:type="dxa"/>
            <w:tcBorders>
              <w:top w:val="single" w:color="auto" w:sz="4" w:space="0"/>
              <w:left w:val="single" w:color="auto" w:sz="4" w:space="0"/>
              <w:bottom w:val="single" w:color="auto" w:sz="4" w:space="0"/>
              <w:right w:val="single" w:color="auto" w:sz="4" w:space="0"/>
            </w:tcBorders>
            <w:vAlign w:val="center"/>
          </w:tcPr>
          <w:p w14:paraId="35A519D1">
            <w:pPr>
              <w:keepNext w:val="0"/>
              <w:keepLines w:val="0"/>
              <w:suppressLineNumbers w:val="0"/>
              <w:snapToGrid w:val="0"/>
              <w:spacing w:before="0" w:beforeAutospacing="0" w:after="0" w:afterAutospacing="0" w:line="560" w:lineRule="exact"/>
              <w:ind w:left="0" w:right="0"/>
              <w:jc w:val="left"/>
              <w:rPr>
                <w:rFonts w:hint="default" w:ascii="宋体" w:hAnsi="宋体" w:cs="Courier New"/>
                <w:color w:val="auto"/>
                <w:szCs w:val="21"/>
                <w:highlight w:val="none"/>
              </w:rPr>
            </w:pPr>
            <w:bookmarkStart w:id="41" w:name="_13.4"/>
            <w:bookmarkEnd w:id="41"/>
            <w:r>
              <w:rPr>
                <w:rFonts w:hint="eastAsia" w:ascii="宋体" w:hAnsi="宋体" w:cs="Courier New"/>
                <w:color w:val="auto"/>
                <w:szCs w:val="21"/>
                <w:highlight w:val="none"/>
              </w:rPr>
              <w:t>技术文件组成</w:t>
            </w:r>
          </w:p>
          <w:p w14:paraId="00E55ECE">
            <w:pPr>
              <w:keepNext w:val="0"/>
              <w:keepLines w:val="0"/>
              <w:suppressLineNumbers w:val="0"/>
              <w:spacing w:before="0" w:beforeAutospacing="0" w:after="0" w:afterAutospacing="0" w:line="560" w:lineRule="exact"/>
              <w:ind w:left="0" w:right="0"/>
              <w:rPr>
                <w:rFonts w:hint="default" w:ascii="宋体" w:hAnsi="宋体"/>
                <w:color w:val="auto"/>
                <w:szCs w:val="21"/>
                <w:highlight w:val="none"/>
              </w:rPr>
            </w:pPr>
          </w:p>
        </w:tc>
        <w:tc>
          <w:tcPr>
            <w:tcW w:w="7297" w:type="dxa"/>
            <w:tcBorders>
              <w:top w:val="single" w:color="auto" w:sz="4" w:space="0"/>
              <w:left w:val="single" w:color="auto" w:sz="4" w:space="0"/>
              <w:bottom w:val="single" w:color="auto" w:sz="4" w:space="0"/>
              <w:right w:val="single" w:color="auto" w:sz="4" w:space="0"/>
            </w:tcBorders>
            <w:vAlign w:val="center"/>
          </w:tcPr>
          <w:p w14:paraId="644C0FA0">
            <w:pPr>
              <w:keepNext w:val="0"/>
              <w:keepLines w:val="0"/>
              <w:suppressLineNumbers w:val="0"/>
              <w:snapToGrid w:val="0"/>
              <w:spacing w:before="0" w:beforeAutospacing="0" w:after="0" w:afterAutospacing="0" w:line="560" w:lineRule="exact"/>
              <w:ind w:left="0" w:right="0"/>
              <w:jc w:val="left"/>
              <w:rPr>
                <w:rFonts w:hint="default" w:ascii="宋体" w:hAnsi="宋体"/>
                <w:color w:val="auto"/>
                <w:szCs w:val="21"/>
                <w:highlight w:val="none"/>
              </w:rPr>
            </w:pPr>
            <w:r>
              <w:rPr>
                <w:rFonts w:hint="eastAsia" w:ascii="宋体" w:hAnsi="宋体"/>
                <w:color w:val="auto"/>
                <w:szCs w:val="21"/>
                <w:highlight w:val="none"/>
              </w:rPr>
              <w:t>1、服务需求、技术需求偏离表；（</w:t>
            </w:r>
            <w:r>
              <w:rPr>
                <w:rFonts w:hint="eastAsia" w:ascii="宋体" w:hAnsi="宋体"/>
                <w:b/>
                <w:color w:val="auto"/>
                <w:szCs w:val="21"/>
                <w:highlight w:val="none"/>
              </w:rPr>
              <w:t>必须提供，否则作无效投标处理</w:t>
            </w:r>
            <w:r>
              <w:rPr>
                <w:rFonts w:hint="eastAsia" w:ascii="宋体" w:hAnsi="宋体"/>
                <w:color w:val="auto"/>
                <w:szCs w:val="21"/>
                <w:highlight w:val="none"/>
              </w:rPr>
              <w:t>）</w:t>
            </w:r>
          </w:p>
          <w:p w14:paraId="3A5C6172">
            <w:pPr>
              <w:keepNext w:val="0"/>
              <w:keepLines w:val="0"/>
              <w:suppressLineNumbers w:val="0"/>
              <w:snapToGrid w:val="0"/>
              <w:spacing w:before="0" w:beforeAutospacing="0" w:after="0" w:afterAutospacing="0" w:line="560" w:lineRule="exact"/>
              <w:ind w:left="0" w:right="0"/>
              <w:jc w:val="left"/>
              <w:rPr>
                <w:rFonts w:hint="default" w:ascii="宋体" w:hAnsi="宋体"/>
                <w:bCs/>
                <w:color w:val="auto"/>
                <w:szCs w:val="21"/>
                <w:highlight w:val="none"/>
              </w:rPr>
            </w:pPr>
            <w:r>
              <w:rPr>
                <w:rFonts w:hint="eastAsia" w:ascii="宋体" w:hAnsi="宋体"/>
                <w:color w:val="auto"/>
                <w:szCs w:val="21"/>
                <w:highlight w:val="none"/>
              </w:rPr>
              <w:t>2、</w:t>
            </w:r>
            <w:r>
              <w:rPr>
                <w:rFonts w:hint="eastAsia" w:ascii="宋体" w:hAnsi="宋体" w:cs="宋体"/>
                <w:bCs/>
                <w:color w:val="auto"/>
                <w:szCs w:val="21"/>
                <w:highlight w:val="none"/>
                <w:lang w:val="en-US" w:eastAsia="zh-CN"/>
              </w:rPr>
              <w:t>服务方案</w:t>
            </w:r>
            <w:r>
              <w:rPr>
                <w:rFonts w:hint="eastAsia" w:ascii="宋体" w:hAnsi="宋体"/>
                <w:bCs/>
                <w:color w:val="auto"/>
                <w:szCs w:val="21"/>
                <w:highlight w:val="none"/>
              </w:rPr>
              <w:t xml:space="preserve">； </w:t>
            </w:r>
          </w:p>
          <w:p w14:paraId="4E403029">
            <w:pPr>
              <w:keepNext w:val="0"/>
              <w:keepLines w:val="0"/>
              <w:suppressLineNumbers w:val="0"/>
              <w:snapToGrid w:val="0"/>
              <w:spacing w:before="0" w:beforeAutospacing="0" w:after="0" w:afterAutospacing="0" w:line="560" w:lineRule="exact"/>
              <w:ind w:left="0" w:right="0"/>
              <w:jc w:val="left"/>
              <w:rPr>
                <w:rFonts w:hint="default" w:ascii="宋体" w:hAnsi="宋体" w:eastAsia="宋体"/>
                <w:bCs/>
                <w:color w:val="auto"/>
                <w:szCs w:val="21"/>
                <w:highlight w:val="none"/>
                <w:lang w:val="en-US" w:eastAsia="zh-CN"/>
              </w:rPr>
            </w:pPr>
            <w:r>
              <w:rPr>
                <w:rFonts w:hint="eastAsia" w:ascii="宋体" w:hAnsi="宋体"/>
                <w:bCs/>
                <w:color w:val="auto"/>
                <w:szCs w:val="21"/>
                <w:highlight w:val="none"/>
              </w:rPr>
              <w:t>3、</w:t>
            </w:r>
            <w:r>
              <w:rPr>
                <w:rFonts w:hint="eastAsia" w:ascii="宋体" w:hAnsi="宋体" w:cs="宋体"/>
                <w:bCs/>
                <w:color w:val="auto"/>
                <w:szCs w:val="21"/>
                <w:highlight w:val="none"/>
                <w:lang w:val="en-US" w:eastAsia="zh-CN"/>
              </w:rPr>
              <w:t>售后服务方案</w:t>
            </w:r>
          </w:p>
          <w:p w14:paraId="2CF94D5E">
            <w:pPr>
              <w:keepNext w:val="0"/>
              <w:keepLines w:val="0"/>
              <w:suppressLineNumbers w:val="0"/>
              <w:snapToGrid w:val="0"/>
              <w:spacing w:before="0" w:beforeAutospacing="0" w:after="0" w:afterAutospacing="0" w:line="560" w:lineRule="exact"/>
              <w:ind w:left="0" w:right="0"/>
              <w:jc w:val="left"/>
              <w:rPr>
                <w:rFonts w:hint="default" w:ascii="宋体" w:hAnsi="宋体"/>
                <w:bCs/>
                <w:color w:val="auto"/>
                <w:szCs w:val="21"/>
                <w:highlight w:val="none"/>
              </w:rPr>
            </w:pPr>
            <w:r>
              <w:rPr>
                <w:rFonts w:hint="eastAsia" w:ascii="宋体" w:hAnsi="宋体"/>
                <w:bCs/>
                <w:color w:val="auto"/>
                <w:szCs w:val="21"/>
                <w:highlight w:val="none"/>
              </w:rPr>
              <w:t>4、</w:t>
            </w:r>
            <w:r>
              <w:rPr>
                <w:rFonts w:hint="eastAsia" w:ascii="宋体" w:hAnsi="宋体"/>
                <w:bCs/>
                <w:color w:val="auto"/>
                <w:szCs w:val="21"/>
                <w:highlight w:val="none"/>
                <w:lang w:val="en-US" w:eastAsia="zh-CN"/>
              </w:rPr>
              <w:t>培训</w:t>
            </w:r>
            <w:r>
              <w:rPr>
                <w:rFonts w:hint="eastAsia" w:ascii="宋体" w:hAnsi="宋体"/>
                <w:bCs/>
                <w:color w:val="auto"/>
                <w:szCs w:val="21"/>
                <w:highlight w:val="none"/>
              </w:rPr>
              <w:t xml:space="preserve">方案； </w:t>
            </w:r>
          </w:p>
          <w:p w14:paraId="5E9869BE">
            <w:pPr>
              <w:keepNext w:val="0"/>
              <w:keepLines w:val="0"/>
              <w:suppressLineNumbers w:val="0"/>
              <w:snapToGrid w:val="0"/>
              <w:spacing w:before="0" w:beforeAutospacing="0" w:after="0" w:afterAutospacing="0" w:line="560" w:lineRule="exact"/>
              <w:ind w:left="0" w:right="0"/>
              <w:jc w:val="left"/>
              <w:rPr>
                <w:rFonts w:hint="default" w:ascii="宋体" w:hAnsi="宋体"/>
                <w:bCs/>
                <w:color w:val="auto"/>
                <w:szCs w:val="21"/>
                <w:highlight w:val="none"/>
              </w:rPr>
            </w:pPr>
            <w:r>
              <w:rPr>
                <w:rFonts w:hint="eastAsia" w:ascii="宋体" w:hAnsi="宋体"/>
                <w:bCs/>
                <w:color w:val="auto"/>
                <w:szCs w:val="21"/>
                <w:highlight w:val="none"/>
              </w:rPr>
              <w:t>5、</w:t>
            </w:r>
            <w:r>
              <w:rPr>
                <w:rFonts w:hint="eastAsia" w:ascii="宋体" w:hAnsi="宋体" w:cs="宋体"/>
                <w:bCs/>
                <w:color w:val="auto"/>
                <w:szCs w:val="21"/>
                <w:highlight w:val="none"/>
              </w:rPr>
              <w:t>人员配置情况</w:t>
            </w:r>
            <w:r>
              <w:rPr>
                <w:rFonts w:hint="eastAsia" w:ascii="宋体" w:hAnsi="宋体"/>
                <w:bCs/>
                <w:color w:val="auto"/>
                <w:szCs w:val="21"/>
                <w:highlight w:val="none"/>
              </w:rPr>
              <w:t>；</w:t>
            </w:r>
          </w:p>
          <w:p w14:paraId="67C6AC5F">
            <w:pPr>
              <w:keepNext w:val="0"/>
              <w:keepLines w:val="0"/>
              <w:suppressLineNumbers w:val="0"/>
              <w:snapToGrid w:val="0"/>
              <w:spacing w:before="0" w:beforeAutospacing="0" w:after="0" w:afterAutospacing="0" w:line="560" w:lineRule="exact"/>
              <w:ind w:left="0" w:right="0"/>
              <w:jc w:val="left"/>
              <w:rPr>
                <w:rFonts w:hint="default" w:ascii="宋体" w:hAnsi="宋体"/>
                <w:color w:val="auto"/>
                <w:szCs w:val="21"/>
                <w:highlight w:val="none"/>
              </w:rPr>
            </w:pPr>
            <w:r>
              <w:rPr>
                <w:rFonts w:hint="eastAsia" w:ascii="宋体" w:hAnsi="宋体"/>
                <w:color w:val="auto"/>
                <w:szCs w:val="21"/>
                <w:highlight w:val="none"/>
                <w:lang w:val="en-US" w:eastAsia="zh-CN"/>
              </w:rPr>
              <w:t>6</w:t>
            </w:r>
            <w:r>
              <w:rPr>
                <w:rFonts w:hint="eastAsia" w:ascii="宋体" w:hAnsi="宋体"/>
                <w:color w:val="auto"/>
                <w:szCs w:val="21"/>
                <w:highlight w:val="none"/>
              </w:rPr>
              <w:t>、投标人对本项目的合理化建议和改进措施；</w:t>
            </w:r>
          </w:p>
          <w:p w14:paraId="7E5BF9ED">
            <w:pPr>
              <w:keepNext w:val="0"/>
              <w:keepLines w:val="0"/>
              <w:suppressLineNumbers w:val="0"/>
              <w:snapToGrid w:val="0"/>
              <w:spacing w:before="0" w:beforeAutospacing="0" w:after="0" w:afterAutospacing="0" w:line="560" w:lineRule="exact"/>
              <w:ind w:left="0" w:right="0"/>
              <w:jc w:val="left"/>
              <w:rPr>
                <w:rFonts w:hint="default" w:ascii="宋体" w:hAnsi="宋体"/>
                <w:bCs/>
                <w:color w:val="auto"/>
                <w:szCs w:val="21"/>
                <w:highlight w:val="none"/>
              </w:rPr>
            </w:pPr>
            <w:r>
              <w:rPr>
                <w:rFonts w:hint="eastAsia" w:ascii="宋体" w:hAnsi="宋体"/>
                <w:color w:val="auto"/>
                <w:szCs w:val="21"/>
                <w:highlight w:val="none"/>
                <w:lang w:val="en-US" w:eastAsia="zh-CN"/>
              </w:rPr>
              <w:t>7</w:t>
            </w:r>
            <w:r>
              <w:rPr>
                <w:rFonts w:hint="eastAsia" w:ascii="宋体" w:hAnsi="宋体"/>
                <w:color w:val="auto"/>
                <w:szCs w:val="21"/>
                <w:highlight w:val="none"/>
              </w:rPr>
              <w:t>、除招标文件规定必须提供以外，投标人需要说明的其他文件和说明。</w:t>
            </w:r>
          </w:p>
          <w:p w14:paraId="4D1CB11E">
            <w:pPr>
              <w:keepNext w:val="0"/>
              <w:keepLines w:val="0"/>
              <w:suppressLineNumbers w:val="0"/>
              <w:snapToGrid w:val="0"/>
              <w:spacing w:before="0" w:beforeAutospacing="0" w:after="0" w:afterAutospacing="0" w:line="560" w:lineRule="exact"/>
              <w:ind w:left="0" w:right="0"/>
              <w:jc w:val="left"/>
              <w:rPr>
                <w:rFonts w:hint="default" w:ascii="宋体" w:hAnsi="宋体"/>
                <w:b/>
                <w:bCs/>
                <w:color w:val="auto"/>
                <w:szCs w:val="21"/>
                <w:highlight w:val="none"/>
              </w:rPr>
            </w:pPr>
            <w:r>
              <w:rPr>
                <w:rFonts w:hint="eastAsia" w:ascii="宋体" w:hAnsi="宋体"/>
                <w:b/>
                <w:bCs/>
                <w:color w:val="auto"/>
                <w:szCs w:val="21"/>
                <w:highlight w:val="none"/>
              </w:rPr>
              <w:t>注：以上标明“必须提供”的材料</w:t>
            </w:r>
            <w:r>
              <w:rPr>
                <w:rFonts w:hint="eastAsia" w:ascii="宋体" w:hAnsi="宋体" w:cs="宋体"/>
                <w:b/>
                <w:color w:val="auto"/>
                <w:szCs w:val="21"/>
                <w:highlight w:val="none"/>
              </w:rPr>
              <w:t>属于复印件的扫描件的</w:t>
            </w:r>
            <w:r>
              <w:rPr>
                <w:rFonts w:hint="eastAsia" w:ascii="宋体" w:hAnsi="宋体"/>
                <w:b/>
                <w:bCs/>
                <w:color w:val="auto"/>
                <w:szCs w:val="21"/>
                <w:highlight w:val="none"/>
              </w:rPr>
              <w:t>，必须加盖投标人电子公章，否则</w:t>
            </w:r>
            <w:r>
              <w:rPr>
                <w:rFonts w:hint="eastAsia" w:ascii="宋体" w:hAnsi="宋体" w:cs="Courier New"/>
                <w:b/>
                <w:color w:val="auto"/>
                <w:szCs w:val="21"/>
                <w:highlight w:val="none"/>
              </w:rPr>
              <w:t>作无效投标处理</w:t>
            </w:r>
            <w:r>
              <w:rPr>
                <w:rFonts w:hint="eastAsia" w:ascii="宋体" w:hAnsi="宋体"/>
                <w:b/>
                <w:bCs/>
                <w:color w:val="auto"/>
                <w:szCs w:val="21"/>
                <w:highlight w:val="none"/>
              </w:rPr>
              <w:t>。</w:t>
            </w:r>
          </w:p>
        </w:tc>
      </w:tr>
      <w:tr w14:paraId="7E331890">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c>
          <w:tcPr>
            <w:tcW w:w="1065" w:type="dxa"/>
            <w:vMerge w:val="continue"/>
            <w:tcBorders>
              <w:top w:val="nil"/>
              <w:left w:val="single" w:color="auto" w:sz="4" w:space="0"/>
              <w:bottom w:val="single" w:color="auto" w:sz="4" w:space="0"/>
              <w:right w:val="single" w:color="auto" w:sz="4" w:space="0"/>
            </w:tcBorders>
            <w:vAlign w:val="center"/>
          </w:tcPr>
          <w:p w14:paraId="1E1CEFC0">
            <w:pPr>
              <w:keepNext w:val="0"/>
              <w:keepLines w:val="0"/>
              <w:widowControl/>
              <w:suppressLineNumbers w:val="0"/>
              <w:spacing w:before="0" w:beforeAutospacing="0" w:after="0" w:afterAutospacing="0" w:line="560" w:lineRule="exact"/>
              <w:ind w:left="0" w:right="0"/>
              <w:jc w:val="left"/>
              <w:rPr>
                <w:rFonts w:hint="default" w:ascii="宋体" w:hAnsi="宋体"/>
                <w:color w:val="auto"/>
                <w:szCs w:val="21"/>
                <w:highlight w:val="none"/>
              </w:rPr>
            </w:pPr>
          </w:p>
        </w:tc>
        <w:tc>
          <w:tcPr>
            <w:tcW w:w="1878" w:type="dxa"/>
            <w:tcBorders>
              <w:top w:val="single" w:color="auto" w:sz="4" w:space="0"/>
              <w:left w:val="single" w:color="auto" w:sz="4" w:space="0"/>
              <w:bottom w:val="single" w:color="auto" w:sz="4" w:space="0"/>
              <w:right w:val="single" w:color="auto" w:sz="4" w:space="0"/>
            </w:tcBorders>
            <w:vAlign w:val="center"/>
          </w:tcPr>
          <w:p w14:paraId="397FA386">
            <w:pPr>
              <w:keepNext w:val="0"/>
              <w:keepLines w:val="0"/>
              <w:suppressLineNumbers w:val="0"/>
              <w:snapToGrid w:val="0"/>
              <w:spacing w:before="0" w:beforeAutospacing="0" w:after="0" w:afterAutospacing="0" w:line="560" w:lineRule="exact"/>
              <w:ind w:left="0" w:right="0"/>
              <w:jc w:val="left"/>
              <w:rPr>
                <w:rFonts w:hint="default" w:ascii="宋体" w:hAnsi="宋体" w:cs="Courier New"/>
                <w:color w:val="auto"/>
                <w:szCs w:val="21"/>
                <w:highlight w:val="none"/>
              </w:rPr>
            </w:pPr>
            <w:r>
              <w:rPr>
                <w:rFonts w:hint="eastAsia" w:ascii="宋体" w:hAnsi="宋体" w:cs="Courier New"/>
                <w:color w:val="auto"/>
                <w:szCs w:val="21"/>
                <w:highlight w:val="none"/>
              </w:rPr>
              <w:t>报价文件</w:t>
            </w:r>
            <w:r>
              <w:rPr>
                <w:rFonts w:hint="eastAsia" w:ascii="宋体" w:hAnsi="宋体"/>
                <w:color w:val="auto"/>
                <w:szCs w:val="21"/>
                <w:highlight w:val="none"/>
              </w:rPr>
              <w:t>组成</w:t>
            </w:r>
          </w:p>
        </w:tc>
        <w:tc>
          <w:tcPr>
            <w:tcW w:w="7297" w:type="dxa"/>
            <w:tcBorders>
              <w:top w:val="single" w:color="auto" w:sz="4" w:space="0"/>
              <w:left w:val="single" w:color="auto" w:sz="4" w:space="0"/>
              <w:bottom w:val="single" w:color="auto" w:sz="4" w:space="0"/>
              <w:right w:val="single" w:color="auto" w:sz="4" w:space="0"/>
            </w:tcBorders>
            <w:vAlign w:val="center"/>
          </w:tcPr>
          <w:p w14:paraId="4A4A5B79">
            <w:pPr>
              <w:keepNext w:val="0"/>
              <w:keepLines w:val="0"/>
              <w:suppressLineNumbers w:val="0"/>
              <w:tabs>
                <w:tab w:val="left" w:pos="459"/>
              </w:tabs>
              <w:snapToGrid w:val="0"/>
              <w:spacing w:before="0" w:beforeAutospacing="0" w:after="0" w:afterAutospacing="0" w:line="560" w:lineRule="exact"/>
              <w:ind w:left="0" w:right="0"/>
              <w:jc w:val="left"/>
              <w:rPr>
                <w:rFonts w:hint="default" w:ascii="宋体" w:hAnsi="宋体"/>
                <w:color w:val="auto"/>
                <w:szCs w:val="21"/>
                <w:highlight w:val="none"/>
              </w:rPr>
            </w:pPr>
            <w:r>
              <w:rPr>
                <w:rFonts w:hint="eastAsia" w:ascii="宋体" w:hAnsi="宋体"/>
                <w:color w:val="auto"/>
                <w:szCs w:val="21"/>
                <w:highlight w:val="none"/>
              </w:rPr>
              <w:t>1、投标函；</w:t>
            </w:r>
            <w:r>
              <w:rPr>
                <w:rFonts w:hint="eastAsia" w:ascii="宋体" w:hAnsi="宋体"/>
                <w:b/>
                <w:color w:val="auto"/>
                <w:szCs w:val="21"/>
                <w:highlight w:val="none"/>
              </w:rPr>
              <w:t>（必须提供，否则作无效投标处理）</w:t>
            </w:r>
          </w:p>
          <w:p w14:paraId="22E37CA7">
            <w:pPr>
              <w:keepNext w:val="0"/>
              <w:keepLines w:val="0"/>
              <w:suppressLineNumbers w:val="0"/>
              <w:tabs>
                <w:tab w:val="left" w:pos="459"/>
              </w:tabs>
              <w:snapToGrid w:val="0"/>
              <w:spacing w:before="0" w:beforeAutospacing="0" w:after="0" w:afterAutospacing="0" w:line="560" w:lineRule="exact"/>
              <w:ind w:left="0" w:right="0"/>
              <w:jc w:val="left"/>
              <w:rPr>
                <w:rFonts w:hint="eastAsia" w:ascii="宋体" w:hAnsi="宋体"/>
                <w:color w:val="auto"/>
                <w:szCs w:val="21"/>
                <w:highlight w:val="none"/>
              </w:rPr>
            </w:pPr>
            <w:r>
              <w:rPr>
                <w:rFonts w:hint="eastAsia" w:ascii="宋体" w:hAnsi="宋体"/>
                <w:color w:val="auto"/>
                <w:szCs w:val="21"/>
                <w:highlight w:val="none"/>
              </w:rPr>
              <w:t>2、开标一览表；（</w:t>
            </w:r>
            <w:r>
              <w:rPr>
                <w:rFonts w:hint="eastAsia" w:ascii="宋体" w:hAnsi="宋体"/>
                <w:b/>
                <w:color w:val="auto"/>
                <w:szCs w:val="21"/>
                <w:highlight w:val="none"/>
              </w:rPr>
              <w:t>必须提供，否则作无效投标处理</w:t>
            </w:r>
            <w:r>
              <w:rPr>
                <w:rFonts w:hint="eastAsia" w:ascii="宋体" w:hAnsi="宋体"/>
                <w:color w:val="auto"/>
                <w:szCs w:val="21"/>
                <w:highlight w:val="none"/>
              </w:rPr>
              <w:t>）</w:t>
            </w:r>
          </w:p>
          <w:p w14:paraId="235FCD27">
            <w:pPr>
              <w:keepNext w:val="0"/>
              <w:keepLines w:val="0"/>
              <w:suppressLineNumbers w:val="0"/>
              <w:tabs>
                <w:tab w:val="left" w:pos="459"/>
              </w:tabs>
              <w:snapToGrid w:val="0"/>
              <w:spacing w:before="0" w:beforeAutospacing="0" w:after="0" w:afterAutospacing="0" w:line="560" w:lineRule="exact"/>
              <w:ind w:left="0" w:right="0"/>
              <w:jc w:val="left"/>
              <w:rPr>
                <w:rFonts w:hint="default" w:ascii="宋体" w:hAnsi="宋体"/>
                <w:color w:val="auto"/>
                <w:szCs w:val="21"/>
                <w:highlight w:val="none"/>
              </w:rPr>
            </w:pPr>
            <w:r>
              <w:rPr>
                <w:rFonts w:hint="eastAsia" w:ascii="宋体" w:hAnsi="宋体"/>
                <w:color w:val="auto"/>
                <w:szCs w:val="21"/>
                <w:highlight w:val="none"/>
                <w:lang w:val="en-US" w:eastAsia="zh-CN"/>
              </w:rPr>
              <w:t>3</w:t>
            </w:r>
            <w:r>
              <w:rPr>
                <w:rFonts w:hint="eastAsia" w:ascii="宋体" w:hAnsi="宋体"/>
                <w:color w:val="auto"/>
                <w:szCs w:val="21"/>
                <w:highlight w:val="none"/>
              </w:rPr>
              <w:t>、投标人针对报价需要说明的其他文件和说明。</w:t>
            </w:r>
          </w:p>
        </w:tc>
      </w:tr>
      <w:tr w14:paraId="2171D153">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c>
          <w:tcPr>
            <w:tcW w:w="1065" w:type="dxa"/>
            <w:tcBorders>
              <w:top w:val="single" w:color="auto" w:sz="4" w:space="0"/>
              <w:left w:val="single" w:color="auto" w:sz="4" w:space="0"/>
              <w:bottom w:val="single" w:color="auto" w:sz="4" w:space="0"/>
              <w:right w:val="single" w:color="auto" w:sz="4" w:space="0"/>
            </w:tcBorders>
            <w:vAlign w:val="center"/>
          </w:tcPr>
          <w:p w14:paraId="6FC0ADAA">
            <w:pPr>
              <w:keepNext w:val="0"/>
              <w:keepLines w:val="0"/>
              <w:suppressLineNumbers w:val="0"/>
              <w:spacing w:before="0" w:beforeAutospacing="0" w:after="0" w:afterAutospacing="0" w:line="560" w:lineRule="exact"/>
              <w:ind w:left="0" w:right="0"/>
              <w:rPr>
                <w:rFonts w:hint="default" w:ascii="宋体" w:hAnsi="宋体"/>
                <w:color w:val="auto"/>
                <w:szCs w:val="21"/>
                <w:highlight w:val="none"/>
              </w:rPr>
            </w:pPr>
            <w:r>
              <w:rPr>
                <w:rFonts w:hint="eastAsia" w:ascii="宋体" w:hAnsi="宋体"/>
                <w:color w:val="auto"/>
                <w:szCs w:val="21"/>
                <w:highlight w:val="none"/>
              </w:rPr>
              <w:t>16.2</w:t>
            </w:r>
          </w:p>
        </w:tc>
        <w:tc>
          <w:tcPr>
            <w:tcW w:w="1878" w:type="dxa"/>
            <w:tcBorders>
              <w:top w:val="single" w:color="auto" w:sz="4" w:space="0"/>
              <w:left w:val="single" w:color="auto" w:sz="4" w:space="0"/>
              <w:bottom w:val="single" w:color="auto" w:sz="4" w:space="0"/>
              <w:right w:val="single" w:color="auto" w:sz="4" w:space="0"/>
            </w:tcBorders>
            <w:vAlign w:val="center"/>
          </w:tcPr>
          <w:p w14:paraId="40D74662">
            <w:pPr>
              <w:keepNext w:val="0"/>
              <w:keepLines w:val="0"/>
              <w:suppressLineNumbers w:val="0"/>
              <w:spacing w:before="0" w:beforeAutospacing="0" w:after="0" w:afterAutospacing="0" w:line="560" w:lineRule="exact"/>
              <w:ind w:left="0" w:right="0"/>
              <w:rPr>
                <w:rFonts w:hint="default" w:ascii="宋体" w:hAnsi="宋体"/>
                <w:color w:val="auto"/>
                <w:szCs w:val="21"/>
                <w:highlight w:val="none"/>
              </w:rPr>
            </w:pPr>
            <w:bookmarkStart w:id="42" w:name="_16.2"/>
            <w:bookmarkEnd w:id="42"/>
            <w:r>
              <w:rPr>
                <w:rFonts w:hint="eastAsia" w:ascii="宋体" w:hAnsi="宋体"/>
                <w:color w:val="auto"/>
                <w:szCs w:val="21"/>
                <w:highlight w:val="none"/>
              </w:rPr>
              <w:t>投标报价要求</w:t>
            </w:r>
          </w:p>
        </w:tc>
        <w:tc>
          <w:tcPr>
            <w:tcW w:w="7297" w:type="dxa"/>
            <w:tcBorders>
              <w:top w:val="single" w:color="auto" w:sz="4" w:space="0"/>
              <w:left w:val="single" w:color="auto" w:sz="4" w:space="0"/>
              <w:bottom w:val="single" w:color="auto" w:sz="4" w:space="0"/>
              <w:right w:val="single" w:color="auto" w:sz="4" w:space="0"/>
            </w:tcBorders>
            <w:vAlign w:val="center"/>
          </w:tcPr>
          <w:p w14:paraId="01880583">
            <w:pPr>
              <w:pStyle w:val="6"/>
              <w:keepNext w:val="0"/>
              <w:keepLines w:val="0"/>
              <w:suppressLineNumbers w:val="0"/>
              <w:spacing w:before="0" w:beforeAutospacing="0" w:afterAutospacing="0" w:line="560" w:lineRule="exact"/>
              <w:ind w:left="0" w:right="0"/>
              <w:rPr>
                <w:rFonts w:hint="default" w:ascii="宋体" w:hAnsi="宋体"/>
                <w:b/>
                <w:color w:val="auto"/>
                <w:szCs w:val="21"/>
                <w:highlight w:val="none"/>
              </w:rPr>
            </w:pPr>
            <w:r>
              <w:rPr>
                <w:rFonts w:hint="eastAsia" w:ascii="宋体" w:hAnsi="宋体"/>
                <w:color w:val="auto"/>
                <w:szCs w:val="21"/>
                <w:highlight w:val="none"/>
              </w:rPr>
              <w:t>投标报价是履行合同的最终价格，详见商务条款</w:t>
            </w:r>
          </w:p>
        </w:tc>
      </w:tr>
      <w:tr w14:paraId="0D8C6CEA">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c>
          <w:tcPr>
            <w:tcW w:w="1065" w:type="dxa"/>
            <w:tcBorders>
              <w:top w:val="single" w:color="auto" w:sz="4" w:space="0"/>
              <w:left w:val="single" w:color="auto" w:sz="4" w:space="0"/>
              <w:bottom w:val="single" w:color="auto" w:sz="4" w:space="0"/>
              <w:right w:val="single" w:color="auto" w:sz="4" w:space="0"/>
            </w:tcBorders>
            <w:vAlign w:val="center"/>
          </w:tcPr>
          <w:p w14:paraId="274242B8">
            <w:pPr>
              <w:keepNext w:val="0"/>
              <w:keepLines w:val="0"/>
              <w:suppressLineNumbers w:val="0"/>
              <w:spacing w:before="0" w:beforeAutospacing="0" w:after="0" w:afterAutospacing="0" w:line="560" w:lineRule="exact"/>
              <w:ind w:left="0" w:right="0"/>
              <w:rPr>
                <w:rFonts w:hint="default" w:ascii="宋体" w:hAnsi="宋体"/>
                <w:color w:val="auto"/>
                <w:szCs w:val="21"/>
                <w:highlight w:val="none"/>
              </w:rPr>
            </w:pPr>
            <w:r>
              <w:rPr>
                <w:rFonts w:hint="eastAsia" w:ascii="宋体" w:hAnsi="宋体"/>
                <w:color w:val="auto"/>
                <w:szCs w:val="21"/>
                <w:highlight w:val="none"/>
              </w:rPr>
              <w:t>17.2</w:t>
            </w:r>
          </w:p>
        </w:tc>
        <w:tc>
          <w:tcPr>
            <w:tcW w:w="1878" w:type="dxa"/>
            <w:tcBorders>
              <w:top w:val="single" w:color="auto" w:sz="4" w:space="0"/>
              <w:left w:val="single" w:color="auto" w:sz="4" w:space="0"/>
              <w:bottom w:val="single" w:color="auto" w:sz="4" w:space="0"/>
              <w:right w:val="single" w:color="auto" w:sz="4" w:space="0"/>
            </w:tcBorders>
            <w:vAlign w:val="center"/>
          </w:tcPr>
          <w:p w14:paraId="536DC882">
            <w:pPr>
              <w:keepNext w:val="0"/>
              <w:keepLines w:val="0"/>
              <w:suppressLineNumbers w:val="0"/>
              <w:spacing w:before="0" w:beforeAutospacing="0" w:after="0" w:afterAutospacing="0" w:line="560" w:lineRule="exact"/>
              <w:ind w:left="0" w:right="0"/>
              <w:rPr>
                <w:rFonts w:hint="default" w:ascii="宋体" w:hAnsi="宋体"/>
                <w:color w:val="auto"/>
                <w:szCs w:val="21"/>
                <w:highlight w:val="none"/>
              </w:rPr>
            </w:pPr>
            <w:bookmarkStart w:id="43" w:name="_17.1"/>
            <w:bookmarkEnd w:id="43"/>
            <w:r>
              <w:rPr>
                <w:rFonts w:hint="eastAsia" w:ascii="宋体" w:hAnsi="宋体"/>
                <w:color w:val="auto"/>
                <w:szCs w:val="21"/>
                <w:highlight w:val="none"/>
              </w:rPr>
              <w:t>投标有效期</w:t>
            </w:r>
          </w:p>
        </w:tc>
        <w:tc>
          <w:tcPr>
            <w:tcW w:w="7297" w:type="dxa"/>
            <w:tcBorders>
              <w:top w:val="single" w:color="auto" w:sz="4" w:space="0"/>
              <w:left w:val="single" w:color="auto" w:sz="4" w:space="0"/>
              <w:bottom w:val="single" w:color="auto" w:sz="4" w:space="0"/>
              <w:right w:val="single" w:color="auto" w:sz="4" w:space="0"/>
            </w:tcBorders>
            <w:vAlign w:val="center"/>
          </w:tcPr>
          <w:p w14:paraId="2850405A">
            <w:pPr>
              <w:keepNext w:val="0"/>
              <w:keepLines w:val="0"/>
              <w:suppressLineNumbers w:val="0"/>
              <w:snapToGrid w:val="0"/>
              <w:spacing w:before="0" w:beforeAutospacing="0" w:after="0" w:afterAutospacing="0" w:line="560" w:lineRule="exact"/>
              <w:ind w:left="0" w:right="0"/>
              <w:rPr>
                <w:rFonts w:hint="default" w:ascii="宋体" w:hAnsi="宋体"/>
                <w:color w:val="auto"/>
                <w:szCs w:val="21"/>
                <w:highlight w:val="none"/>
              </w:rPr>
            </w:pPr>
            <w:r>
              <w:rPr>
                <w:rFonts w:hint="eastAsia" w:ascii="宋体" w:hAnsi="宋体"/>
                <w:color w:val="auto"/>
                <w:szCs w:val="21"/>
                <w:highlight w:val="none"/>
              </w:rPr>
              <w:t>自投标截止之日起</w:t>
            </w:r>
            <w:r>
              <w:rPr>
                <w:rFonts w:hint="default" w:ascii="宋体" w:hAnsi="宋体"/>
                <w:color w:val="auto"/>
                <w:szCs w:val="21"/>
                <w:highlight w:val="none"/>
                <w:u w:val="single"/>
              </w:rPr>
              <w:t>90</w:t>
            </w:r>
            <w:r>
              <w:rPr>
                <w:rFonts w:hint="eastAsia" w:ascii="宋体" w:hAnsi="宋体"/>
                <w:color w:val="auto"/>
                <w:szCs w:val="21"/>
                <w:highlight w:val="none"/>
              </w:rPr>
              <w:t>日。</w:t>
            </w:r>
          </w:p>
        </w:tc>
      </w:tr>
      <w:tr w14:paraId="05BFCE1F">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c>
          <w:tcPr>
            <w:tcW w:w="1065" w:type="dxa"/>
            <w:tcBorders>
              <w:top w:val="single" w:color="auto" w:sz="4" w:space="0"/>
              <w:left w:val="single" w:color="auto" w:sz="4" w:space="0"/>
              <w:bottom w:val="single" w:color="auto" w:sz="4" w:space="0"/>
              <w:right w:val="single" w:color="auto" w:sz="4" w:space="0"/>
            </w:tcBorders>
            <w:vAlign w:val="center"/>
          </w:tcPr>
          <w:p w14:paraId="29F852DF">
            <w:pPr>
              <w:keepNext w:val="0"/>
              <w:keepLines w:val="0"/>
              <w:suppressLineNumbers w:val="0"/>
              <w:spacing w:before="0" w:beforeAutospacing="0" w:after="0" w:afterAutospacing="0" w:line="560" w:lineRule="exact"/>
              <w:ind w:left="0" w:right="0"/>
              <w:rPr>
                <w:rFonts w:hint="default" w:ascii="宋体" w:hAnsi="宋体"/>
                <w:color w:val="auto"/>
                <w:szCs w:val="21"/>
                <w:highlight w:val="none"/>
              </w:rPr>
            </w:pPr>
            <w:r>
              <w:rPr>
                <w:rFonts w:hint="eastAsia" w:ascii="宋体" w:hAnsi="宋体"/>
                <w:color w:val="auto"/>
                <w:szCs w:val="21"/>
                <w:highlight w:val="none"/>
              </w:rPr>
              <w:t>18</w:t>
            </w:r>
          </w:p>
        </w:tc>
        <w:tc>
          <w:tcPr>
            <w:tcW w:w="1878" w:type="dxa"/>
            <w:tcBorders>
              <w:top w:val="single" w:color="auto" w:sz="4" w:space="0"/>
              <w:left w:val="single" w:color="auto" w:sz="4" w:space="0"/>
              <w:bottom w:val="single" w:color="auto" w:sz="4" w:space="0"/>
              <w:right w:val="single" w:color="auto" w:sz="4" w:space="0"/>
            </w:tcBorders>
            <w:vAlign w:val="center"/>
          </w:tcPr>
          <w:p w14:paraId="6DF63BB0">
            <w:pPr>
              <w:keepNext w:val="0"/>
              <w:keepLines w:val="0"/>
              <w:suppressLineNumbers w:val="0"/>
              <w:spacing w:before="0" w:beforeAutospacing="0" w:after="0" w:afterAutospacing="0" w:line="560" w:lineRule="exact"/>
              <w:ind w:left="0" w:right="0"/>
              <w:rPr>
                <w:rFonts w:hint="default" w:ascii="宋体" w:hAnsi="宋体"/>
                <w:color w:val="auto"/>
                <w:szCs w:val="21"/>
                <w:highlight w:val="none"/>
              </w:rPr>
            </w:pPr>
            <w:bookmarkStart w:id="44" w:name="_18"/>
            <w:bookmarkEnd w:id="44"/>
            <w:r>
              <w:rPr>
                <w:rFonts w:hint="eastAsia" w:ascii="宋体" w:hAnsi="宋体"/>
                <w:color w:val="auto"/>
                <w:szCs w:val="21"/>
                <w:highlight w:val="none"/>
              </w:rPr>
              <w:t>投标保证金金额</w:t>
            </w:r>
          </w:p>
        </w:tc>
        <w:tc>
          <w:tcPr>
            <w:tcW w:w="7297" w:type="dxa"/>
            <w:tcBorders>
              <w:top w:val="single" w:color="auto" w:sz="4" w:space="0"/>
              <w:left w:val="single" w:color="auto" w:sz="4" w:space="0"/>
              <w:bottom w:val="single" w:color="auto" w:sz="4" w:space="0"/>
              <w:right w:val="single" w:color="auto" w:sz="4" w:space="0"/>
            </w:tcBorders>
            <w:vAlign w:val="center"/>
          </w:tcPr>
          <w:p w14:paraId="3A9AD392">
            <w:pPr>
              <w:keepNext w:val="0"/>
              <w:keepLines w:val="0"/>
              <w:suppressLineNumbers w:val="0"/>
              <w:autoSpaceDE w:val="0"/>
              <w:autoSpaceDN w:val="0"/>
              <w:snapToGrid w:val="0"/>
              <w:spacing w:before="0" w:beforeAutospacing="0" w:after="0" w:afterAutospacing="0" w:line="560" w:lineRule="exact"/>
              <w:ind w:left="0" w:right="0"/>
              <w:textAlignment w:val="bottom"/>
              <w:rPr>
                <w:rFonts w:hint="default" w:ascii="宋体" w:hAnsi="宋体"/>
                <w:color w:val="auto"/>
                <w:szCs w:val="21"/>
                <w:highlight w:val="none"/>
              </w:rPr>
            </w:pPr>
            <w:r>
              <w:rPr>
                <w:rFonts w:hint="eastAsia" w:ascii="宋体" w:hAnsi="宋体"/>
                <w:color w:val="auto"/>
                <w:szCs w:val="21"/>
                <w:highlight w:val="none"/>
              </w:rPr>
              <w:t>本项目不收取投标保证金。</w:t>
            </w:r>
          </w:p>
        </w:tc>
      </w:tr>
      <w:tr w14:paraId="1267F671">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c>
          <w:tcPr>
            <w:tcW w:w="1065" w:type="dxa"/>
            <w:tcBorders>
              <w:top w:val="single" w:color="auto" w:sz="4" w:space="0"/>
              <w:left w:val="single" w:color="auto" w:sz="4" w:space="0"/>
              <w:bottom w:val="single" w:color="auto" w:sz="4" w:space="0"/>
              <w:right w:val="single" w:color="auto" w:sz="4" w:space="0"/>
            </w:tcBorders>
            <w:vAlign w:val="center"/>
          </w:tcPr>
          <w:p w14:paraId="09A4BEA4">
            <w:pPr>
              <w:keepNext w:val="0"/>
              <w:keepLines w:val="0"/>
              <w:suppressLineNumbers w:val="0"/>
              <w:spacing w:before="0" w:beforeAutospacing="0" w:after="0" w:afterAutospacing="0" w:line="560" w:lineRule="exact"/>
              <w:ind w:left="0" w:right="0"/>
              <w:rPr>
                <w:rFonts w:hint="default" w:ascii="宋体" w:hAnsi="宋体"/>
                <w:color w:val="auto"/>
                <w:szCs w:val="21"/>
                <w:highlight w:val="none"/>
              </w:rPr>
            </w:pPr>
            <w:r>
              <w:rPr>
                <w:rFonts w:hint="eastAsia" w:ascii="宋体" w:hAnsi="宋体"/>
                <w:color w:val="auto"/>
                <w:szCs w:val="21"/>
                <w:highlight w:val="none"/>
              </w:rPr>
              <w:t>19.1</w:t>
            </w:r>
          </w:p>
        </w:tc>
        <w:tc>
          <w:tcPr>
            <w:tcW w:w="1878" w:type="dxa"/>
            <w:tcBorders>
              <w:top w:val="single" w:color="auto" w:sz="4" w:space="0"/>
              <w:left w:val="single" w:color="auto" w:sz="4" w:space="0"/>
              <w:bottom w:val="single" w:color="auto" w:sz="4" w:space="0"/>
              <w:right w:val="single" w:color="auto" w:sz="4" w:space="0"/>
            </w:tcBorders>
            <w:vAlign w:val="center"/>
          </w:tcPr>
          <w:p w14:paraId="0ACFFB14">
            <w:pPr>
              <w:keepNext w:val="0"/>
              <w:keepLines w:val="0"/>
              <w:suppressLineNumbers w:val="0"/>
              <w:spacing w:before="0" w:beforeAutospacing="0" w:after="0" w:afterAutospacing="0" w:line="560" w:lineRule="exact"/>
              <w:ind w:left="0" w:right="0"/>
              <w:rPr>
                <w:rFonts w:hint="default" w:ascii="宋体" w:hAnsi="宋体"/>
                <w:color w:val="auto"/>
                <w:szCs w:val="21"/>
                <w:highlight w:val="none"/>
              </w:rPr>
            </w:pPr>
            <w:r>
              <w:rPr>
                <w:rFonts w:hint="eastAsia" w:ascii="宋体" w:hAnsi="宋体"/>
                <w:color w:val="auto"/>
                <w:szCs w:val="21"/>
                <w:highlight w:val="none"/>
              </w:rPr>
              <w:t>投标文件编制要求</w:t>
            </w:r>
          </w:p>
        </w:tc>
        <w:tc>
          <w:tcPr>
            <w:tcW w:w="7297" w:type="dxa"/>
            <w:tcBorders>
              <w:top w:val="single" w:color="auto" w:sz="4" w:space="0"/>
              <w:left w:val="single" w:color="auto" w:sz="4" w:space="0"/>
              <w:bottom w:val="single" w:color="auto" w:sz="4" w:space="0"/>
              <w:right w:val="single" w:color="auto" w:sz="4" w:space="0"/>
            </w:tcBorders>
            <w:vAlign w:val="center"/>
          </w:tcPr>
          <w:p w14:paraId="5DC6185B">
            <w:pPr>
              <w:keepNext w:val="0"/>
              <w:keepLines w:val="0"/>
              <w:suppressLineNumbers w:val="0"/>
              <w:spacing w:before="0" w:beforeAutospacing="0" w:after="0" w:afterAutospacing="0" w:line="560" w:lineRule="exact"/>
              <w:ind w:left="0" w:right="0"/>
              <w:rPr>
                <w:rFonts w:hint="default" w:ascii="宋体" w:hAnsi="宋体"/>
                <w:b/>
                <w:color w:val="auto"/>
                <w:szCs w:val="21"/>
                <w:highlight w:val="none"/>
                <w:u w:val="single"/>
              </w:rPr>
            </w:pPr>
            <w:r>
              <w:rPr>
                <w:rFonts w:hint="eastAsia" w:hAnsi="宋体"/>
                <w:color w:val="auto"/>
                <w:szCs w:val="21"/>
                <w:highlight w:val="none"/>
              </w:rPr>
              <w:t>投标文件应按报价文件、资格证明文件、商务文件、技术文件分别编制，报价文件、资格证明文件分别生成电子文件，商务文件和技术文件按顺序合并生成电子文件。</w:t>
            </w:r>
            <w:r>
              <w:rPr>
                <w:rFonts w:hint="eastAsia" w:ascii="宋体" w:hAnsi="宋体"/>
                <w:b/>
                <w:color w:val="auto"/>
                <w:szCs w:val="21"/>
                <w:highlight w:val="none"/>
                <w:u w:val="single"/>
              </w:rPr>
              <w:t>电子版投标文件制作方式见招标公告附件。</w:t>
            </w:r>
          </w:p>
        </w:tc>
      </w:tr>
      <w:tr w14:paraId="51BB88A6">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476" w:hRule="atLeast"/>
        </w:trPr>
        <w:tc>
          <w:tcPr>
            <w:tcW w:w="1065" w:type="dxa"/>
            <w:tcBorders>
              <w:top w:val="single" w:color="auto" w:sz="4" w:space="0"/>
              <w:left w:val="single" w:color="auto" w:sz="4" w:space="0"/>
              <w:bottom w:val="single" w:color="auto" w:sz="4" w:space="0"/>
              <w:right w:val="single" w:color="auto" w:sz="4" w:space="0"/>
            </w:tcBorders>
            <w:vAlign w:val="center"/>
          </w:tcPr>
          <w:p w14:paraId="202601E2">
            <w:pPr>
              <w:keepNext w:val="0"/>
              <w:keepLines w:val="0"/>
              <w:suppressLineNumbers w:val="0"/>
              <w:spacing w:before="0" w:beforeAutospacing="0" w:after="0" w:afterAutospacing="0" w:line="560" w:lineRule="exact"/>
              <w:ind w:left="0" w:right="0"/>
              <w:rPr>
                <w:rFonts w:hint="default" w:ascii="宋体" w:hAnsi="宋体"/>
                <w:color w:val="auto"/>
                <w:szCs w:val="21"/>
                <w:highlight w:val="none"/>
              </w:rPr>
            </w:pPr>
            <w:r>
              <w:rPr>
                <w:rFonts w:hint="eastAsia" w:ascii="宋体" w:hAnsi="宋体"/>
                <w:color w:val="auto"/>
                <w:szCs w:val="21"/>
                <w:highlight w:val="none"/>
              </w:rPr>
              <w:t>20</w:t>
            </w:r>
          </w:p>
        </w:tc>
        <w:tc>
          <w:tcPr>
            <w:tcW w:w="1878" w:type="dxa"/>
            <w:tcBorders>
              <w:top w:val="single" w:color="auto" w:sz="4" w:space="0"/>
              <w:left w:val="single" w:color="auto" w:sz="4" w:space="0"/>
              <w:bottom w:val="single" w:color="auto" w:sz="4" w:space="0"/>
              <w:right w:val="single" w:color="auto" w:sz="4" w:space="0"/>
            </w:tcBorders>
            <w:vAlign w:val="center"/>
          </w:tcPr>
          <w:p w14:paraId="529633E3">
            <w:pPr>
              <w:keepNext w:val="0"/>
              <w:keepLines w:val="0"/>
              <w:suppressLineNumbers w:val="0"/>
              <w:spacing w:before="0" w:beforeAutospacing="0" w:after="0" w:afterAutospacing="0" w:line="560" w:lineRule="exact"/>
              <w:ind w:left="0" w:right="0"/>
              <w:rPr>
                <w:rFonts w:hint="default" w:ascii="宋体" w:hAnsi="宋体"/>
                <w:color w:val="auto"/>
                <w:szCs w:val="21"/>
                <w:highlight w:val="none"/>
              </w:rPr>
            </w:pPr>
            <w:r>
              <w:rPr>
                <w:rFonts w:hint="eastAsia" w:ascii="宋体" w:hAnsi="宋体"/>
                <w:color w:val="auto"/>
                <w:szCs w:val="21"/>
                <w:highlight w:val="none"/>
              </w:rPr>
              <w:t>备份投标文件</w:t>
            </w:r>
          </w:p>
        </w:tc>
        <w:tc>
          <w:tcPr>
            <w:tcW w:w="7297" w:type="dxa"/>
            <w:tcBorders>
              <w:top w:val="single" w:color="auto" w:sz="4" w:space="0"/>
              <w:left w:val="single" w:color="auto" w:sz="4" w:space="0"/>
              <w:bottom w:val="single" w:color="auto" w:sz="4" w:space="0"/>
              <w:right w:val="single" w:color="auto" w:sz="4" w:space="0"/>
            </w:tcBorders>
            <w:vAlign w:val="center"/>
          </w:tcPr>
          <w:p w14:paraId="52DD4B1F">
            <w:pPr>
              <w:keepNext w:val="0"/>
              <w:keepLines w:val="0"/>
              <w:suppressLineNumbers w:val="0"/>
              <w:autoSpaceDE w:val="0"/>
              <w:autoSpaceDN w:val="0"/>
              <w:snapToGrid w:val="0"/>
              <w:spacing w:before="0" w:beforeAutospacing="0" w:after="0" w:afterAutospacing="0" w:line="560" w:lineRule="exact"/>
              <w:ind w:left="0" w:right="0"/>
              <w:textAlignment w:val="bottom"/>
              <w:rPr>
                <w:rFonts w:hint="default" w:ascii="宋体" w:hAnsi="宋体"/>
                <w:color w:val="auto"/>
                <w:szCs w:val="21"/>
                <w:highlight w:val="none"/>
              </w:rPr>
            </w:pPr>
            <w:r>
              <w:rPr>
                <w:rFonts w:hint="eastAsia" w:ascii="宋体" w:hAnsi="宋体"/>
                <w:color w:val="auto"/>
                <w:szCs w:val="21"/>
                <w:highlight w:val="none"/>
              </w:rPr>
              <w:t>本项目不接受备份投标文件。</w:t>
            </w:r>
          </w:p>
        </w:tc>
      </w:tr>
      <w:tr w14:paraId="665B71BC">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427" w:hRule="atLeast"/>
        </w:trPr>
        <w:tc>
          <w:tcPr>
            <w:tcW w:w="1065" w:type="dxa"/>
            <w:vMerge w:val="restart"/>
            <w:tcBorders>
              <w:top w:val="single" w:color="auto" w:sz="4" w:space="0"/>
              <w:left w:val="single" w:color="auto" w:sz="4" w:space="0"/>
              <w:bottom w:val="nil"/>
              <w:right w:val="single" w:color="auto" w:sz="4" w:space="0"/>
            </w:tcBorders>
            <w:vAlign w:val="center"/>
          </w:tcPr>
          <w:p w14:paraId="51A2E77A">
            <w:pPr>
              <w:keepNext w:val="0"/>
              <w:keepLines w:val="0"/>
              <w:suppressLineNumbers w:val="0"/>
              <w:spacing w:before="0" w:beforeAutospacing="0" w:after="0" w:afterAutospacing="0" w:line="560" w:lineRule="exact"/>
              <w:ind w:left="0" w:right="0"/>
              <w:rPr>
                <w:rFonts w:hint="default" w:ascii="宋体" w:hAnsi="宋体"/>
                <w:color w:val="auto"/>
                <w:szCs w:val="21"/>
                <w:highlight w:val="none"/>
              </w:rPr>
            </w:pPr>
            <w:r>
              <w:rPr>
                <w:rFonts w:hint="eastAsia" w:ascii="宋体" w:hAnsi="宋体"/>
                <w:color w:val="auto"/>
                <w:szCs w:val="21"/>
                <w:highlight w:val="none"/>
              </w:rPr>
              <w:t>21.1</w:t>
            </w:r>
          </w:p>
        </w:tc>
        <w:tc>
          <w:tcPr>
            <w:tcW w:w="1878" w:type="dxa"/>
            <w:tcBorders>
              <w:top w:val="single" w:color="auto" w:sz="4" w:space="0"/>
              <w:left w:val="single" w:color="auto" w:sz="4" w:space="0"/>
              <w:bottom w:val="single" w:color="auto" w:sz="4" w:space="0"/>
              <w:right w:val="single" w:color="auto" w:sz="4" w:space="0"/>
            </w:tcBorders>
            <w:vAlign w:val="center"/>
          </w:tcPr>
          <w:p w14:paraId="1F83D1AB">
            <w:pPr>
              <w:keepNext w:val="0"/>
              <w:keepLines w:val="0"/>
              <w:suppressLineNumbers w:val="0"/>
              <w:spacing w:before="0" w:beforeAutospacing="0" w:after="0" w:afterAutospacing="0" w:line="560" w:lineRule="exact"/>
              <w:ind w:left="0" w:right="0"/>
              <w:rPr>
                <w:rFonts w:hint="default" w:ascii="宋体" w:hAnsi="宋体"/>
                <w:color w:val="auto"/>
                <w:szCs w:val="21"/>
                <w:highlight w:val="none"/>
              </w:rPr>
            </w:pPr>
            <w:bookmarkStart w:id="45" w:name="_21.1"/>
            <w:bookmarkEnd w:id="45"/>
            <w:r>
              <w:rPr>
                <w:rFonts w:hint="eastAsia" w:ascii="宋体" w:hAnsi="宋体"/>
                <w:color w:val="auto"/>
                <w:szCs w:val="21"/>
                <w:highlight w:val="none"/>
              </w:rPr>
              <w:t>投标截止时间</w:t>
            </w:r>
          </w:p>
        </w:tc>
        <w:tc>
          <w:tcPr>
            <w:tcW w:w="7297" w:type="dxa"/>
            <w:tcBorders>
              <w:top w:val="single" w:color="auto" w:sz="4" w:space="0"/>
              <w:left w:val="single" w:color="auto" w:sz="4" w:space="0"/>
              <w:bottom w:val="single" w:color="auto" w:sz="4" w:space="0"/>
              <w:right w:val="single" w:color="auto" w:sz="4" w:space="0"/>
            </w:tcBorders>
            <w:vAlign w:val="center"/>
          </w:tcPr>
          <w:p w14:paraId="25D216E1">
            <w:pPr>
              <w:keepNext w:val="0"/>
              <w:keepLines w:val="0"/>
              <w:suppressLineNumbers w:val="0"/>
              <w:snapToGrid w:val="0"/>
              <w:spacing w:before="0" w:beforeAutospacing="0" w:after="0" w:afterAutospacing="0" w:line="560" w:lineRule="exact"/>
              <w:ind w:left="0" w:right="0"/>
              <w:rPr>
                <w:rFonts w:hint="default" w:ascii="宋体" w:hAnsi="宋体"/>
                <w:color w:val="auto"/>
                <w:szCs w:val="21"/>
                <w:highlight w:val="none"/>
                <w:u w:val="single"/>
              </w:rPr>
            </w:pPr>
            <w:r>
              <w:rPr>
                <w:rFonts w:hint="eastAsia" w:ascii="宋体" w:hAnsi="宋体"/>
                <w:color w:val="auto"/>
                <w:szCs w:val="21"/>
                <w:highlight w:val="none"/>
              </w:rPr>
              <w:t>详见招标公告</w:t>
            </w:r>
          </w:p>
        </w:tc>
      </w:tr>
      <w:tr w14:paraId="1E94FC00">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425" w:hRule="atLeast"/>
        </w:trPr>
        <w:tc>
          <w:tcPr>
            <w:tcW w:w="1065" w:type="dxa"/>
            <w:vMerge w:val="continue"/>
            <w:tcBorders>
              <w:top w:val="single" w:color="auto" w:sz="4" w:space="0"/>
              <w:left w:val="single" w:color="auto" w:sz="4" w:space="0"/>
              <w:bottom w:val="nil"/>
              <w:right w:val="single" w:color="auto" w:sz="4" w:space="0"/>
            </w:tcBorders>
            <w:vAlign w:val="center"/>
          </w:tcPr>
          <w:p w14:paraId="7B56255F">
            <w:pPr>
              <w:keepNext w:val="0"/>
              <w:keepLines w:val="0"/>
              <w:widowControl/>
              <w:suppressLineNumbers w:val="0"/>
              <w:spacing w:before="0" w:beforeAutospacing="0" w:after="0" w:afterAutospacing="0" w:line="560" w:lineRule="exact"/>
              <w:ind w:left="0" w:right="0"/>
              <w:jc w:val="left"/>
              <w:rPr>
                <w:rFonts w:hint="default" w:ascii="宋体" w:hAnsi="宋体"/>
                <w:color w:val="auto"/>
                <w:szCs w:val="21"/>
                <w:highlight w:val="none"/>
              </w:rPr>
            </w:pPr>
          </w:p>
        </w:tc>
        <w:tc>
          <w:tcPr>
            <w:tcW w:w="1878" w:type="dxa"/>
            <w:tcBorders>
              <w:top w:val="single" w:color="auto" w:sz="4" w:space="0"/>
              <w:left w:val="single" w:color="auto" w:sz="4" w:space="0"/>
              <w:bottom w:val="single" w:color="auto" w:sz="4" w:space="0"/>
              <w:right w:val="single" w:color="auto" w:sz="4" w:space="0"/>
            </w:tcBorders>
            <w:vAlign w:val="center"/>
          </w:tcPr>
          <w:p w14:paraId="2ECC2C1A">
            <w:pPr>
              <w:keepNext w:val="0"/>
              <w:keepLines w:val="0"/>
              <w:suppressLineNumbers w:val="0"/>
              <w:spacing w:before="0" w:beforeAutospacing="0" w:after="0" w:afterAutospacing="0" w:line="560" w:lineRule="exact"/>
              <w:ind w:left="0" w:right="0"/>
              <w:rPr>
                <w:rFonts w:hint="default" w:ascii="宋体" w:hAnsi="宋体"/>
                <w:color w:val="auto"/>
                <w:szCs w:val="21"/>
                <w:highlight w:val="none"/>
              </w:rPr>
            </w:pPr>
            <w:r>
              <w:rPr>
                <w:rFonts w:hint="eastAsia" w:ascii="宋体" w:hAnsi="宋体"/>
                <w:color w:val="auto"/>
                <w:szCs w:val="21"/>
                <w:highlight w:val="none"/>
              </w:rPr>
              <w:t>投标文件提交起止时间</w:t>
            </w:r>
          </w:p>
        </w:tc>
        <w:tc>
          <w:tcPr>
            <w:tcW w:w="7297" w:type="dxa"/>
            <w:tcBorders>
              <w:top w:val="single" w:color="auto" w:sz="4" w:space="0"/>
              <w:left w:val="single" w:color="auto" w:sz="4" w:space="0"/>
              <w:bottom w:val="single" w:color="auto" w:sz="4" w:space="0"/>
              <w:right w:val="single" w:color="auto" w:sz="4" w:space="0"/>
            </w:tcBorders>
            <w:vAlign w:val="center"/>
          </w:tcPr>
          <w:p w14:paraId="0AFFE84C">
            <w:pPr>
              <w:keepNext w:val="0"/>
              <w:keepLines w:val="0"/>
              <w:suppressLineNumbers w:val="0"/>
              <w:snapToGrid w:val="0"/>
              <w:spacing w:before="0" w:beforeAutospacing="0" w:after="0" w:afterAutospacing="0" w:line="560" w:lineRule="exact"/>
              <w:ind w:left="0" w:right="0"/>
              <w:rPr>
                <w:rFonts w:hint="default" w:ascii="宋体" w:hAnsi="宋体"/>
                <w:color w:val="auto"/>
                <w:szCs w:val="21"/>
                <w:highlight w:val="none"/>
              </w:rPr>
            </w:pPr>
            <w:r>
              <w:rPr>
                <w:rFonts w:hint="eastAsia" w:ascii="宋体" w:hAnsi="宋体"/>
                <w:color w:val="auto"/>
                <w:szCs w:val="21"/>
                <w:highlight w:val="none"/>
              </w:rPr>
              <w:t>详见招标公告</w:t>
            </w:r>
          </w:p>
        </w:tc>
      </w:tr>
      <w:tr w14:paraId="587550BA">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425" w:hRule="atLeast"/>
        </w:trPr>
        <w:tc>
          <w:tcPr>
            <w:tcW w:w="1065" w:type="dxa"/>
            <w:vMerge w:val="continue"/>
            <w:tcBorders>
              <w:top w:val="single" w:color="auto" w:sz="4" w:space="0"/>
              <w:left w:val="single" w:color="auto" w:sz="4" w:space="0"/>
              <w:bottom w:val="nil"/>
              <w:right w:val="single" w:color="auto" w:sz="4" w:space="0"/>
            </w:tcBorders>
            <w:vAlign w:val="center"/>
          </w:tcPr>
          <w:p w14:paraId="1210BE88">
            <w:pPr>
              <w:keepNext w:val="0"/>
              <w:keepLines w:val="0"/>
              <w:widowControl/>
              <w:suppressLineNumbers w:val="0"/>
              <w:spacing w:before="0" w:beforeAutospacing="0" w:after="0" w:afterAutospacing="0" w:line="560" w:lineRule="exact"/>
              <w:ind w:left="0" w:right="0"/>
              <w:jc w:val="left"/>
              <w:rPr>
                <w:rFonts w:hint="default" w:ascii="宋体" w:hAnsi="宋体"/>
                <w:color w:val="auto"/>
                <w:szCs w:val="21"/>
                <w:highlight w:val="none"/>
              </w:rPr>
            </w:pPr>
          </w:p>
        </w:tc>
        <w:tc>
          <w:tcPr>
            <w:tcW w:w="1878" w:type="dxa"/>
            <w:tcBorders>
              <w:top w:val="single" w:color="auto" w:sz="4" w:space="0"/>
              <w:left w:val="single" w:color="auto" w:sz="4" w:space="0"/>
              <w:bottom w:val="single" w:color="auto" w:sz="4" w:space="0"/>
              <w:right w:val="single" w:color="auto" w:sz="4" w:space="0"/>
            </w:tcBorders>
            <w:vAlign w:val="center"/>
          </w:tcPr>
          <w:p w14:paraId="5ACC17BB">
            <w:pPr>
              <w:keepNext w:val="0"/>
              <w:keepLines w:val="0"/>
              <w:suppressLineNumbers w:val="0"/>
              <w:spacing w:before="0" w:beforeAutospacing="0" w:after="0" w:afterAutospacing="0" w:line="560" w:lineRule="exact"/>
              <w:ind w:left="0" w:right="0"/>
              <w:rPr>
                <w:rFonts w:hint="default" w:ascii="宋体" w:hAnsi="宋体"/>
                <w:color w:val="auto"/>
                <w:szCs w:val="21"/>
                <w:highlight w:val="none"/>
              </w:rPr>
            </w:pPr>
            <w:r>
              <w:rPr>
                <w:rFonts w:hint="eastAsia" w:ascii="宋体" w:hAnsi="宋体"/>
                <w:color w:val="auto"/>
                <w:szCs w:val="21"/>
                <w:highlight w:val="none"/>
              </w:rPr>
              <w:t>投标地点</w:t>
            </w:r>
          </w:p>
        </w:tc>
        <w:tc>
          <w:tcPr>
            <w:tcW w:w="7297" w:type="dxa"/>
            <w:tcBorders>
              <w:top w:val="single" w:color="auto" w:sz="4" w:space="0"/>
              <w:left w:val="single" w:color="auto" w:sz="4" w:space="0"/>
              <w:bottom w:val="single" w:color="auto" w:sz="4" w:space="0"/>
              <w:right w:val="single" w:color="auto" w:sz="4" w:space="0"/>
            </w:tcBorders>
            <w:vAlign w:val="center"/>
          </w:tcPr>
          <w:p w14:paraId="1175C286">
            <w:pPr>
              <w:keepNext w:val="0"/>
              <w:keepLines w:val="0"/>
              <w:suppressLineNumbers w:val="0"/>
              <w:snapToGrid w:val="0"/>
              <w:spacing w:before="0" w:beforeAutospacing="0" w:after="0" w:afterAutospacing="0" w:line="560" w:lineRule="exact"/>
              <w:ind w:left="0" w:right="0"/>
              <w:rPr>
                <w:rFonts w:hint="default" w:ascii="宋体" w:hAnsi="宋体"/>
                <w:color w:val="auto"/>
                <w:szCs w:val="21"/>
                <w:highlight w:val="none"/>
              </w:rPr>
            </w:pPr>
            <w:r>
              <w:rPr>
                <w:rFonts w:hint="eastAsia" w:ascii="宋体" w:hAnsi="宋体"/>
                <w:color w:val="auto"/>
                <w:szCs w:val="21"/>
                <w:highlight w:val="none"/>
              </w:rPr>
              <w:t>详见招标公告</w:t>
            </w:r>
          </w:p>
        </w:tc>
      </w:tr>
      <w:tr w14:paraId="659D1D2B">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425" w:hRule="atLeast"/>
        </w:trPr>
        <w:tc>
          <w:tcPr>
            <w:tcW w:w="1065" w:type="dxa"/>
            <w:vMerge w:val="continue"/>
            <w:tcBorders>
              <w:top w:val="single" w:color="auto" w:sz="4" w:space="0"/>
              <w:left w:val="single" w:color="auto" w:sz="4" w:space="0"/>
              <w:bottom w:val="nil"/>
              <w:right w:val="single" w:color="auto" w:sz="4" w:space="0"/>
            </w:tcBorders>
            <w:vAlign w:val="center"/>
          </w:tcPr>
          <w:p w14:paraId="621FF88B">
            <w:pPr>
              <w:keepNext w:val="0"/>
              <w:keepLines w:val="0"/>
              <w:widowControl/>
              <w:suppressLineNumbers w:val="0"/>
              <w:spacing w:before="0" w:beforeAutospacing="0" w:after="0" w:afterAutospacing="0" w:line="560" w:lineRule="exact"/>
              <w:ind w:left="0" w:right="0"/>
              <w:jc w:val="left"/>
              <w:rPr>
                <w:rFonts w:hint="default" w:ascii="宋体" w:hAnsi="宋体"/>
                <w:color w:val="auto"/>
                <w:szCs w:val="21"/>
                <w:highlight w:val="none"/>
              </w:rPr>
            </w:pPr>
          </w:p>
        </w:tc>
        <w:tc>
          <w:tcPr>
            <w:tcW w:w="1878" w:type="dxa"/>
            <w:tcBorders>
              <w:top w:val="single" w:color="auto" w:sz="4" w:space="0"/>
              <w:left w:val="single" w:color="auto" w:sz="4" w:space="0"/>
              <w:bottom w:val="single" w:color="auto" w:sz="4" w:space="0"/>
              <w:right w:val="single" w:color="auto" w:sz="4" w:space="0"/>
            </w:tcBorders>
            <w:vAlign w:val="center"/>
          </w:tcPr>
          <w:p w14:paraId="15B3077A">
            <w:pPr>
              <w:keepNext w:val="0"/>
              <w:keepLines w:val="0"/>
              <w:suppressLineNumbers w:val="0"/>
              <w:spacing w:before="0" w:beforeAutospacing="0" w:after="0" w:afterAutospacing="0" w:line="560" w:lineRule="exact"/>
              <w:ind w:left="0" w:right="0"/>
              <w:rPr>
                <w:rFonts w:hint="default" w:ascii="宋体" w:hAnsi="宋体"/>
                <w:color w:val="auto"/>
                <w:szCs w:val="21"/>
                <w:highlight w:val="none"/>
              </w:rPr>
            </w:pPr>
            <w:r>
              <w:rPr>
                <w:rFonts w:hint="eastAsia" w:ascii="宋体" w:hAnsi="宋体"/>
                <w:color w:val="auto"/>
                <w:szCs w:val="21"/>
                <w:highlight w:val="none"/>
              </w:rPr>
              <w:t>投标人递交投标样品截止时间及地点</w:t>
            </w:r>
          </w:p>
        </w:tc>
        <w:tc>
          <w:tcPr>
            <w:tcW w:w="7297" w:type="dxa"/>
            <w:tcBorders>
              <w:top w:val="single" w:color="auto" w:sz="4" w:space="0"/>
              <w:left w:val="single" w:color="auto" w:sz="4" w:space="0"/>
              <w:bottom w:val="single" w:color="auto" w:sz="4" w:space="0"/>
              <w:right w:val="single" w:color="auto" w:sz="4" w:space="0"/>
            </w:tcBorders>
            <w:vAlign w:val="center"/>
          </w:tcPr>
          <w:p w14:paraId="55CAFBD0">
            <w:pPr>
              <w:keepNext w:val="0"/>
              <w:keepLines w:val="0"/>
              <w:suppressLineNumbers w:val="0"/>
              <w:snapToGrid w:val="0"/>
              <w:spacing w:before="0" w:beforeAutospacing="0" w:after="0" w:afterAutospacing="0" w:line="560" w:lineRule="exact"/>
              <w:ind w:left="0" w:right="0"/>
              <w:rPr>
                <w:rFonts w:hint="default" w:ascii="宋体" w:hAnsi="宋体"/>
                <w:color w:val="auto"/>
                <w:szCs w:val="21"/>
                <w:highlight w:val="none"/>
              </w:rPr>
            </w:pPr>
            <w:r>
              <w:rPr>
                <w:rFonts w:hint="eastAsia" w:ascii="宋体" w:hAnsi="宋体"/>
                <w:color w:val="auto"/>
                <w:szCs w:val="21"/>
                <w:highlight w:val="none"/>
              </w:rPr>
              <w:t>无样品</w:t>
            </w:r>
          </w:p>
        </w:tc>
      </w:tr>
      <w:tr w14:paraId="7044F550">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c>
          <w:tcPr>
            <w:tcW w:w="1065" w:type="dxa"/>
            <w:tcBorders>
              <w:top w:val="single" w:color="auto" w:sz="4" w:space="0"/>
              <w:left w:val="single" w:color="auto" w:sz="4" w:space="0"/>
              <w:bottom w:val="single" w:color="auto" w:sz="4" w:space="0"/>
              <w:right w:val="single" w:color="auto" w:sz="4" w:space="0"/>
            </w:tcBorders>
            <w:vAlign w:val="center"/>
          </w:tcPr>
          <w:p w14:paraId="0209ABC1">
            <w:pPr>
              <w:keepNext w:val="0"/>
              <w:keepLines w:val="0"/>
              <w:suppressLineNumbers w:val="0"/>
              <w:spacing w:before="0" w:beforeAutospacing="0" w:after="0" w:afterAutospacing="0" w:line="560" w:lineRule="exact"/>
              <w:ind w:left="0" w:right="0"/>
              <w:rPr>
                <w:rFonts w:hint="default" w:ascii="宋体" w:hAnsi="宋体"/>
                <w:color w:val="auto"/>
                <w:szCs w:val="21"/>
                <w:highlight w:val="none"/>
              </w:rPr>
            </w:pPr>
            <w:r>
              <w:rPr>
                <w:rFonts w:hint="eastAsia" w:ascii="宋体" w:hAnsi="宋体"/>
                <w:color w:val="auto"/>
                <w:szCs w:val="21"/>
                <w:highlight w:val="none"/>
              </w:rPr>
              <w:t>23</w:t>
            </w:r>
          </w:p>
        </w:tc>
        <w:tc>
          <w:tcPr>
            <w:tcW w:w="1878" w:type="dxa"/>
            <w:tcBorders>
              <w:top w:val="single" w:color="auto" w:sz="4" w:space="0"/>
              <w:left w:val="single" w:color="auto" w:sz="4" w:space="0"/>
              <w:bottom w:val="single" w:color="auto" w:sz="4" w:space="0"/>
              <w:right w:val="single" w:color="auto" w:sz="4" w:space="0"/>
            </w:tcBorders>
            <w:vAlign w:val="center"/>
          </w:tcPr>
          <w:p w14:paraId="6E35A40E">
            <w:pPr>
              <w:keepNext w:val="0"/>
              <w:keepLines w:val="0"/>
              <w:suppressLineNumbers w:val="0"/>
              <w:spacing w:before="0" w:beforeAutospacing="0" w:after="0" w:afterAutospacing="0" w:line="560" w:lineRule="exact"/>
              <w:ind w:left="0" w:right="0"/>
              <w:rPr>
                <w:rFonts w:hint="default" w:ascii="宋体" w:hAnsi="宋体"/>
                <w:color w:val="auto"/>
                <w:szCs w:val="21"/>
                <w:highlight w:val="none"/>
              </w:rPr>
            </w:pPr>
            <w:bookmarkStart w:id="46" w:name="_23"/>
            <w:bookmarkEnd w:id="46"/>
            <w:r>
              <w:rPr>
                <w:rFonts w:hint="eastAsia" w:ascii="宋体" w:hAnsi="宋体"/>
                <w:color w:val="auto"/>
                <w:szCs w:val="21"/>
                <w:highlight w:val="none"/>
              </w:rPr>
              <w:t>开标时间、地点</w:t>
            </w:r>
          </w:p>
        </w:tc>
        <w:tc>
          <w:tcPr>
            <w:tcW w:w="7297" w:type="dxa"/>
            <w:tcBorders>
              <w:top w:val="single" w:color="auto" w:sz="4" w:space="0"/>
              <w:left w:val="single" w:color="auto" w:sz="4" w:space="0"/>
              <w:bottom w:val="single" w:color="auto" w:sz="4" w:space="0"/>
              <w:right w:val="single" w:color="auto" w:sz="4" w:space="0"/>
            </w:tcBorders>
            <w:vAlign w:val="center"/>
          </w:tcPr>
          <w:p w14:paraId="32C30F11">
            <w:pPr>
              <w:keepNext w:val="0"/>
              <w:keepLines w:val="0"/>
              <w:suppressLineNumbers w:val="0"/>
              <w:snapToGrid w:val="0"/>
              <w:spacing w:before="0" w:beforeAutospacing="0" w:after="0" w:afterAutospacing="0" w:line="560" w:lineRule="exact"/>
              <w:ind w:left="0" w:right="0"/>
              <w:rPr>
                <w:rFonts w:hint="default" w:ascii="宋体" w:hAnsi="宋体"/>
                <w:color w:val="auto"/>
                <w:szCs w:val="21"/>
                <w:highlight w:val="none"/>
              </w:rPr>
            </w:pPr>
            <w:r>
              <w:rPr>
                <w:rFonts w:hint="eastAsia" w:ascii="宋体" w:hAnsi="宋体"/>
                <w:color w:val="auto"/>
                <w:szCs w:val="21"/>
                <w:highlight w:val="none"/>
              </w:rPr>
              <w:t xml:space="preserve">详见招标公告 </w:t>
            </w:r>
          </w:p>
        </w:tc>
      </w:tr>
      <w:tr w14:paraId="332B3B17">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1287" w:hRule="atLeast"/>
        </w:trPr>
        <w:tc>
          <w:tcPr>
            <w:tcW w:w="1065" w:type="dxa"/>
            <w:vMerge w:val="restart"/>
            <w:tcBorders>
              <w:top w:val="single" w:color="auto" w:sz="4" w:space="0"/>
              <w:left w:val="single" w:color="auto" w:sz="4" w:space="0"/>
              <w:bottom w:val="single" w:color="auto" w:sz="4" w:space="0"/>
              <w:right w:val="single" w:color="auto" w:sz="4" w:space="0"/>
            </w:tcBorders>
            <w:vAlign w:val="center"/>
          </w:tcPr>
          <w:p w14:paraId="106F15E1">
            <w:pPr>
              <w:keepNext w:val="0"/>
              <w:keepLines w:val="0"/>
              <w:suppressLineNumbers w:val="0"/>
              <w:spacing w:before="0" w:beforeAutospacing="0" w:after="0" w:afterAutospacing="0" w:line="560" w:lineRule="exact"/>
              <w:ind w:left="0" w:right="0"/>
              <w:rPr>
                <w:rFonts w:hint="default" w:ascii="宋体" w:hAnsi="宋体"/>
                <w:color w:val="auto"/>
                <w:szCs w:val="21"/>
                <w:highlight w:val="none"/>
              </w:rPr>
            </w:pPr>
            <w:r>
              <w:rPr>
                <w:rFonts w:hint="eastAsia" w:ascii="宋体" w:hAnsi="宋体"/>
                <w:color w:val="auto"/>
                <w:szCs w:val="21"/>
                <w:highlight w:val="none"/>
              </w:rPr>
              <w:t>25.3（2）</w:t>
            </w:r>
          </w:p>
        </w:tc>
        <w:tc>
          <w:tcPr>
            <w:tcW w:w="1878" w:type="dxa"/>
            <w:tcBorders>
              <w:top w:val="single" w:color="auto" w:sz="4" w:space="0"/>
              <w:left w:val="single" w:color="auto" w:sz="4" w:space="0"/>
              <w:bottom w:val="single" w:color="auto" w:sz="4" w:space="0"/>
              <w:right w:val="single" w:color="auto" w:sz="4" w:space="0"/>
            </w:tcBorders>
            <w:vAlign w:val="center"/>
          </w:tcPr>
          <w:p w14:paraId="122BF24E">
            <w:pPr>
              <w:keepNext w:val="0"/>
              <w:keepLines w:val="0"/>
              <w:suppressLineNumbers w:val="0"/>
              <w:spacing w:before="0" w:beforeAutospacing="0" w:after="0" w:afterAutospacing="0" w:line="560" w:lineRule="exact"/>
              <w:ind w:left="0" w:right="0"/>
              <w:rPr>
                <w:rFonts w:hint="default" w:ascii="宋体" w:hAnsi="宋体"/>
                <w:color w:val="auto"/>
                <w:szCs w:val="21"/>
                <w:highlight w:val="none"/>
              </w:rPr>
            </w:pPr>
            <w:bookmarkStart w:id="47" w:name="_25.3"/>
            <w:bookmarkEnd w:id="47"/>
            <w:r>
              <w:rPr>
                <w:rFonts w:hint="eastAsia" w:ascii="宋体" w:hAnsi="宋体"/>
                <w:color w:val="auto"/>
                <w:szCs w:val="21"/>
                <w:highlight w:val="none"/>
              </w:rPr>
              <w:t>投标人信用查询渠道</w:t>
            </w:r>
          </w:p>
        </w:tc>
        <w:tc>
          <w:tcPr>
            <w:tcW w:w="7297" w:type="dxa"/>
            <w:tcBorders>
              <w:top w:val="single" w:color="auto" w:sz="4" w:space="0"/>
              <w:left w:val="single" w:color="auto" w:sz="4" w:space="0"/>
              <w:bottom w:val="single" w:color="auto" w:sz="4" w:space="0"/>
              <w:right w:val="single" w:color="auto" w:sz="4" w:space="0"/>
            </w:tcBorders>
            <w:vAlign w:val="center"/>
          </w:tcPr>
          <w:p w14:paraId="7AC45F29">
            <w:pPr>
              <w:keepNext w:val="0"/>
              <w:keepLines w:val="0"/>
              <w:suppressLineNumbers w:val="0"/>
              <w:snapToGrid w:val="0"/>
              <w:spacing w:before="0" w:beforeAutospacing="0" w:after="0" w:afterAutospacing="0" w:line="560" w:lineRule="exact"/>
              <w:ind w:left="0" w:right="0"/>
              <w:rPr>
                <w:rFonts w:hint="default" w:ascii="宋体" w:hAnsi="宋体"/>
                <w:color w:val="auto"/>
                <w:szCs w:val="21"/>
                <w:highlight w:val="none"/>
              </w:rPr>
            </w:pPr>
            <w:r>
              <w:rPr>
                <w:rFonts w:hint="eastAsia" w:ascii="宋体" w:hAnsi="宋体"/>
                <w:color w:val="auto"/>
                <w:szCs w:val="21"/>
                <w:highlight w:val="none"/>
              </w:rPr>
              <w:t>采购人或者采购代理机构在资格审查结束前，对投标人进行信用查询。</w:t>
            </w:r>
          </w:p>
          <w:p w14:paraId="1EB69DB6">
            <w:pPr>
              <w:keepNext w:val="0"/>
              <w:keepLines w:val="0"/>
              <w:suppressLineNumbers w:val="0"/>
              <w:snapToGrid w:val="0"/>
              <w:spacing w:before="0" w:beforeAutospacing="0" w:after="0" w:afterAutospacing="0" w:line="560" w:lineRule="exact"/>
              <w:ind w:left="0" w:right="0"/>
              <w:rPr>
                <w:rFonts w:hint="default" w:ascii="宋体" w:hAnsi="宋体"/>
                <w:color w:val="auto"/>
                <w:szCs w:val="21"/>
                <w:highlight w:val="none"/>
              </w:rPr>
            </w:pPr>
            <w:r>
              <w:rPr>
                <w:rFonts w:hint="eastAsia" w:ascii="宋体" w:hAnsi="宋体"/>
                <w:color w:val="auto"/>
                <w:szCs w:val="21"/>
                <w:highlight w:val="none"/>
              </w:rPr>
              <w:t>查询渠道：“信用中国”网站(www.creditchina.gov.cn) 、中国政府采购网(www.ccgp.gov.cn)。</w:t>
            </w:r>
          </w:p>
        </w:tc>
      </w:tr>
      <w:tr w14:paraId="2452F293">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643" w:hRule="atLeast"/>
        </w:trPr>
        <w:tc>
          <w:tcPr>
            <w:tcW w:w="1065" w:type="dxa"/>
            <w:vMerge w:val="continue"/>
            <w:tcBorders>
              <w:top w:val="single" w:color="auto" w:sz="4" w:space="0"/>
              <w:left w:val="single" w:color="auto" w:sz="4" w:space="0"/>
              <w:bottom w:val="single" w:color="auto" w:sz="4" w:space="0"/>
              <w:right w:val="single" w:color="auto" w:sz="4" w:space="0"/>
            </w:tcBorders>
            <w:vAlign w:val="center"/>
          </w:tcPr>
          <w:p w14:paraId="0DFC31CC">
            <w:pPr>
              <w:keepNext w:val="0"/>
              <w:keepLines w:val="0"/>
              <w:widowControl/>
              <w:suppressLineNumbers w:val="0"/>
              <w:spacing w:before="0" w:beforeAutospacing="0" w:after="0" w:afterAutospacing="0" w:line="560" w:lineRule="exact"/>
              <w:ind w:left="0" w:right="0"/>
              <w:jc w:val="left"/>
              <w:rPr>
                <w:rFonts w:hint="default" w:ascii="宋体" w:hAnsi="宋体"/>
                <w:color w:val="auto"/>
                <w:szCs w:val="21"/>
                <w:highlight w:val="none"/>
              </w:rPr>
            </w:pPr>
          </w:p>
        </w:tc>
        <w:tc>
          <w:tcPr>
            <w:tcW w:w="1878" w:type="dxa"/>
            <w:tcBorders>
              <w:top w:val="single" w:color="auto" w:sz="4" w:space="0"/>
              <w:left w:val="single" w:color="auto" w:sz="4" w:space="0"/>
              <w:bottom w:val="single" w:color="auto" w:sz="4" w:space="0"/>
              <w:right w:val="single" w:color="auto" w:sz="4" w:space="0"/>
            </w:tcBorders>
            <w:vAlign w:val="center"/>
          </w:tcPr>
          <w:p w14:paraId="40A5B03C">
            <w:pPr>
              <w:keepNext w:val="0"/>
              <w:keepLines w:val="0"/>
              <w:suppressLineNumbers w:val="0"/>
              <w:spacing w:before="0" w:beforeAutospacing="0" w:after="0" w:afterAutospacing="0" w:line="560" w:lineRule="exact"/>
              <w:ind w:left="0" w:right="0"/>
              <w:rPr>
                <w:rFonts w:hint="default" w:ascii="宋体" w:hAnsi="宋体"/>
                <w:color w:val="auto"/>
                <w:szCs w:val="21"/>
                <w:highlight w:val="none"/>
              </w:rPr>
            </w:pPr>
            <w:r>
              <w:rPr>
                <w:rFonts w:hint="eastAsia" w:ascii="宋体" w:hAnsi="宋体"/>
                <w:color w:val="auto"/>
                <w:szCs w:val="21"/>
                <w:highlight w:val="none"/>
              </w:rPr>
              <w:t>信用查询截止时点</w:t>
            </w:r>
          </w:p>
        </w:tc>
        <w:tc>
          <w:tcPr>
            <w:tcW w:w="7297" w:type="dxa"/>
            <w:tcBorders>
              <w:top w:val="single" w:color="auto" w:sz="4" w:space="0"/>
              <w:left w:val="single" w:color="auto" w:sz="4" w:space="0"/>
              <w:bottom w:val="single" w:color="auto" w:sz="4" w:space="0"/>
              <w:right w:val="single" w:color="auto" w:sz="4" w:space="0"/>
            </w:tcBorders>
            <w:vAlign w:val="center"/>
          </w:tcPr>
          <w:p w14:paraId="2F9076E0">
            <w:pPr>
              <w:keepNext w:val="0"/>
              <w:keepLines w:val="0"/>
              <w:suppressLineNumbers w:val="0"/>
              <w:snapToGrid w:val="0"/>
              <w:spacing w:before="0" w:beforeAutospacing="0" w:after="0" w:afterAutospacing="0" w:line="560" w:lineRule="exact"/>
              <w:ind w:left="0" w:right="0"/>
              <w:rPr>
                <w:rFonts w:hint="default" w:ascii="宋体" w:hAnsi="宋体"/>
                <w:color w:val="auto"/>
                <w:szCs w:val="21"/>
                <w:highlight w:val="none"/>
              </w:rPr>
            </w:pPr>
            <w:r>
              <w:rPr>
                <w:rFonts w:hint="eastAsia" w:ascii="宋体" w:hAnsi="宋体"/>
                <w:color w:val="auto"/>
                <w:szCs w:val="21"/>
                <w:highlight w:val="none"/>
              </w:rPr>
              <w:t>资格审查结束前</w:t>
            </w:r>
          </w:p>
        </w:tc>
      </w:tr>
      <w:tr w14:paraId="5A3CD7AF">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708" w:hRule="atLeast"/>
        </w:trPr>
        <w:tc>
          <w:tcPr>
            <w:tcW w:w="1065" w:type="dxa"/>
            <w:vMerge w:val="continue"/>
            <w:tcBorders>
              <w:top w:val="single" w:color="auto" w:sz="4" w:space="0"/>
              <w:left w:val="single" w:color="auto" w:sz="4" w:space="0"/>
              <w:bottom w:val="single" w:color="auto" w:sz="4" w:space="0"/>
              <w:right w:val="single" w:color="auto" w:sz="4" w:space="0"/>
            </w:tcBorders>
            <w:vAlign w:val="center"/>
          </w:tcPr>
          <w:p w14:paraId="15E0E766">
            <w:pPr>
              <w:keepNext w:val="0"/>
              <w:keepLines w:val="0"/>
              <w:widowControl/>
              <w:suppressLineNumbers w:val="0"/>
              <w:spacing w:before="0" w:beforeAutospacing="0" w:after="0" w:afterAutospacing="0" w:line="560" w:lineRule="exact"/>
              <w:ind w:left="0" w:right="0"/>
              <w:jc w:val="left"/>
              <w:rPr>
                <w:rFonts w:hint="default" w:ascii="宋体" w:hAnsi="宋体"/>
                <w:color w:val="auto"/>
                <w:szCs w:val="21"/>
                <w:highlight w:val="none"/>
              </w:rPr>
            </w:pPr>
          </w:p>
        </w:tc>
        <w:tc>
          <w:tcPr>
            <w:tcW w:w="1878" w:type="dxa"/>
            <w:tcBorders>
              <w:top w:val="single" w:color="auto" w:sz="4" w:space="0"/>
              <w:left w:val="single" w:color="auto" w:sz="4" w:space="0"/>
              <w:bottom w:val="single" w:color="auto" w:sz="4" w:space="0"/>
              <w:right w:val="single" w:color="auto" w:sz="4" w:space="0"/>
            </w:tcBorders>
            <w:vAlign w:val="center"/>
          </w:tcPr>
          <w:p w14:paraId="3FDB4762">
            <w:pPr>
              <w:keepNext w:val="0"/>
              <w:keepLines w:val="0"/>
              <w:suppressLineNumbers w:val="0"/>
              <w:spacing w:before="0" w:beforeAutospacing="0" w:after="0" w:afterAutospacing="0" w:line="560" w:lineRule="exact"/>
              <w:ind w:left="0" w:right="0"/>
              <w:rPr>
                <w:rFonts w:hint="default" w:ascii="宋体" w:hAnsi="宋体"/>
                <w:color w:val="auto"/>
                <w:szCs w:val="21"/>
                <w:highlight w:val="none"/>
              </w:rPr>
            </w:pPr>
            <w:r>
              <w:rPr>
                <w:rFonts w:hint="eastAsia" w:ascii="宋体" w:hAnsi="宋体"/>
                <w:color w:val="auto"/>
                <w:szCs w:val="21"/>
                <w:highlight w:val="none"/>
              </w:rPr>
              <w:t>查询记录和证据留存方式</w:t>
            </w:r>
          </w:p>
        </w:tc>
        <w:tc>
          <w:tcPr>
            <w:tcW w:w="7297" w:type="dxa"/>
            <w:tcBorders>
              <w:top w:val="single" w:color="auto" w:sz="4" w:space="0"/>
              <w:left w:val="single" w:color="auto" w:sz="4" w:space="0"/>
              <w:bottom w:val="single" w:color="auto" w:sz="4" w:space="0"/>
              <w:right w:val="single" w:color="auto" w:sz="4" w:space="0"/>
            </w:tcBorders>
            <w:vAlign w:val="center"/>
          </w:tcPr>
          <w:p w14:paraId="14168DC4">
            <w:pPr>
              <w:keepNext w:val="0"/>
              <w:keepLines w:val="0"/>
              <w:suppressLineNumbers w:val="0"/>
              <w:snapToGrid w:val="0"/>
              <w:spacing w:before="0" w:beforeAutospacing="0" w:after="0" w:afterAutospacing="0" w:line="560" w:lineRule="exact"/>
              <w:ind w:left="0" w:right="0"/>
              <w:rPr>
                <w:rFonts w:hint="default" w:ascii="宋体" w:hAnsi="宋体"/>
                <w:color w:val="auto"/>
                <w:szCs w:val="21"/>
                <w:highlight w:val="none"/>
              </w:rPr>
            </w:pPr>
            <w:r>
              <w:rPr>
                <w:rFonts w:hint="eastAsia" w:ascii="宋体" w:hAnsi="宋体"/>
                <w:color w:val="auto"/>
                <w:szCs w:val="21"/>
                <w:highlight w:val="none"/>
              </w:rPr>
              <w:t>在查询网站中直接截图查询记录，截图作为在“广西政府采购云”平台作为附件上传保存。</w:t>
            </w:r>
          </w:p>
        </w:tc>
      </w:tr>
      <w:tr w14:paraId="1736775E">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840" w:hRule="atLeast"/>
        </w:trPr>
        <w:tc>
          <w:tcPr>
            <w:tcW w:w="1065" w:type="dxa"/>
            <w:vMerge w:val="continue"/>
            <w:tcBorders>
              <w:top w:val="single" w:color="auto" w:sz="4" w:space="0"/>
              <w:left w:val="single" w:color="auto" w:sz="4" w:space="0"/>
              <w:bottom w:val="single" w:color="auto" w:sz="4" w:space="0"/>
              <w:right w:val="single" w:color="auto" w:sz="4" w:space="0"/>
            </w:tcBorders>
            <w:vAlign w:val="center"/>
          </w:tcPr>
          <w:p w14:paraId="646E6752">
            <w:pPr>
              <w:keepNext w:val="0"/>
              <w:keepLines w:val="0"/>
              <w:widowControl/>
              <w:suppressLineNumbers w:val="0"/>
              <w:spacing w:before="0" w:beforeAutospacing="0" w:after="0" w:afterAutospacing="0" w:line="560" w:lineRule="exact"/>
              <w:ind w:left="0" w:right="0"/>
              <w:jc w:val="left"/>
              <w:rPr>
                <w:rFonts w:hint="default" w:ascii="宋体" w:hAnsi="宋体"/>
                <w:color w:val="auto"/>
                <w:szCs w:val="21"/>
                <w:highlight w:val="none"/>
              </w:rPr>
            </w:pPr>
          </w:p>
        </w:tc>
        <w:tc>
          <w:tcPr>
            <w:tcW w:w="1878" w:type="dxa"/>
            <w:tcBorders>
              <w:top w:val="single" w:color="auto" w:sz="4" w:space="0"/>
              <w:left w:val="single" w:color="auto" w:sz="4" w:space="0"/>
              <w:bottom w:val="single" w:color="auto" w:sz="4" w:space="0"/>
              <w:right w:val="single" w:color="auto" w:sz="4" w:space="0"/>
            </w:tcBorders>
            <w:vAlign w:val="center"/>
          </w:tcPr>
          <w:p w14:paraId="1AA80BAF">
            <w:pPr>
              <w:keepNext w:val="0"/>
              <w:keepLines w:val="0"/>
              <w:suppressLineNumbers w:val="0"/>
              <w:spacing w:before="0" w:beforeAutospacing="0" w:after="0" w:afterAutospacing="0" w:line="560" w:lineRule="exact"/>
              <w:ind w:left="0" w:right="0"/>
              <w:rPr>
                <w:rFonts w:hint="default" w:ascii="宋体" w:hAnsi="宋体"/>
                <w:color w:val="auto"/>
                <w:szCs w:val="21"/>
                <w:highlight w:val="none"/>
              </w:rPr>
            </w:pPr>
            <w:r>
              <w:rPr>
                <w:rFonts w:hint="eastAsia" w:ascii="宋体" w:hAnsi="宋体"/>
                <w:color w:val="auto"/>
                <w:szCs w:val="21"/>
                <w:highlight w:val="none"/>
              </w:rPr>
              <w:t>信用信息使用规则</w:t>
            </w:r>
          </w:p>
        </w:tc>
        <w:tc>
          <w:tcPr>
            <w:tcW w:w="7297" w:type="dxa"/>
            <w:tcBorders>
              <w:top w:val="single" w:color="auto" w:sz="4" w:space="0"/>
              <w:left w:val="single" w:color="auto" w:sz="4" w:space="0"/>
              <w:bottom w:val="single" w:color="auto" w:sz="4" w:space="0"/>
              <w:right w:val="single" w:color="auto" w:sz="4" w:space="0"/>
            </w:tcBorders>
            <w:vAlign w:val="center"/>
          </w:tcPr>
          <w:p w14:paraId="405FFB8D">
            <w:pPr>
              <w:keepNext w:val="0"/>
              <w:keepLines w:val="0"/>
              <w:suppressLineNumbers w:val="0"/>
              <w:snapToGrid w:val="0"/>
              <w:spacing w:before="0" w:beforeAutospacing="0" w:after="0" w:afterAutospacing="0" w:line="560" w:lineRule="exact"/>
              <w:ind w:left="0" w:right="0"/>
              <w:rPr>
                <w:rFonts w:hint="default" w:ascii="宋体" w:hAnsi="宋体"/>
                <w:color w:val="auto"/>
                <w:szCs w:val="21"/>
                <w:highlight w:val="none"/>
              </w:rPr>
            </w:pPr>
            <w:r>
              <w:rPr>
                <w:rFonts w:hint="eastAsia" w:ascii="宋体" w:hAnsi="宋体"/>
                <w:color w:val="auto"/>
                <w:szCs w:val="21"/>
                <w:highlight w:val="none"/>
              </w:rPr>
              <w:t>对在“信用中国”网站(www.creditchina.gov.cn) 、中国政府采购网(www.ccgp.gov.cn)被列入失信被执行人、重大税收违法失信主体、政府采购严重违法失信行为记录名单及其他不符合《中华人民共和国政府采购法》第二十二条规定条件的供应商，采购人或者采购代理机构</w:t>
            </w:r>
            <w:r>
              <w:rPr>
                <w:rFonts w:hint="eastAsia"/>
                <w:color w:val="auto"/>
                <w:sz w:val="22"/>
                <w:szCs w:val="22"/>
                <w:highlight w:val="none"/>
              </w:rPr>
              <w:t>应当拒绝其参与政府采购活动</w:t>
            </w:r>
            <w:r>
              <w:rPr>
                <w:rFonts w:hint="eastAsia" w:ascii="宋体" w:hAnsi="宋体"/>
                <w:color w:val="auto"/>
                <w:szCs w:val="21"/>
                <w:highlight w:val="none"/>
              </w:rPr>
              <w:t>。两个以上的自然人、法人或者其他组织组成一个联合体，以一个供应商的身份共同参加政府采购活动的，应当对所有联合体成员进行信用记录查询，联合体成员存在不良信用记录的，视同联合体存在不良信用记录。</w:t>
            </w:r>
          </w:p>
        </w:tc>
      </w:tr>
      <w:tr w14:paraId="201548E5">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c>
          <w:tcPr>
            <w:tcW w:w="1065" w:type="dxa"/>
            <w:tcBorders>
              <w:top w:val="single" w:color="auto" w:sz="4" w:space="0"/>
              <w:left w:val="single" w:color="auto" w:sz="4" w:space="0"/>
              <w:bottom w:val="single" w:color="auto" w:sz="4" w:space="0"/>
              <w:right w:val="single" w:color="auto" w:sz="4" w:space="0"/>
            </w:tcBorders>
            <w:vAlign w:val="center"/>
          </w:tcPr>
          <w:p w14:paraId="2BE96978">
            <w:pPr>
              <w:keepNext w:val="0"/>
              <w:keepLines w:val="0"/>
              <w:suppressLineNumbers w:val="0"/>
              <w:spacing w:before="0" w:beforeAutospacing="0" w:after="0" w:afterAutospacing="0" w:line="560" w:lineRule="exact"/>
              <w:ind w:left="0" w:right="0"/>
              <w:rPr>
                <w:rFonts w:hint="default" w:ascii="宋体" w:hAnsi="宋体"/>
                <w:color w:val="auto"/>
                <w:szCs w:val="21"/>
                <w:highlight w:val="none"/>
              </w:rPr>
            </w:pPr>
            <w:r>
              <w:rPr>
                <w:rFonts w:hint="eastAsia" w:ascii="宋体" w:hAnsi="宋体"/>
                <w:color w:val="auto"/>
                <w:szCs w:val="21"/>
                <w:highlight w:val="none"/>
              </w:rPr>
              <w:t>29.1</w:t>
            </w:r>
          </w:p>
        </w:tc>
        <w:tc>
          <w:tcPr>
            <w:tcW w:w="1878" w:type="dxa"/>
            <w:tcBorders>
              <w:top w:val="single" w:color="auto" w:sz="4" w:space="0"/>
              <w:left w:val="single" w:color="auto" w:sz="4" w:space="0"/>
              <w:bottom w:val="single" w:color="auto" w:sz="4" w:space="0"/>
              <w:right w:val="single" w:color="auto" w:sz="4" w:space="0"/>
            </w:tcBorders>
            <w:vAlign w:val="center"/>
          </w:tcPr>
          <w:p w14:paraId="020944EA">
            <w:pPr>
              <w:keepNext w:val="0"/>
              <w:keepLines w:val="0"/>
              <w:suppressLineNumbers w:val="0"/>
              <w:spacing w:before="0" w:beforeAutospacing="0" w:after="0" w:afterAutospacing="0" w:line="560" w:lineRule="exact"/>
              <w:ind w:left="0" w:right="0"/>
              <w:rPr>
                <w:rFonts w:hint="default" w:ascii="宋体" w:hAnsi="宋体"/>
                <w:color w:val="auto"/>
                <w:szCs w:val="21"/>
                <w:highlight w:val="none"/>
              </w:rPr>
            </w:pPr>
            <w:bookmarkStart w:id="48" w:name="_26"/>
            <w:bookmarkEnd w:id="48"/>
            <w:bookmarkStart w:id="49" w:name="_28.3"/>
            <w:bookmarkEnd w:id="49"/>
            <w:r>
              <w:rPr>
                <w:rFonts w:hint="eastAsia" w:ascii="宋体" w:hAnsi="宋体"/>
                <w:color w:val="auto"/>
                <w:szCs w:val="21"/>
                <w:highlight w:val="none"/>
              </w:rPr>
              <w:t>评标方法</w:t>
            </w:r>
          </w:p>
        </w:tc>
        <w:tc>
          <w:tcPr>
            <w:tcW w:w="7297" w:type="dxa"/>
            <w:tcBorders>
              <w:top w:val="single" w:color="auto" w:sz="4" w:space="0"/>
              <w:left w:val="single" w:color="auto" w:sz="4" w:space="0"/>
              <w:bottom w:val="single" w:color="auto" w:sz="4" w:space="0"/>
              <w:right w:val="single" w:color="auto" w:sz="4" w:space="0"/>
            </w:tcBorders>
            <w:vAlign w:val="center"/>
          </w:tcPr>
          <w:p w14:paraId="41665137">
            <w:pPr>
              <w:keepNext w:val="0"/>
              <w:keepLines w:val="0"/>
              <w:suppressLineNumbers w:val="0"/>
              <w:autoSpaceDE w:val="0"/>
              <w:autoSpaceDN w:val="0"/>
              <w:snapToGrid w:val="0"/>
              <w:spacing w:before="0" w:beforeAutospacing="0" w:after="0" w:afterAutospacing="0" w:line="560" w:lineRule="exact"/>
              <w:ind w:left="0" w:right="0"/>
              <w:textAlignment w:val="bottom"/>
              <w:rPr>
                <w:rFonts w:hint="default" w:ascii="宋体" w:hAnsi="宋体"/>
                <w:color w:val="auto"/>
                <w:szCs w:val="21"/>
                <w:highlight w:val="none"/>
              </w:rPr>
            </w:pPr>
            <w:r>
              <w:rPr>
                <w:rFonts w:hint="eastAsia" w:ascii="宋体" w:hAnsi="宋体"/>
                <w:color w:val="auto"/>
                <w:szCs w:val="21"/>
                <w:highlight w:val="none"/>
              </w:rPr>
              <w:t>√综合评分法</w:t>
            </w:r>
          </w:p>
          <w:p w14:paraId="386E6E87">
            <w:pPr>
              <w:keepNext w:val="0"/>
              <w:keepLines w:val="0"/>
              <w:suppressLineNumbers w:val="0"/>
              <w:autoSpaceDE w:val="0"/>
              <w:autoSpaceDN w:val="0"/>
              <w:snapToGrid w:val="0"/>
              <w:spacing w:before="0" w:beforeAutospacing="0" w:after="0" w:afterAutospacing="0" w:line="560" w:lineRule="exact"/>
              <w:ind w:left="0" w:right="0"/>
              <w:textAlignment w:val="bottom"/>
              <w:rPr>
                <w:rFonts w:hint="default" w:ascii="宋体" w:hAnsi="宋体"/>
                <w:color w:val="auto"/>
                <w:szCs w:val="21"/>
                <w:highlight w:val="none"/>
              </w:rPr>
            </w:pPr>
            <w:r>
              <w:rPr>
                <w:rFonts w:hint="eastAsia" w:ascii="宋体" w:hAnsi="宋体"/>
                <w:color w:val="auto"/>
                <w:szCs w:val="21"/>
                <w:highlight w:val="none"/>
              </w:rPr>
              <w:t>□最低评标价法</w:t>
            </w:r>
          </w:p>
        </w:tc>
      </w:tr>
      <w:tr w14:paraId="3AF9FCDF">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634" w:hRule="atLeast"/>
        </w:trPr>
        <w:tc>
          <w:tcPr>
            <w:tcW w:w="1065" w:type="dxa"/>
            <w:tcBorders>
              <w:top w:val="single" w:color="auto" w:sz="4" w:space="0"/>
              <w:left w:val="single" w:color="auto" w:sz="4" w:space="0"/>
              <w:bottom w:val="nil"/>
              <w:right w:val="single" w:color="auto" w:sz="4" w:space="0"/>
            </w:tcBorders>
            <w:vAlign w:val="center"/>
          </w:tcPr>
          <w:p w14:paraId="71A89729">
            <w:pPr>
              <w:keepNext w:val="0"/>
              <w:keepLines w:val="0"/>
              <w:suppressLineNumbers w:val="0"/>
              <w:spacing w:before="0" w:beforeAutospacing="0" w:after="0" w:afterAutospacing="0" w:line="560" w:lineRule="exact"/>
              <w:ind w:left="0" w:right="0"/>
              <w:rPr>
                <w:rFonts w:hint="default" w:ascii="宋体" w:hAnsi="宋体"/>
                <w:color w:val="auto"/>
                <w:szCs w:val="21"/>
                <w:highlight w:val="none"/>
              </w:rPr>
            </w:pPr>
            <w:r>
              <w:rPr>
                <w:rFonts w:hint="eastAsia" w:ascii="宋体" w:hAnsi="宋体"/>
                <w:color w:val="auto"/>
                <w:szCs w:val="21"/>
                <w:highlight w:val="none"/>
              </w:rPr>
              <w:t>29.2</w:t>
            </w:r>
          </w:p>
        </w:tc>
        <w:tc>
          <w:tcPr>
            <w:tcW w:w="1878" w:type="dxa"/>
            <w:tcBorders>
              <w:top w:val="single" w:color="auto" w:sz="4" w:space="0"/>
              <w:left w:val="single" w:color="auto" w:sz="4" w:space="0"/>
              <w:bottom w:val="nil"/>
              <w:right w:val="single" w:color="auto" w:sz="4" w:space="0"/>
            </w:tcBorders>
            <w:vAlign w:val="center"/>
          </w:tcPr>
          <w:p w14:paraId="31CD0664">
            <w:pPr>
              <w:keepNext w:val="0"/>
              <w:keepLines w:val="0"/>
              <w:suppressLineNumbers w:val="0"/>
              <w:spacing w:before="0" w:beforeAutospacing="0" w:after="0" w:afterAutospacing="0" w:line="560" w:lineRule="exact"/>
              <w:ind w:left="0" w:right="0"/>
              <w:rPr>
                <w:rFonts w:hint="default" w:ascii="宋体" w:hAnsi="宋体"/>
                <w:color w:val="auto"/>
                <w:szCs w:val="21"/>
                <w:highlight w:val="none"/>
              </w:rPr>
            </w:pPr>
            <w:bookmarkStart w:id="50" w:name="_29.2.2（2）"/>
            <w:bookmarkEnd w:id="50"/>
            <w:r>
              <w:rPr>
                <w:rFonts w:hint="eastAsia" w:ascii="宋体" w:hAnsi="宋体"/>
                <w:color w:val="auto"/>
                <w:szCs w:val="21"/>
                <w:highlight w:val="none"/>
              </w:rPr>
              <w:t>允许负偏离项</w:t>
            </w:r>
          </w:p>
        </w:tc>
        <w:tc>
          <w:tcPr>
            <w:tcW w:w="7297" w:type="dxa"/>
            <w:tcBorders>
              <w:top w:val="single" w:color="auto" w:sz="4" w:space="0"/>
              <w:left w:val="single" w:color="auto" w:sz="4" w:space="0"/>
              <w:bottom w:val="nil"/>
              <w:right w:val="single" w:color="auto" w:sz="4" w:space="0"/>
            </w:tcBorders>
            <w:vAlign w:val="center"/>
          </w:tcPr>
          <w:p w14:paraId="0D911E30">
            <w:pPr>
              <w:keepNext w:val="0"/>
              <w:keepLines w:val="0"/>
              <w:suppressLineNumbers w:val="0"/>
              <w:snapToGrid w:val="0"/>
              <w:spacing w:before="0" w:beforeAutospacing="0" w:after="0" w:afterAutospacing="0" w:line="560" w:lineRule="exact"/>
              <w:ind w:left="0" w:right="0"/>
              <w:rPr>
                <w:rFonts w:hint="default" w:ascii="宋体" w:hAnsi="宋体"/>
                <w:color w:val="auto"/>
                <w:szCs w:val="21"/>
                <w:highlight w:val="none"/>
              </w:rPr>
            </w:pPr>
            <w:r>
              <w:rPr>
                <w:rFonts w:hint="eastAsia" w:ascii="宋体" w:hAnsi="宋体" w:cs="宋体"/>
                <w:color w:val="auto"/>
                <w:szCs w:val="21"/>
                <w:highlight w:val="none"/>
              </w:rPr>
              <w:t>商务条款</w:t>
            </w:r>
            <w:r>
              <w:rPr>
                <w:rFonts w:hint="eastAsia" w:ascii="宋体" w:hAnsi="宋体"/>
                <w:color w:val="auto"/>
                <w:szCs w:val="21"/>
                <w:highlight w:val="none"/>
              </w:rPr>
              <w:t>评审中允许负偏离的条款数为</w:t>
            </w:r>
            <w:r>
              <w:rPr>
                <w:rFonts w:hint="eastAsia" w:ascii="宋体" w:hAnsi="宋体"/>
                <w:color w:val="auto"/>
                <w:szCs w:val="21"/>
                <w:highlight w:val="none"/>
                <w:u w:val="single"/>
              </w:rPr>
              <w:t>0</w:t>
            </w:r>
            <w:r>
              <w:rPr>
                <w:rFonts w:hint="eastAsia" w:ascii="宋体" w:hAnsi="宋体"/>
                <w:color w:val="auto"/>
                <w:szCs w:val="21"/>
                <w:highlight w:val="none"/>
              </w:rPr>
              <w:t>项。</w:t>
            </w:r>
          </w:p>
          <w:p w14:paraId="49B5FF90">
            <w:pPr>
              <w:keepNext w:val="0"/>
              <w:keepLines w:val="0"/>
              <w:suppressLineNumbers w:val="0"/>
              <w:snapToGrid w:val="0"/>
              <w:spacing w:before="0" w:beforeAutospacing="0" w:after="0" w:afterAutospacing="0" w:line="560" w:lineRule="exact"/>
              <w:ind w:left="0" w:right="0"/>
              <w:rPr>
                <w:rFonts w:hint="default" w:ascii="宋体" w:hAnsi="宋体"/>
                <w:color w:val="auto"/>
                <w:szCs w:val="21"/>
                <w:highlight w:val="none"/>
              </w:rPr>
            </w:pPr>
            <w:r>
              <w:rPr>
                <w:rFonts w:hint="eastAsia" w:ascii="宋体" w:hAnsi="宋体" w:cs="宋体"/>
                <w:color w:val="auto"/>
                <w:szCs w:val="21"/>
                <w:highlight w:val="none"/>
              </w:rPr>
              <w:t>技术需求</w:t>
            </w:r>
            <w:r>
              <w:rPr>
                <w:rFonts w:hint="eastAsia" w:ascii="宋体" w:hAnsi="宋体"/>
                <w:color w:val="auto"/>
                <w:szCs w:val="21"/>
                <w:highlight w:val="none"/>
              </w:rPr>
              <w:t>评审中允许负偏离的条款数为</w:t>
            </w:r>
            <w:r>
              <w:rPr>
                <w:rFonts w:hint="eastAsia" w:ascii="宋体" w:hAnsi="宋体"/>
                <w:color w:val="auto"/>
                <w:szCs w:val="21"/>
                <w:highlight w:val="none"/>
                <w:u w:val="single"/>
                <w:lang w:val="en-US" w:eastAsia="zh-CN"/>
              </w:rPr>
              <w:t xml:space="preserve"> 0 </w:t>
            </w:r>
            <w:r>
              <w:rPr>
                <w:rFonts w:hint="eastAsia" w:ascii="宋体" w:hAnsi="宋体"/>
                <w:color w:val="auto"/>
                <w:szCs w:val="21"/>
                <w:highlight w:val="none"/>
              </w:rPr>
              <w:t>项。</w:t>
            </w:r>
          </w:p>
        </w:tc>
      </w:tr>
      <w:tr w14:paraId="3D0F97CD">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c>
          <w:tcPr>
            <w:tcW w:w="1065" w:type="dxa"/>
            <w:tcBorders>
              <w:top w:val="single" w:color="auto" w:sz="4" w:space="0"/>
              <w:left w:val="single" w:color="auto" w:sz="4" w:space="0"/>
              <w:bottom w:val="single" w:color="auto" w:sz="4" w:space="0"/>
              <w:right w:val="single" w:color="auto" w:sz="4" w:space="0"/>
            </w:tcBorders>
            <w:vAlign w:val="center"/>
          </w:tcPr>
          <w:p w14:paraId="1CDAA08E">
            <w:pPr>
              <w:keepNext w:val="0"/>
              <w:keepLines w:val="0"/>
              <w:suppressLineNumbers w:val="0"/>
              <w:spacing w:before="0" w:beforeAutospacing="0" w:after="0" w:afterAutospacing="0" w:line="560" w:lineRule="exact"/>
              <w:ind w:left="0" w:right="0"/>
              <w:rPr>
                <w:rFonts w:hint="default" w:ascii="宋体" w:hAnsi="宋体"/>
                <w:color w:val="auto"/>
                <w:szCs w:val="21"/>
                <w:highlight w:val="none"/>
              </w:rPr>
            </w:pPr>
            <w:r>
              <w:rPr>
                <w:rFonts w:hint="eastAsia" w:ascii="宋体" w:hAnsi="宋体"/>
                <w:color w:val="auto"/>
                <w:szCs w:val="21"/>
                <w:highlight w:val="none"/>
              </w:rPr>
              <w:t>30.1</w:t>
            </w:r>
          </w:p>
        </w:tc>
        <w:tc>
          <w:tcPr>
            <w:tcW w:w="1878" w:type="dxa"/>
            <w:tcBorders>
              <w:top w:val="single" w:color="auto" w:sz="4" w:space="0"/>
              <w:left w:val="single" w:color="auto" w:sz="4" w:space="0"/>
              <w:bottom w:val="single" w:color="auto" w:sz="4" w:space="0"/>
              <w:right w:val="single" w:color="auto" w:sz="4" w:space="0"/>
            </w:tcBorders>
            <w:vAlign w:val="center"/>
          </w:tcPr>
          <w:p w14:paraId="21CA2C54">
            <w:pPr>
              <w:keepNext w:val="0"/>
              <w:keepLines w:val="0"/>
              <w:suppressLineNumbers w:val="0"/>
              <w:autoSpaceDE w:val="0"/>
              <w:autoSpaceDN w:val="0"/>
              <w:snapToGrid w:val="0"/>
              <w:spacing w:before="0" w:beforeAutospacing="0" w:after="0" w:afterAutospacing="0" w:line="560" w:lineRule="exact"/>
              <w:ind w:left="0" w:right="0"/>
              <w:textAlignment w:val="bottom"/>
              <w:rPr>
                <w:rFonts w:hint="default" w:ascii="宋体" w:hAnsi="宋体"/>
                <w:color w:val="auto"/>
                <w:szCs w:val="21"/>
                <w:highlight w:val="none"/>
              </w:rPr>
            </w:pPr>
            <w:r>
              <w:rPr>
                <w:rFonts w:hint="eastAsia" w:ascii="宋体" w:hAnsi="宋体"/>
                <w:color w:val="auto"/>
                <w:szCs w:val="21"/>
                <w:highlight w:val="none"/>
              </w:rPr>
              <w:t xml:space="preserve">确定中标人时，出现中标候选人分数并列的情形，确定中标人方式 </w:t>
            </w:r>
          </w:p>
        </w:tc>
        <w:tc>
          <w:tcPr>
            <w:tcW w:w="7297" w:type="dxa"/>
            <w:tcBorders>
              <w:top w:val="single" w:color="auto" w:sz="4" w:space="0"/>
              <w:left w:val="single" w:color="auto" w:sz="4" w:space="0"/>
              <w:bottom w:val="single" w:color="auto" w:sz="4" w:space="0"/>
              <w:right w:val="single" w:color="auto" w:sz="4" w:space="0"/>
            </w:tcBorders>
            <w:vAlign w:val="center"/>
          </w:tcPr>
          <w:p w14:paraId="3D70F58D">
            <w:pPr>
              <w:keepNext w:val="0"/>
              <w:keepLines w:val="0"/>
              <w:suppressLineNumbers w:val="0"/>
              <w:autoSpaceDE w:val="0"/>
              <w:autoSpaceDN w:val="0"/>
              <w:snapToGrid w:val="0"/>
              <w:spacing w:before="0" w:beforeAutospacing="0" w:after="0" w:afterAutospacing="0" w:line="560" w:lineRule="exact"/>
              <w:ind w:left="0" w:right="0"/>
              <w:textAlignment w:val="bottom"/>
              <w:rPr>
                <w:rFonts w:hint="default" w:ascii="宋体" w:hAnsi="宋体"/>
                <w:color w:val="auto"/>
                <w:szCs w:val="21"/>
                <w:highlight w:val="none"/>
              </w:rPr>
            </w:pPr>
            <w:r>
              <w:rPr>
                <w:rFonts w:hint="eastAsia" w:ascii="宋体" w:hAnsi="宋体"/>
                <w:color w:val="auto"/>
                <w:szCs w:val="21"/>
                <w:highlight w:val="none"/>
              </w:rPr>
              <w:t xml:space="preserve">□采用最低评标价法的，投标文件满足招标文件全部实质性要求且投标报价最低的投标人为排名第一的中标候选人； </w:t>
            </w:r>
          </w:p>
          <w:p w14:paraId="23CB798B">
            <w:pPr>
              <w:keepNext w:val="0"/>
              <w:keepLines w:val="0"/>
              <w:suppressLineNumbers w:val="0"/>
              <w:autoSpaceDE w:val="0"/>
              <w:autoSpaceDN w:val="0"/>
              <w:snapToGrid w:val="0"/>
              <w:spacing w:before="0" w:beforeAutospacing="0" w:after="0" w:afterAutospacing="0" w:line="560" w:lineRule="exact"/>
              <w:ind w:left="0" w:right="0"/>
              <w:textAlignment w:val="bottom"/>
              <w:rPr>
                <w:rFonts w:hint="default" w:ascii="宋体" w:hAnsi="宋体"/>
                <w:b/>
                <w:color w:val="auto"/>
                <w:szCs w:val="21"/>
                <w:highlight w:val="none"/>
              </w:rPr>
            </w:pPr>
            <w:r>
              <w:rPr>
                <w:rFonts w:hint="eastAsia" w:ascii="宋体" w:hAnsi="宋体"/>
                <w:color w:val="auto"/>
                <w:szCs w:val="21"/>
                <w:highlight w:val="none"/>
              </w:rPr>
              <w:t>√采用综合评分法的，按投标报价由低到高顺序排列。得分且投标报价相同的并列。投标文件满足招标文件全部实质性要求，且按照评审因素的量化指标评审得分最高的投标人为排名第一的中标候选人。</w:t>
            </w:r>
          </w:p>
        </w:tc>
      </w:tr>
      <w:tr w14:paraId="30F202E7">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1065" w:type="dxa"/>
            <w:tcBorders>
              <w:top w:val="single" w:color="auto" w:sz="4" w:space="0"/>
              <w:left w:val="single" w:color="auto" w:sz="4" w:space="0"/>
              <w:bottom w:val="single" w:color="auto" w:sz="4" w:space="0"/>
              <w:right w:val="single" w:color="auto" w:sz="4" w:space="0"/>
            </w:tcBorders>
            <w:vAlign w:val="center"/>
          </w:tcPr>
          <w:p w14:paraId="79B64A12">
            <w:pPr>
              <w:keepNext w:val="0"/>
              <w:keepLines w:val="0"/>
              <w:suppressLineNumbers w:val="0"/>
              <w:spacing w:before="0" w:beforeAutospacing="0" w:after="0" w:afterAutospacing="0" w:line="560" w:lineRule="exact"/>
              <w:ind w:left="0" w:right="0"/>
              <w:rPr>
                <w:rFonts w:hint="default" w:ascii="宋体" w:hAnsi="宋体"/>
                <w:color w:val="auto"/>
                <w:szCs w:val="21"/>
                <w:highlight w:val="none"/>
              </w:rPr>
            </w:pPr>
            <w:r>
              <w:rPr>
                <w:rFonts w:hint="eastAsia" w:ascii="宋体" w:hAnsi="宋体"/>
                <w:color w:val="auto"/>
                <w:szCs w:val="21"/>
                <w:highlight w:val="none"/>
              </w:rPr>
              <w:t>35</w:t>
            </w:r>
          </w:p>
        </w:tc>
        <w:tc>
          <w:tcPr>
            <w:tcW w:w="1878" w:type="dxa"/>
            <w:tcBorders>
              <w:top w:val="single" w:color="auto" w:sz="4" w:space="0"/>
              <w:left w:val="single" w:color="auto" w:sz="4" w:space="0"/>
              <w:bottom w:val="single" w:color="auto" w:sz="4" w:space="0"/>
              <w:right w:val="single" w:color="auto" w:sz="4" w:space="0"/>
            </w:tcBorders>
            <w:vAlign w:val="center"/>
          </w:tcPr>
          <w:p w14:paraId="58C8FA6E">
            <w:pPr>
              <w:keepNext w:val="0"/>
              <w:keepLines w:val="0"/>
              <w:suppressLineNumbers w:val="0"/>
              <w:spacing w:before="0" w:beforeAutospacing="0" w:after="0" w:afterAutospacing="0" w:line="560" w:lineRule="exact"/>
              <w:ind w:left="0" w:right="0"/>
              <w:rPr>
                <w:rFonts w:hint="default" w:ascii="宋体" w:hAnsi="宋体"/>
                <w:color w:val="auto"/>
                <w:szCs w:val="21"/>
                <w:highlight w:val="none"/>
              </w:rPr>
            </w:pPr>
            <w:bookmarkStart w:id="51" w:name="_39.1"/>
            <w:bookmarkEnd w:id="51"/>
            <w:r>
              <w:rPr>
                <w:rFonts w:hint="eastAsia" w:ascii="宋体" w:hAnsi="宋体"/>
                <w:color w:val="auto"/>
                <w:szCs w:val="21"/>
                <w:highlight w:val="none"/>
              </w:rPr>
              <w:t>履约保证金金额</w:t>
            </w:r>
          </w:p>
        </w:tc>
        <w:tc>
          <w:tcPr>
            <w:tcW w:w="7297" w:type="dxa"/>
            <w:tcBorders>
              <w:top w:val="single" w:color="auto" w:sz="4" w:space="0"/>
              <w:left w:val="single" w:color="auto" w:sz="4" w:space="0"/>
              <w:bottom w:val="single" w:color="auto" w:sz="4" w:space="0"/>
              <w:right w:val="single" w:color="auto" w:sz="4" w:space="0"/>
            </w:tcBorders>
            <w:vAlign w:val="bottom"/>
          </w:tcPr>
          <w:p w14:paraId="424C0107">
            <w:pPr>
              <w:keepNext w:val="0"/>
              <w:keepLines w:val="0"/>
              <w:suppressLineNumbers w:val="0"/>
              <w:autoSpaceDE w:val="0"/>
              <w:autoSpaceDN w:val="0"/>
              <w:snapToGrid w:val="0"/>
              <w:spacing w:before="0" w:beforeAutospacing="0" w:after="0" w:afterAutospacing="0" w:line="560" w:lineRule="exact"/>
              <w:ind w:left="0" w:right="0"/>
              <w:jc w:val="left"/>
              <w:textAlignment w:val="bottom"/>
              <w:rPr>
                <w:rFonts w:hint="default" w:ascii="宋体" w:hAnsi="宋体"/>
                <w:color w:val="auto"/>
                <w:szCs w:val="21"/>
                <w:highlight w:val="none"/>
              </w:rPr>
            </w:pPr>
            <w:r>
              <w:rPr>
                <w:rFonts w:hint="eastAsia" w:ascii="宋体" w:hAnsi="宋体"/>
                <w:color w:val="auto"/>
                <w:szCs w:val="21"/>
                <w:highlight w:val="none"/>
              </w:rPr>
              <w:t>本项目不收取履约保证金。</w:t>
            </w:r>
          </w:p>
        </w:tc>
      </w:tr>
      <w:tr w14:paraId="536794AA">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c>
          <w:tcPr>
            <w:tcW w:w="1065" w:type="dxa"/>
            <w:tcBorders>
              <w:top w:val="single" w:color="auto" w:sz="4" w:space="0"/>
              <w:left w:val="single" w:color="auto" w:sz="4" w:space="0"/>
              <w:bottom w:val="single" w:color="auto" w:sz="4" w:space="0"/>
              <w:right w:val="single" w:color="auto" w:sz="4" w:space="0"/>
            </w:tcBorders>
            <w:vAlign w:val="center"/>
          </w:tcPr>
          <w:p w14:paraId="20DBAEA9">
            <w:pPr>
              <w:keepNext w:val="0"/>
              <w:keepLines w:val="0"/>
              <w:suppressLineNumbers w:val="0"/>
              <w:spacing w:before="0" w:beforeAutospacing="0" w:after="0" w:afterAutospacing="0" w:line="560" w:lineRule="exact"/>
              <w:ind w:left="0" w:right="0"/>
              <w:rPr>
                <w:rFonts w:hint="default" w:ascii="宋体" w:hAnsi="宋体"/>
                <w:color w:val="auto"/>
                <w:szCs w:val="21"/>
                <w:highlight w:val="none"/>
              </w:rPr>
            </w:pPr>
            <w:r>
              <w:rPr>
                <w:rFonts w:hint="eastAsia" w:ascii="宋体" w:hAnsi="宋体"/>
                <w:color w:val="auto"/>
                <w:szCs w:val="21"/>
                <w:highlight w:val="none"/>
              </w:rPr>
              <w:t>36.1</w:t>
            </w:r>
          </w:p>
        </w:tc>
        <w:tc>
          <w:tcPr>
            <w:tcW w:w="1878" w:type="dxa"/>
            <w:tcBorders>
              <w:top w:val="single" w:color="auto" w:sz="4" w:space="0"/>
              <w:left w:val="single" w:color="auto" w:sz="4" w:space="0"/>
              <w:bottom w:val="single" w:color="auto" w:sz="4" w:space="0"/>
              <w:right w:val="single" w:color="auto" w:sz="4" w:space="0"/>
            </w:tcBorders>
            <w:vAlign w:val="center"/>
          </w:tcPr>
          <w:p w14:paraId="70D8AE69">
            <w:pPr>
              <w:keepNext w:val="0"/>
              <w:keepLines w:val="0"/>
              <w:suppressLineNumbers w:val="0"/>
              <w:spacing w:before="0" w:beforeAutospacing="0" w:after="0" w:afterAutospacing="0" w:line="560" w:lineRule="exact"/>
              <w:ind w:left="0" w:right="0"/>
              <w:rPr>
                <w:rFonts w:hint="default" w:ascii="宋体" w:hAnsi="宋体"/>
                <w:color w:val="auto"/>
                <w:szCs w:val="21"/>
                <w:highlight w:val="none"/>
              </w:rPr>
            </w:pPr>
            <w:bookmarkStart w:id="52" w:name="_40.1"/>
            <w:bookmarkEnd w:id="52"/>
            <w:r>
              <w:rPr>
                <w:rFonts w:hint="eastAsia" w:ascii="宋体" w:hAnsi="宋体"/>
                <w:color w:val="auto"/>
                <w:szCs w:val="21"/>
                <w:highlight w:val="none"/>
              </w:rPr>
              <w:t>签订电子合同携带的材料</w:t>
            </w:r>
          </w:p>
        </w:tc>
        <w:tc>
          <w:tcPr>
            <w:tcW w:w="7297" w:type="dxa"/>
            <w:tcBorders>
              <w:top w:val="single" w:color="auto" w:sz="4" w:space="0"/>
              <w:left w:val="single" w:color="auto" w:sz="4" w:space="0"/>
              <w:bottom w:val="single" w:color="auto" w:sz="4" w:space="0"/>
              <w:right w:val="single" w:color="auto" w:sz="4" w:space="0"/>
            </w:tcBorders>
            <w:vAlign w:val="center"/>
          </w:tcPr>
          <w:p w14:paraId="51691503">
            <w:pPr>
              <w:keepNext w:val="0"/>
              <w:keepLines w:val="0"/>
              <w:suppressLineNumbers w:val="0"/>
              <w:autoSpaceDE w:val="0"/>
              <w:autoSpaceDN w:val="0"/>
              <w:snapToGrid w:val="0"/>
              <w:spacing w:before="0" w:beforeAutospacing="0" w:after="0" w:afterAutospacing="0" w:line="560" w:lineRule="exact"/>
              <w:ind w:left="0" w:right="0"/>
              <w:textAlignment w:val="bottom"/>
              <w:rPr>
                <w:rFonts w:hint="default" w:ascii="宋体" w:hAnsi="宋体"/>
                <w:color w:val="auto"/>
                <w:szCs w:val="21"/>
                <w:highlight w:val="none"/>
              </w:rPr>
            </w:pPr>
            <w:r>
              <w:rPr>
                <w:rFonts w:hint="eastAsia" w:ascii="宋体" w:hAnsi="宋体"/>
                <w:color w:val="auto"/>
                <w:szCs w:val="21"/>
                <w:highlight w:val="none"/>
              </w:rPr>
              <w:t>电子采购合同需要供应商通过有效CA证书进行电子签署</w:t>
            </w:r>
          </w:p>
        </w:tc>
      </w:tr>
      <w:tr w14:paraId="7BF8DD13">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91" w:hRule="atLeast"/>
        </w:trPr>
        <w:tc>
          <w:tcPr>
            <w:tcW w:w="1065" w:type="dxa"/>
            <w:vMerge w:val="restart"/>
            <w:tcBorders>
              <w:top w:val="single" w:color="auto" w:sz="4" w:space="0"/>
              <w:left w:val="single" w:color="auto" w:sz="4" w:space="0"/>
              <w:bottom w:val="single" w:color="auto" w:sz="4" w:space="0"/>
              <w:right w:val="single" w:color="auto" w:sz="4" w:space="0"/>
            </w:tcBorders>
            <w:vAlign w:val="center"/>
          </w:tcPr>
          <w:p w14:paraId="3B410292">
            <w:pPr>
              <w:keepNext w:val="0"/>
              <w:keepLines w:val="0"/>
              <w:suppressLineNumbers w:val="0"/>
              <w:spacing w:before="0" w:beforeAutospacing="0" w:after="0" w:afterAutospacing="0" w:line="560" w:lineRule="exact"/>
              <w:ind w:left="0" w:right="0"/>
              <w:rPr>
                <w:rFonts w:hint="default" w:ascii="宋体" w:hAnsi="宋体"/>
                <w:color w:val="auto"/>
                <w:szCs w:val="21"/>
                <w:highlight w:val="none"/>
              </w:rPr>
            </w:pPr>
            <w:r>
              <w:rPr>
                <w:rFonts w:hint="eastAsia" w:ascii="宋体" w:hAnsi="宋体"/>
                <w:color w:val="auto"/>
                <w:szCs w:val="21"/>
                <w:highlight w:val="none"/>
              </w:rPr>
              <w:t>38.2.1</w:t>
            </w:r>
          </w:p>
        </w:tc>
        <w:tc>
          <w:tcPr>
            <w:tcW w:w="1878" w:type="dxa"/>
            <w:tcBorders>
              <w:top w:val="single" w:color="auto" w:sz="4" w:space="0"/>
              <w:left w:val="single" w:color="auto" w:sz="4" w:space="0"/>
              <w:bottom w:val="single" w:color="auto" w:sz="4" w:space="0"/>
              <w:right w:val="single" w:color="auto" w:sz="4" w:space="0"/>
            </w:tcBorders>
            <w:vAlign w:val="center"/>
          </w:tcPr>
          <w:p w14:paraId="03F0B759">
            <w:pPr>
              <w:keepNext w:val="0"/>
              <w:keepLines w:val="0"/>
              <w:suppressLineNumbers w:val="0"/>
              <w:spacing w:before="0" w:beforeAutospacing="0" w:after="0" w:afterAutospacing="0" w:line="560" w:lineRule="exact"/>
              <w:ind w:left="0" w:right="0"/>
              <w:rPr>
                <w:rFonts w:hint="default" w:ascii="宋体" w:hAnsi="宋体"/>
                <w:color w:val="auto"/>
                <w:szCs w:val="21"/>
                <w:highlight w:val="none"/>
              </w:rPr>
            </w:pPr>
            <w:r>
              <w:rPr>
                <w:rFonts w:hint="eastAsia" w:ascii="宋体" w:hAnsi="宋体"/>
                <w:color w:val="auto"/>
                <w:szCs w:val="21"/>
                <w:highlight w:val="none"/>
              </w:rPr>
              <w:t>接收质疑函方式</w:t>
            </w:r>
          </w:p>
        </w:tc>
        <w:tc>
          <w:tcPr>
            <w:tcW w:w="7297" w:type="dxa"/>
            <w:tcBorders>
              <w:top w:val="single" w:color="auto" w:sz="4" w:space="0"/>
              <w:left w:val="single" w:color="auto" w:sz="4" w:space="0"/>
              <w:bottom w:val="single" w:color="auto" w:sz="4" w:space="0"/>
              <w:right w:val="single" w:color="auto" w:sz="4" w:space="0"/>
            </w:tcBorders>
            <w:vAlign w:val="center"/>
          </w:tcPr>
          <w:p w14:paraId="74C23E58">
            <w:pPr>
              <w:keepNext w:val="0"/>
              <w:keepLines w:val="0"/>
              <w:suppressLineNumbers w:val="0"/>
              <w:snapToGrid w:val="0"/>
              <w:spacing w:before="0" w:beforeAutospacing="0" w:after="0" w:afterAutospacing="0" w:line="560" w:lineRule="exact"/>
              <w:ind w:left="0" w:right="0"/>
              <w:rPr>
                <w:rFonts w:hint="default" w:ascii="宋体" w:hAnsi="宋体"/>
                <w:color w:val="auto"/>
                <w:szCs w:val="21"/>
                <w:highlight w:val="none"/>
              </w:rPr>
            </w:pPr>
            <w:r>
              <w:rPr>
                <w:rFonts w:hint="eastAsia" w:ascii="宋体" w:hAnsi="宋体"/>
                <w:color w:val="auto"/>
                <w:szCs w:val="21"/>
                <w:highlight w:val="none"/>
              </w:rPr>
              <w:t>以书面形式</w:t>
            </w:r>
          </w:p>
        </w:tc>
      </w:tr>
      <w:tr w14:paraId="572436AC">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709" w:hRule="atLeast"/>
        </w:trPr>
        <w:tc>
          <w:tcPr>
            <w:tcW w:w="1065" w:type="dxa"/>
            <w:vMerge w:val="continue"/>
            <w:tcBorders>
              <w:top w:val="single" w:color="auto" w:sz="4" w:space="0"/>
              <w:left w:val="single" w:color="auto" w:sz="4" w:space="0"/>
              <w:bottom w:val="single" w:color="auto" w:sz="4" w:space="0"/>
              <w:right w:val="single" w:color="auto" w:sz="4" w:space="0"/>
            </w:tcBorders>
            <w:vAlign w:val="center"/>
          </w:tcPr>
          <w:p w14:paraId="3F2F7405">
            <w:pPr>
              <w:keepNext w:val="0"/>
              <w:keepLines w:val="0"/>
              <w:widowControl/>
              <w:suppressLineNumbers w:val="0"/>
              <w:spacing w:before="0" w:beforeAutospacing="0" w:after="0" w:afterAutospacing="0" w:line="560" w:lineRule="exact"/>
              <w:ind w:left="0" w:right="0"/>
              <w:jc w:val="left"/>
              <w:rPr>
                <w:rFonts w:hint="default" w:ascii="宋体" w:hAnsi="宋体"/>
                <w:color w:val="auto"/>
                <w:szCs w:val="21"/>
                <w:highlight w:val="none"/>
              </w:rPr>
            </w:pPr>
          </w:p>
        </w:tc>
        <w:tc>
          <w:tcPr>
            <w:tcW w:w="1878" w:type="dxa"/>
            <w:tcBorders>
              <w:top w:val="single" w:color="auto" w:sz="4" w:space="0"/>
              <w:left w:val="single" w:color="auto" w:sz="4" w:space="0"/>
              <w:bottom w:val="single" w:color="auto" w:sz="4" w:space="0"/>
              <w:right w:val="single" w:color="auto" w:sz="4" w:space="0"/>
            </w:tcBorders>
            <w:vAlign w:val="center"/>
          </w:tcPr>
          <w:p w14:paraId="1B53F319">
            <w:pPr>
              <w:keepNext w:val="0"/>
              <w:keepLines w:val="0"/>
              <w:suppressLineNumbers w:val="0"/>
              <w:spacing w:before="0" w:beforeAutospacing="0" w:after="0" w:afterAutospacing="0" w:line="560" w:lineRule="exact"/>
              <w:ind w:left="0" w:right="0"/>
              <w:rPr>
                <w:rFonts w:hint="default" w:ascii="宋体" w:hAnsi="宋体"/>
                <w:color w:val="auto"/>
                <w:szCs w:val="21"/>
                <w:highlight w:val="none"/>
              </w:rPr>
            </w:pPr>
            <w:r>
              <w:rPr>
                <w:rFonts w:hint="eastAsia" w:ascii="宋体" w:hAnsi="宋体"/>
                <w:color w:val="auto"/>
                <w:szCs w:val="21"/>
                <w:highlight w:val="none"/>
              </w:rPr>
              <w:t>质疑联系部门及联系方式</w:t>
            </w:r>
          </w:p>
        </w:tc>
        <w:tc>
          <w:tcPr>
            <w:tcW w:w="7297" w:type="dxa"/>
            <w:tcBorders>
              <w:top w:val="single" w:color="auto" w:sz="4" w:space="0"/>
              <w:left w:val="single" w:color="auto" w:sz="4" w:space="0"/>
              <w:bottom w:val="single" w:color="auto" w:sz="4" w:space="0"/>
              <w:right w:val="single" w:color="auto" w:sz="4" w:space="0"/>
            </w:tcBorders>
            <w:vAlign w:val="center"/>
          </w:tcPr>
          <w:p w14:paraId="41D286C4">
            <w:pPr>
              <w:keepNext w:val="0"/>
              <w:keepLines w:val="0"/>
              <w:suppressLineNumbers w:val="0"/>
              <w:snapToGrid w:val="0"/>
              <w:spacing w:before="0" w:beforeAutospacing="0" w:after="0" w:afterAutospacing="0" w:line="560" w:lineRule="exact"/>
              <w:ind w:left="0" w:right="0"/>
              <w:rPr>
                <w:rFonts w:hint="default" w:ascii="宋体" w:hAnsi="宋体"/>
                <w:color w:val="auto"/>
                <w:szCs w:val="21"/>
                <w:highlight w:val="none"/>
              </w:rPr>
            </w:pPr>
            <w:r>
              <w:rPr>
                <w:rFonts w:hint="eastAsia" w:ascii="宋体" w:hAnsi="宋体"/>
                <w:color w:val="auto"/>
                <w:szCs w:val="21"/>
                <w:highlight w:val="none"/>
                <w:u w:val="single"/>
              </w:rPr>
              <w:t>（1）云之龙咨询集团有限公司</w:t>
            </w:r>
            <w:r>
              <w:rPr>
                <w:rFonts w:hint="eastAsia" w:ascii="宋体" w:hAnsi="宋体"/>
                <w:color w:val="auto"/>
                <w:szCs w:val="21"/>
                <w:highlight w:val="none"/>
              </w:rPr>
              <w:t>；</w:t>
            </w:r>
          </w:p>
          <w:p w14:paraId="27C64897">
            <w:pPr>
              <w:keepNext w:val="0"/>
              <w:keepLines w:val="0"/>
              <w:suppressLineNumbers w:val="0"/>
              <w:snapToGrid w:val="0"/>
              <w:spacing w:before="0" w:beforeAutospacing="0" w:after="0" w:afterAutospacing="0" w:line="560" w:lineRule="exact"/>
              <w:ind w:left="0" w:right="0"/>
              <w:rPr>
                <w:rFonts w:hint="default" w:ascii="宋体" w:hAnsi="宋体"/>
                <w:color w:val="auto"/>
                <w:szCs w:val="21"/>
                <w:highlight w:val="none"/>
              </w:rPr>
            </w:pPr>
            <w:r>
              <w:rPr>
                <w:rFonts w:hint="eastAsia" w:ascii="宋体" w:hAnsi="宋体"/>
                <w:color w:val="auto"/>
                <w:szCs w:val="21"/>
                <w:highlight w:val="none"/>
              </w:rPr>
              <w:t>联系电话：0771-2618199、2618118 、2611898</w:t>
            </w:r>
          </w:p>
          <w:p w14:paraId="25FA7C1F">
            <w:pPr>
              <w:keepNext w:val="0"/>
              <w:keepLines w:val="0"/>
              <w:suppressLineNumbers w:val="0"/>
              <w:snapToGrid w:val="0"/>
              <w:spacing w:before="0" w:beforeAutospacing="0" w:after="0" w:afterAutospacing="0" w:line="560" w:lineRule="exact"/>
              <w:ind w:left="0" w:right="0"/>
              <w:rPr>
                <w:rFonts w:hint="default" w:ascii="宋体" w:hAnsi="宋体"/>
                <w:color w:val="auto"/>
                <w:szCs w:val="21"/>
                <w:highlight w:val="none"/>
              </w:rPr>
            </w:pPr>
            <w:r>
              <w:rPr>
                <w:rFonts w:hint="eastAsia" w:ascii="宋体" w:hAnsi="宋体"/>
                <w:color w:val="auto"/>
                <w:szCs w:val="21"/>
                <w:highlight w:val="none"/>
              </w:rPr>
              <w:t>通讯地址</w:t>
            </w:r>
            <w:r>
              <w:rPr>
                <w:rFonts w:hint="eastAsia" w:ascii="宋体" w:hAnsi="宋体" w:cs="Helvetica LT Pro"/>
                <w:color w:val="auto"/>
                <w:szCs w:val="21"/>
                <w:highlight w:val="none"/>
              </w:rPr>
              <w:t>：</w:t>
            </w:r>
            <w:r>
              <w:rPr>
                <w:rFonts w:hint="eastAsia" w:ascii="宋体" w:hAnsi="宋体"/>
                <w:color w:val="auto"/>
                <w:szCs w:val="21"/>
                <w:highlight w:val="none"/>
                <w:u w:val="single"/>
              </w:rPr>
              <w:t xml:space="preserve">广西南宁市良庆区云英路15号3号楼云之龙咨询集团大厦6楼   </w:t>
            </w:r>
          </w:p>
          <w:p w14:paraId="0BCE9E93">
            <w:pPr>
              <w:keepNext w:val="0"/>
              <w:keepLines w:val="0"/>
              <w:suppressLineNumbers w:val="0"/>
              <w:snapToGrid w:val="0"/>
              <w:spacing w:before="0" w:beforeAutospacing="0" w:after="0" w:afterAutospacing="0" w:line="560" w:lineRule="exact"/>
              <w:ind w:left="0" w:right="0"/>
              <w:rPr>
                <w:rFonts w:hint="default"/>
                <w:color w:val="auto"/>
                <w:highlight w:val="none"/>
              </w:rPr>
            </w:pPr>
            <w:r>
              <w:rPr>
                <w:rFonts w:hint="eastAsia" w:ascii="宋体" w:hAnsi="宋体"/>
                <w:color w:val="auto"/>
                <w:szCs w:val="21"/>
                <w:highlight w:val="none"/>
                <w:u w:val="single"/>
              </w:rPr>
              <w:t>（2）名 称：南宁市卫生学校</w:t>
            </w:r>
          </w:p>
          <w:p w14:paraId="214C432E">
            <w:pPr>
              <w:keepNext w:val="0"/>
              <w:keepLines w:val="0"/>
              <w:suppressLineNumbers w:val="0"/>
              <w:snapToGrid w:val="0"/>
              <w:spacing w:before="0" w:beforeAutospacing="0" w:after="0" w:afterAutospacing="0" w:line="560" w:lineRule="exact"/>
              <w:ind w:left="0" w:right="0"/>
              <w:rPr>
                <w:rFonts w:hint="default" w:ascii="宋体" w:hAnsi="宋体"/>
                <w:color w:val="auto"/>
                <w:szCs w:val="21"/>
                <w:highlight w:val="none"/>
                <w:u w:val="single"/>
              </w:rPr>
            </w:pPr>
            <w:r>
              <w:rPr>
                <w:rFonts w:hint="eastAsia" w:ascii="宋体" w:hAnsi="宋体"/>
                <w:color w:val="auto"/>
                <w:szCs w:val="21"/>
                <w:highlight w:val="none"/>
                <w:u w:val="single"/>
              </w:rPr>
              <w:t>地址：广西壮族自治区南宁市西乡塘区罗文大道16号</w:t>
            </w:r>
          </w:p>
          <w:p w14:paraId="5922778E">
            <w:pPr>
              <w:keepNext w:val="0"/>
              <w:keepLines w:val="0"/>
              <w:suppressLineNumbers w:val="0"/>
              <w:snapToGrid w:val="0"/>
              <w:spacing w:before="0" w:beforeAutospacing="0" w:after="0" w:afterAutospacing="0" w:line="560" w:lineRule="exact"/>
              <w:ind w:left="0" w:right="0"/>
              <w:rPr>
                <w:rFonts w:hint="default"/>
                <w:color w:val="auto"/>
                <w:highlight w:val="none"/>
              </w:rPr>
            </w:pPr>
            <w:r>
              <w:rPr>
                <w:rFonts w:hint="eastAsia" w:ascii="宋体" w:hAnsi="宋体"/>
                <w:color w:val="auto"/>
                <w:szCs w:val="21"/>
                <w:highlight w:val="none"/>
                <w:u w:val="single"/>
              </w:rPr>
              <w:t>联系电话：0771-3939372</w:t>
            </w:r>
          </w:p>
        </w:tc>
      </w:tr>
      <w:tr w14:paraId="6425EF47">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709" w:hRule="atLeast"/>
        </w:trPr>
        <w:tc>
          <w:tcPr>
            <w:tcW w:w="1065" w:type="dxa"/>
            <w:vMerge w:val="continue"/>
            <w:tcBorders>
              <w:top w:val="single" w:color="auto" w:sz="4" w:space="0"/>
              <w:left w:val="single" w:color="auto" w:sz="4" w:space="0"/>
              <w:bottom w:val="single" w:color="auto" w:sz="4" w:space="0"/>
              <w:right w:val="single" w:color="auto" w:sz="4" w:space="0"/>
            </w:tcBorders>
            <w:vAlign w:val="center"/>
          </w:tcPr>
          <w:p w14:paraId="046A7F4F">
            <w:pPr>
              <w:keepNext w:val="0"/>
              <w:keepLines w:val="0"/>
              <w:widowControl/>
              <w:suppressLineNumbers w:val="0"/>
              <w:spacing w:before="0" w:beforeAutospacing="0" w:after="0" w:afterAutospacing="0" w:line="560" w:lineRule="exact"/>
              <w:ind w:left="0" w:right="0"/>
              <w:jc w:val="left"/>
              <w:rPr>
                <w:rFonts w:hint="default" w:ascii="宋体" w:hAnsi="宋体"/>
                <w:color w:val="auto"/>
                <w:szCs w:val="21"/>
                <w:highlight w:val="none"/>
              </w:rPr>
            </w:pPr>
          </w:p>
        </w:tc>
        <w:tc>
          <w:tcPr>
            <w:tcW w:w="1878" w:type="dxa"/>
            <w:tcBorders>
              <w:top w:val="single" w:color="auto" w:sz="4" w:space="0"/>
              <w:left w:val="single" w:color="auto" w:sz="4" w:space="0"/>
              <w:bottom w:val="single" w:color="auto" w:sz="4" w:space="0"/>
              <w:right w:val="single" w:color="auto" w:sz="4" w:space="0"/>
            </w:tcBorders>
            <w:vAlign w:val="center"/>
          </w:tcPr>
          <w:p w14:paraId="1C496869">
            <w:pPr>
              <w:keepNext w:val="0"/>
              <w:keepLines w:val="0"/>
              <w:suppressLineNumbers w:val="0"/>
              <w:spacing w:before="0" w:beforeAutospacing="0" w:after="0" w:afterAutospacing="0" w:line="560" w:lineRule="exact"/>
              <w:ind w:left="0" w:right="0"/>
              <w:rPr>
                <w:rFonts w:hint="default" w:ascii="宋体" w:hAnsi="宋体"/>
                <w:color w:val="auto"/>
                <w:szCs w:val="21"/>
                <w:highlight w:val="none"/>
              </w:rPr>
            </w:pPr>
            <w:r>
              <w:rPr>
                <w:rFonts w:hint="eastAsia" w:hAnsi="宋体"/>
                <w:color w:val="auto"/>
                <w:highlight w:val="none"/>
              </w:rPr>
              <w:t>现场提交质疑办理业务时间</w:t>
            </w:r>
          </w:p>
        </w:tc>
        <w:tc>
          <w:tcPr>
            <w:tcW w:w="7297" w:type="dxa"/>
            <w:tcBorders>
              <w:top w:val="single" w:color="auto" w:sz="4" w:space="0"/>
              <w:left w:val="single" w:color="auto" w:sz="4" w:space="0"/>
              <w:bottom w:val="single" w:color="auto" w:sz="4" w:space="0"/>
              <w:right w:val="single" w:color="auto" w:sz="4" w:space="0"/>
            </w:tcBorders>
            <w:vAlign w:val="center"/>
          </w:tcPr>
          <w:p w14:paraId="40196822">
            <w:pPr>
              <w:keepNext w:val="0"/>
              <w:keepLines w:val="0"/>
              <w:suppressLineNumbers w:val="0"/>
              <w:snapToGrid w:val="0"/>
              <w:spacing w:before="0" w:beforeAutospacing="0" w:after="0" w:afterAutospacing="0" w:line="560" w:lineRule="exact"/>
              <w:ind w:left="0" w:right="0"/>
              <w:rPr>
                <w:rFonts w:hint="default" w:ascii="宋体" w:hAnsi="宋体"/>
                <w:color w:val="auto"/>
                <w:szCs w:val="21"/>
                <w:highlight w:val="none"/>
              </w:rPr>
            </w:pPr>
            <w:r>
              <w:rPr>
                <w:rFonts w:hint="eastAsia" w:hAnsi="宋体"/>
                <w:color w:val="auto"/>
                <w:highlight w:val="none"/>
              </w:rPr>
              <w:t>质疑期内每个工作日</w:t>
            </w:r>
            <w:r>
              <w:rPr>
                <w:rFonts w:hint="default" w:hAnsi="宋体"/>
                <w:color w:val="auto"/>
                <w:highlight w:val="none"/>
                <w:u w:val="single"/>
              </w:rPr>
              <w:t xml:space="preserve"> 8</w:t>
            </w:r>
            <w:r>
              <w:rPr>
                <w:rFonts w:hint="eastAsia" w:hAnsi="宋体"/>
                <w:color w:val="auto"/>
                <w:highlight w:val="none"/>
              </w:rPr>
              <w:t>时</w:t>
            </w:r>
            <w:r>
              <w:rPr>
                <w:rFonts w:hint="default" w:hAnsi="宋体"/>
                <w:color w:val="auto"/>
                <w:highlight w:val="none"/>
                <w:u w:val="single"/>
              </w:rPr>
              <w:t xml:space="preserve"> 00</w:t>
            </w:r>
            <w:r>
              <w:rPr>
                <w:rFonts w:hint="eastAsia" w:hAnsi="宋体"/>
                <w:color w:val="auto"/>
                <w:highlight w:val="none"/>
              </w:rPr>
              <w:t>分到</w:t>
            </w:r>
            <w:r>
              <w:rPr>
                <w:rFonts w:hint="default" w:hAnsi="宋体"/>
                <w:color w:val="auto"/>
                <w:highlight w:val="none"/>
                <w:u w:val="single"/>
              </w:rPr>
              <w:t xml:space="preserve"> 12 </w:t>
            </w:r>
            <w:r>
              <w:rPr>
                <w:rFonts w:hint="eastAsia" w:hAnsi="宋体"/>
                <w:color w:val="auto"/>
                <w:highlight w:val="none"/>
              </w:rPr>
              <w:t>时</w:t>
            </w:r>
            <w:r>
              <w:rPr>
                <w:rFonts w:hint="default" w:hAnsi="宋体"/>
                <w:color w:val="auto"/>
                <w:highlight w:val="none"/>
              </w:rPr>
              <w:t>00</w:t>
            </w:r>
            <w:r>
              <w:rPr>
                <w:rFonts w:hint="eastAsia" w:hAnsi="宋体"/>
                <w:color w:val="auto"/>
                <w:highlight w:val="none"/>
              </w:rPr>
              <w:t>分，</w:t>
            </w:r>
            <w:r>
              <w:rPr>
                <w:rFonts w:hint="default" w:hAnsi="宋体"/>
                <w:color w:val="auto"/>
                <w:highlight w:val="none"/>
                <w:u w:val="single"/>
              </w:rPr>
              <w:t xml:space="preserve"> 15 </w:t>
            </w:r>
            <w:r>
              <w:rPr>
                <w:rFonts w:hint="eastAsia" w:hAnsi="宋体"/>
                <w:color w:val="auto"/>
                <w:highlight w:val="none"/>
              </w:rPr>
              <w:t>时</w:t>
            </w:r>
            <w:r>
              <w:rPr>
                <w:rFonts w:hint="default" w:hAnsi="宋体"/>
                <w:color w:val="auto"/>
                <w:highlight w:val="none"/>
                <w:u w:val="single"/>
              </w:rPr>
              <w:t>00</w:t>
            </w:r>
            <w:r>
              <w:rPr>
                <w:rFonts w:hint="eastAsia" w:hAnsi="宋体"/>
                <w:color w:val="auto"/>
                <w:highlight w:val="none"/>
              </w:rPr>
              <w:t>分到</w:t>
            </w:r>
            <w:r>
              <w:rPr>
                <w:rFonts w:hint="default" w:hAnsi="宋体"/>
                <w:color w:val="auto"/>
                <w:highlight w:val="none"/>
                <w:u w:val="single"/>
              </w:rPr>
              <w:t xml:space="preserve">   18</w:t>
            </w:r>
            <w:r>
              <w:rPr>
                <w:rFonts w:hint="eastAsia" w:hAnsi="宋体"/>
                <w:color w:val="auto"/>
                <w:highlight w:val="none"/>
              </w:rPr>
              <w:t>时</w:t>
            </w:r>
            <w:r>
              <w:rPr>
                <w:rFonts w:hint="default" w:hAnsi="宋体"/>
                <w:color w:val="auto"/>
                <w:highlight w:val="none"/>
                <w:u w:val="single"/>
              </w:rPr>
              <w:t xml:space="preserve">00 </w:t>
            </w:r>
            <w:r>
              <w:rPr>
                <w:rFonts w:hint="eastAsia" w:hAnsi="宋体"/>
                <w:color w:val="auto"/>
                <w:highlight w:val="none"/>
              </w:rPr>
              <w:t>分</w:t>
            </w:r>
          </w:p>
        </w:tc>
      </w:tr>
      <w:tr w14:paraId="1E0AB3CD">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709" w:hRule="atLeast"/>
        </w:trPr>
        <w:tc>
          <w:tcPr>
            <w:tcW w:w="1065" w:type="dxa"/>
            <w:tcBorders>
              <w:top w:val="nil"/>
              <w:left w:val="single" w:color="auto" w:sz="4" w:space="0"/>
              <w:bottom w:val="single" w:color="auto" w:sz="4" w:space="0"/>
              <w:right w:val="single" w:color="auto" w:sz="4" w:space="0"/>
            </w:tcBorders>
            <w:vAlign w:val="center"/>
          </w:tcPr>
          <w:p w14:paraId="751EBD07">
            <w:pPr>
              <w:keepNext w:val="0"/>
              <w:keepLines w:val="0"/>
              <w:suppressLineNumbers w:val="0"/>
              <w:spacing w:before="0" w:beforeAutospacing="0" w:after="0" w:afterAutospacing="0" w:line="560" w:lineRule="exact"/>
              <w:ind w:left="0" w:right="0"/>
              <w:rPr>
                <w:rFonts w:hint="default" w:ascii="宋体" w:hAnsi="宋体"/>
                <w:color w:val="auto"/>
                <w:szCs w:val="21"/>
                <w:highlight w:val="none"/>
              </w:rPr>
            </w:pPr>
            <w:r>
              <w:rPr>
                <w:rFonts w:hint="eastAsia" w:ascii="宋体" w:hAnsi="宋体"/>
                <w:color w:val="auto"/>
                <w:szCs w:val="21"/>
                <w:highlight w:val="none"/>
              </w:rPr>
              <w:t>38.3.1</w:t>
            </w:r>
          </w:p>
        </w:tc>
        <w:tc>
          <w:tcPr>
            <w:tcW w:w="1878" w:type="dxa"/>
            <w:tcBorders>
              <w:top w:val="single" w:color="auto" w:sz="4" w:space="0"/>
              <w:left w:val="single" w:color="auto" w:sz="4" w:space="0"/>
              <w:bottom w:val="single" w:color="auto" w:sz="4" w:space="0"/>
              <w:right w:val="single" w:color="auto" w:sz="4" w:space="0"/>
            </w:tcBorders>
            <w:vAlign w:val="center"/>
          </w:tcPr>
          <w:p w14:paraId="4CE73068">
            <w:pPr>
              <w:keepNext w:val="0"/>
              <w:keepLines w:val="0"/>
              <w:suppressLineNumbers w:val="0"/>
              <w:spacing w:before="0" w:beforeAutospacing="0" w:after="0" w:afterAutospacing="0" w:line="560" w:lineRule="exact"/>
              <w:ind w:left="0" w:right="0"/>
              <w:rPr>
                <w:rFonts w:hint="default" w:hAnsi="宋体"/>
                <w:color w:val="auto"/>
                <w:highlight w:val="none"/>
              </w:rPr>
            </w:pPr>
            <w:r>
              <w:rPr>
                <w:rFonts w:hint="eastAsia" w:hAnsi="宋体"/>
                <w:color w:val="auto"/>
                <w:highlight w:val="none"/>
              </w:rPr>
              <w:t>投诉受理方式</w:t>
            </w:r>
          </w:p>
        </w:tc>
        <w:tc>
          <w:tcPr>
            <w:tcW w:w="7297" w:type="dxa"/>
            <w:tcBorders>
              <w:top w:val="single" w:color="auto" w:sz="4" w:space="0"/>
              <w:left w:val="single" w:color="auto" w:sz="4" w:space="0"/>
              <w:bottom w:val="single" w:color="auto" w:sz="4" w:space="0"/>
              <w:right w:val="single" w:color="auto" w:sz="4" w:space="0"/>
            </w:tcBorders>
            <w:vAlign w:val="center"/>
          </w:tcPr>
          <w:p w14:paraId="0525A439">
            <w:pPr>
              <w:keepNext w:val="0"/>
              <w:keepLines w:val="0"/>
              <w:suppressLineNumbers w:val="0"/>
              <w:snapToGrid w:val="0"/>
              <w:spacing w:before="0" w:beforeAutospacing="0" w:after="0" w:afterAutospacing="0" w:line="560" w:lineRule="exact"/>
              <w:ind w:left="0" w:right="0"/>
              <w:rPr>
                <w:rFonts w:hint="default" w:hAnsi="宋体"/>
                <w:color w:val="auto"/>
                <w:highlight w:val="none"/>
              </w:rPr>
            </w:pPr>
            <w:r>
              <w:rPr>
                <w:rFonts w:hint="default" w:hAnsi="宋体"/>
                <w:color w:val="auto"/>
                <w:highlight w:val="none"/>
              </w:rPr>
              <w:t>1</w:t>
            </w:r>
            <w:r>
              <w:rPr>
                <w:rFonts w:hint="eastAsia" w:hAnsi="宋体"/>
                <w:color w:val="auto"/>
                <w:highlight w:val="none"/>
              </w:rPr>
              <w:t>、受理方式：纸质方式受理，投诉书正、副本（经过质疑的事项才可投诉）。</w:t>
            </w:r>
          </w:p>
          <w:p w14:paraId="1E7F3CD3">
            <w:pPr>
              <w:keepNext w:val="0"/>
              <w:keepLines w:val="0"/>
              <w:suppressLineNumbers w:val="0"/>
              <w:snapToGrid w:val="0"/>
              <w:spacing w:before="0" w:beforeAutospacing="0" w:after="0" w:afterAutospacing="0" w:line="560" w:lineRule="exact"/>
              <w:ind w:left="0" w:right="0"/>
              <w:rPr>
                <w:rFonts w:hint="default" w:hAnsi="宋体"/>
                <w:color w:val="auto"/>
                <w:highlight w:val="none"/>
              </w:rPr>
            </w:pPr>
            <w:r>
              <w:rPr>
                <w:rFonts w:hint="default" w:hAnsi="宋体"/>
                <w:color w:val="auto"/>
                <w:highlight w:val="none"/>
              </w:rPr>
              <w:t>2</w:t>
            </w:r>
            <w:r>
              <w:rPr>
                <w:rFonts w:hint="eastAsia" w:hAnsi="宋体"/>
                <w:color w:val="auto"/>
                <w:highlight w:val="none"/>
              </w:rPr>
              <w:t>、邮寄地址：</w:t>
            </w:r>
          </w:p>
          <w:p w14:paraId="75165D99">
            <w:pPr>
              <w:keepNext w:val="0"/>
              <w:keepLines w:val="0"/>
              <w:suppressLineNumbers w:val="0"/>
              <w:snapToGrid w:val="0"/>
              <w:spacing w:before="0" w:beforeAutospacing="0" w:after="0" w:afterAutospacing="0" w:line="560" w:lineRule="exact"/>
              <w:ind w:left="0" w:right="0"/>
              <w:rPr>
                <w:rFonts w:hint="default" w:hAnsi="宋体"/>
                <w:color w:val="auto"/>
                <w:highlight w:val="none"/>
              </w:rPr>
            </w:pPr>
            <w:r>
              <w:rPr>
                <w:rFonts w:hint="eastAsia" w:hAnsi="宋体"/>
                <w:color w:val="auto"/>
                <w:highlight w:val="none"/>
              </w:rPr>
              <w:t>名称：南宁市财政局政府采购监督管理科</w:t>
            </w:r>
          </w:p>
          <w:p w14:paraId="11DE1DF7">
            <w:pPr>
              <w:keepNext w:val="0"/>
              <w:keepLines w:val="0"/>
              <w:suppressLineNumbers w:val="0"/>
              <w:snapToGrid w:val="0"/>
              <w:spacing w:before="0" w:beforeAutospacing="0" w:after="0" w:afterAutospacing="0" w:line="560" w:lineRule="exact"/>
              <w:ind w:left="0" w:right="0"/>
              <w:rPr>
                <w:rFonts w:hint="default" w:hAnsi="宋体"/>
                <w:color w:val="auto"/>
                <w:highlight w:val="none"/>
              </w:rPr>
            </w:pPr>
            <w:r>
              <w:rPr>
                <w:rFonts w:hint="eastAsia" w:hAnsi="宋体"/>
                <w:color w:val="auto"/>
                <w:highlight w:val="none"/>
              </w:rPr>
              <w:t>地址：广西南宁市东葛路</w:t>
            </w:r>
            <w:r>
              <w:rPr>
                <w:rFonts w:hint="default" w:hAnsi="宋体"/>
                <w:color w:val="auto"/>
                <w:highlight w:val="none"/>
              </w:rPr>
              <w:t>129</w:t>
            </w:r>
            <w:r>
              <w:rPr>
                <w:rFonts w:hint="eastAsia" w:hAnsi="宋体"/>
                <w:color w:val="auto"/>
                <w:highlight w:val="none"/>
              </w:rPr>
              <w:t>号</w:t>
            </w:r>
          </w:p>
          <w:p w14:paraId="31353B6C">
            <w:pPr>
              <w:keepNext w:val="0"/>
              <w:keepLines w:val="0"/>
              <w:suppressLineNumbers w:val="0"/>
              <w:snapToGrid w:val="0"/>
              <w:spacing w:before="0" w:beforeAutospacing="0" w:after="0" w:afterAutospacing="0" w:line="560" w:lineRule="exact"/>
              <w:ind w:left="0" w:right="0"/>
              <w:rPr>
                <w:rFonts w:hint="default" w:hAnsi="宋体"/>
                <w:color w:val="auto"/>
                <w:highlight w:val="none"/>
              </w:rPr>
            </w:pPr>
            <w:r>
              <w:rPr>
                <w:rFonts w:hint="eastAsia" w:hAnsi="宋体"/>
                <w:color w:val="auto"/>
                <w:highlight w:val="none"/>
              </w:rPr>
              <w:t>联系电话：</w:t>
            </w:r>
            <w:r>
              <w:rPr>
                <w:rFonts w:hint="default" w:hAnsi="宋体"/>
                <w:color w:val="auto"/>
                <w:highlight w:val="none"/>
              </w:rPr>
              <w:t>0771-2189093</w:t>
            </w:r>
          </w:p>
        </w:tc>
      </w:tr>
      <w:tr w14:paraId="4BD4A7E9">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1580" w:hRule="atLeast"/>
        </w:trPr>
        <w:tc>
          <w:tcPr>
            <w:tcW w:w="1065" w:type="dxa"/>
            <w:vMerge w:val="restart"/>
            <w:tcBorders>
              <w:top w:val="single" w:color="auto" w:sz="4" w:space="0"/>
              <w:left w:val="single" w:color="auto" w:sz="4" w:space="0"/>
              <w:bottom w:val="single" w:color="auto" w:sz="4" w:space="0"/>
              <w:right w:val="single" w:color="auto" w:sz="4" w:space="0"/>
            </w:tcBorders>
            <w:vAlign w:val="center"/>
          </w:tcPr>
          <w:p w14:paraId="60ECAC04">
            <w:pPr>
              <w:keepNext w:val="0"/>
              <w:keepLines w:val="0"/>
              <w:suppressLineNumbers w:val="0"/>
              <w:spacing w:before="0" w:beforeAutospacing="0" w:after="0" w:afterAutospacing="0" w:line="560" w:lineRule="exact"/>
              <w:ind w:left="0" w:right="0"/>
              <w:rPr>
                <w:rFonts w:hint="default" w:ascii="宋体" w:hAnsi="宋体"/>
                <w:color w:val="auto"/>
                <w:szCs w:val="21"/>
                <w:highlight w:val="none"/>
              </w:rPr>
            </w:pPr>
            <w:r>
              <w:rPr>
                <w:rFonts w:hint="eastAsia" w:ascii="宋体" w:hAnsi="宋体"/>
                <w:color w:val="auto"/>
                <w:szCs w:val="21"/>
                <w:highlight w:val="none"/>
              </w:rPr>
              <w:t>40</w:t>
            </w:r>
          </w:p>
        </w:tc>
        <w:tc>
          <w:tcPr>
            <w:tcW w:w="1878" w:type="dxa"/>
            <w:tcBorders>
              <w:top w:val="single" w:color="auto" w:sz="4" w:space="0"/>
              <w:left w:val="single" w:color="auto" w:sz="4" w:space="0"/>
              <w:bottom w:val="single" w:color="auto" w:sz="4" w:space="0"/>
              <w:right w:val="single" w:color="auto" w:sz="4" w:space="0"/>
            </w:tcBorders>
            <w:vAlign w:val="center"/>
          </w:tcPr>
          <w:p w14:paraId="70E46485">
            <w:pPr>
              <w:keepNext w:val="0"/>
              <w:keepLines w:val="0"/>
              <w:suppressLineNumbers w:val="0"/>
              <w:spacing w:before="0" w:beforeAutospacing="0" w:after="0" w:afterAutospacing="0" w:line="560" w:lineRule="exact"/>
              <w:ind w:left="0" w:right="0"/>
              <w:rPr>
                <w:rFonts w:hint="default" w:ascii="宋体" w:hAnsi="宋体"/>
                <w:color w:val="auto"/>
                <w:szCs w:val="21"/>
                <w:highlight w:val="none"/>
              </w:rPr>
            </w:pPr>
            <w:bookmarkStart w:id="53" w:name="_41"/>
            <w:bookmarkEnd w:id="53"/>
            <w:bookmarkStart w:id="54" w:name="_42"/>
            <w:bookmarkEnd w:id="54"/>
            <w:r>
              <w:rPr>
                <w:rFonts w:hint="eastAsia" w:hAnsi="宋体" w:cs="宋体"/>
                <w:color w:val="auto"/>
                <w:highlight w:val="none"/>
              </w:rPr>
              <w:t>采购代理费支付方式</w:t>
            </w:r>
          </w:p>
        </w:tc>
        <w:tc>
          <w:tcPr>
            <w:tcW w:w="7297" w:type="dxa"/>
            <w:tcBorders>
              <w:top w:val="single" w:color="auto" w:sz="4" w:space="0"/>
              <w:left w:val="single" w:color="auto" w:sz="4" w:space="0"/>
              <w:bottom w:val="single" w:color="auto" w:sz="4" w:space="0"/>
              <w:right w:val="single" w:color="auto" w:sz="4" w:space="0"/>
            </w:tcBorders>
            <w:vAlign w:val="center"/>
          </w:tcPr>
          <w:p w14:paraId="676A9A34">
            <w:pPr>
              <w:pStyle w:val="7"/>
              <w:keepNext w:val="0"/>
              <w:keepLines w:val="0"/>
              <w:suppressLineNumbers w:val="0"/>
              <w:snapToGrid w:val="0"/>
              <w:spacing w:before="0" w:beforeAutospacing="0" w:after="0" w:afterAutospacing="0" w:line="560" w:lineRule="exact"/>
              <w:ind w:left="0" w:right="0"/>
              <w:rPr>
                <w:rFonts w:hint="default" w:hAnsi="宋体" w:cs="宋体"/>
                <w:color w:val="auto"/>
                <w:highlight w:val="none"/>
              </w:rPr>
            </w:pPr>
            <w:r>
              <w:rPr>
                <w:rFonts w:hint="eastAsia" w:hAnsi="宋体" w:cs="宋体"/>
                <w:color w:val="auto"/>
                <w:highlight w:val="none"/>
              </w:rPr>
              <w:t>√本项目代理服务费由</w:t>
            </w:r>
            <w:r>
              <w:rPr>
                <w:rFonts w:hint="eastAsia" w:hAnsi="宋体" w:cs="宋体"/>
                <w:color w:val="auto"/>
                <w:highlight w:val="none"/>
                <w:u w:val="single"/>
              </w:rPr>
              <w:t>中标人</w:t>
            </w:r>
            <w:r>
              <w:rPr>
                <w:rFonts w:hint="eastAsia" w:hAnsi="宋体" w:cs="宋体"/>
                <w:color w:val="auto"/>
                <w:highlight w:val="none"/>
              </w:rPr>
              <w:t>一次性向采购代理机构支付。</w:t>
            </w:r>
          </w:p>
          <w:p w14:paraId="229B1A5B">
            <w:pPr>
              <w:pStyle w:val="7"/>
              <w:keepNext w:val="0"/>
              <w:keepLines w:val="0"/>
              <w:suppressLineNumbers w:val="0"/>
              <w:snapToGrid w:val="0"/>
              <w:spacing w:before="0" w:beforeAutospacing="0" w:after="0" w:afterAutospacing="0" w:line="560" w:lineRule="exact"/>
              <w:ind w:left="0" w:right="0"/>
              <w:rPr>
                <w:rFonts w:hint="default" w:hAnsi="宋体" w:cs="宋体"/>
                <w:color w:val="auto"/>
                <w:highlight w:val="none"/>
              </w:rPr>
            </w:pPr>
            <w:r>
              <w:rPr>
                <w:rFonts w:hint="eastAsia" w:hAnsi="宋体" w:cs="宋体"/>
                <w:color w:val="auto"/>
                <w:highlight w:val="none"/>
              </w:rPr>
              <w:t>□采购人支付。</w:t>
            </w:r>
          </w:p>
          <w:p w14:paraId="264EF3C8">
            <w:pPr>
              <w:pStyle w:val="7"/>
              <w:keepNext w:val="0"/>
              <w:keepLines w:val="0"/>
              <w:suppressLineNumbers w:val="0"/>
              <w:snapToGrid w:val="0"/>
              <w:spacing w:before="0" w:beforeAutospacing="0" w:after="0" w:afterAutospacing="0" w:line="560" w:lineRule="exact"/>
              <w:ind w:left="0" w:right="0"/>
              <w:rPr>
                <w:rFonts w:hint="default" w:hAnsi="宋体" w:cs="宋体"/>
                <w:color w:val="auto"/>
                <w:highlight w:val="none"/>
              </w:rPr>
            </w:pPr>
            <w:r>
              <w:rPr>
                <w:rFonts w:hint="eastAsia" w:hAnsi="宋体" w:cs="宋体"/>
                <w:color w:val="auto"/>
                <w:highlight w:val="none"/>
              </w:rPr>
              <w:t>□本项目不收取代理服务费。</w:t>
            </w:r>
          </w:p>
        </w:tc>
      </w:tr>
      <w:tr w14:paraId="58BB6760">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2121" w:hRule="atLeast"/>
        </w:trPr>
        <w:tc>
          <w:tcPr>
            <w:tcW w:w="1065" w:type="dxa"/>
            <w:vMerge w:val="continue"/>
            <w:tcBorders>
              <w:top w:val="single" w:color="auto" w:sz="4" w:space="0"/>
              <w:left w:val="single" w:color="auto" w:sz="4" w:space="0"/>
              <w:bottom w:val="single" w:color="auto" w:sz="4" w:space="0"/>
              <w:right w:val="single" w:color="auto" w:sz="4" w:space="0"/>
            </w:tcBorders>
            <w:vAlign w:val="center"/>
          </w:tcPr>
          <w:p w14:paraId="06B26650">
            <w:pPr>
              <w:keepNext w:val="0"/>
              <w:keepLines w:val="0"/>
              <w:widowControl/>
              <w:suppressLineNumbers w:val="0"/>
              <w:spacing w:before="0" w:beforeAutospacing="0" w:after="0" w:afterAutospacing="0" w:line="560" w:lineRule="exact"/>
              <w:ind w:left="0" w:right="0"/>
              <w:jc w:val="left"/>
              <w:rPr>
                <w:rFonts w:hint="default" w:ascii="宋体" w:hAnsi="宋体"/>
                <w:color w:val="auto"/>
                <w:szCs w:val="21"/>
                <w:highlight w:val="none"/>
              </w:rPr>
            </w:pPr>
          </w:p>
        </w:tc>
        <w:tc>
          <w:tcPr>
            <w:tcW w:w="1878" w:type="dxa"/>
            <w:tcBorders>
              <w:top w:val="single" w:color="auto" w:sz="4" w:space="0"/>
              <w:left w:val="single" w:color="auto" w:sz="4" w:space="0"/>
              <w:bottom w:val="single" w:color="auto" w:sz="4" w:space="0"/>
              <w:right w:val="single" w:color="auto" w:sz="4" w:space="0"/>
            </w:tcBorders>
            <w:vAlign w:val="center"/>
          </w:tcPr>
          <w:p w14:paraId="361D24A1">
            <w:pPr>
              <w:keepNext w:val="0"/>
              <w:keepLines w:val="0"/>
              <w:suppressLineNumbers w:val="0"/>
              <w:spacing w:before="0" w:beforeAutospacing="0" w:after="0" w:afterAutospacing="0" w:line="560" w:lineRule="exact"/>
              <w:ind w:left="0" w:right="0"/>
              <w:rPr>
                <w:rFonts w:hint="default" w:ascii="宋体" w:hAnsi="宋体"/>
                <w:color w:val="auto"/>
                <w:szCs w:val="21"/>
                <w:highlight w:val="none"/>
              </w:rPr>
            </w:pPr>
            <w:r>
              <w:rPr>
                <w:rFonts w:hint="eastAsia" w:hAnsi="宋体" w:cs="宋体"/>
                <w:color w:val="auto"/>
                <w:highlight w:val="none"/>
              </w:rPr>
              <w:t>采购代理费收取标准</w:t>
            </w:r>
          </w:p>
        </w:tc>
        <w:tc>
          <w:tcPr>
            <w:tcW w:w="7297" w:type="dxa"/>
            <w:tcBorders>
              <w:top w:val="single" w:color="auto" w:sz="4" w:space="0"/>
              <w:left w:val="single" w:color="auto" w:sz="4" w:space="0"/>
              <w:bottom w:val="single" w:color="auto" w:sz="4" w:space="0"/>
              <w:right w:val="single" w:color="auto" w:sz="4" w:space="0"/>
            </w:tcBorders>
            <w:vAlign w:val="center"/>
          </w:tcPr>
          <w:p w14:paraId="046BB535">
            <w:pPr>
              <w:pStyle w:val="7"/>
              <w:keepNext w:val="0"/>
              <w:keepLines w:val="0"/>
              <w:suppressLineNumbers w:val="0"/>
              <w:snapToGrid w:val="0"/>
              <w:spacing w:before="0" w:beforeAutospacing="0" w:after="0" w:afterAutospacing="0" w:line="560" w:lineRule="exact"/>
              <w:ind w:left="0" w:right="0"/>
              <w:rPr>
                <w:rFonts w:hint="default" w:hAnsi="宋体" w:cs="宋体"/>
                <w:b/>
                <w:color w:val="auto"/>
                <w:highlight w:val="none"/>
                <w:u w:val="single"/>
              </w:rPr>
            </w:pPr>
            <w:r>
              <w:rPr>
                <w:rFonts w:hint="eastAsia" w:hAnsi="宋体"/>
                <w:color w:val="auto"/>
                <w:highlight w:val="none"/>
              </w:rPr>
              <w:t>√</w:t>
            </w:r>
            <w:r>
              <w:rPr>
                <w:rFonts w:hint="eastAsia" w:hAnsi="宋体" w:cs="宋体"/>
                <w:color w:val="auto"/>
                <w:highlight w:val="none"/>
              </w:rPr>
              <w:t>以项目（</w:t>
            </w:r>
            <w:r>
              <w:rPr>
                <w:rFonts w:hint="eastAsia" w:hAnsi="宋体"/>
                <w:color w:val="auto"/>
                <w:highlight w:val="none"/>
              </w:rPr>
              <w:t>√中标</w:t>
            </w:r>
            <w:r>
              <w:rPr>
                <w:rFonts w:hint="eastAsia" w:hAnsi="宋体" w:cs="宋体"/>
                <w:color w:val="auto"/>
                <w:highlight w:val="none"/>
              </w:rPr>
              <w:t>金额</w:t>
            </w:r>
            <w:r>
              <w:rPr>
                <w:rFonts w:hint="default" w:hAnsi="宋体" w:cs="宋体"/>
                <w:color w:val="auto"/>
                <w:highlight w:val="none"/>
              </w:rPr>
              <w:t>/</w:t>
            </w:r>
            <w:r>
              <w:rPr>
                <w:rFonts w:hint="eastAsia" w:hAnsi="宋体" w:cs="宋体"/>
                <w:color w:val="auto"/>
                <w:highlight w:val="none"/>
              </w:rPr>
              <w:t>□采购预算</w:t>
            </w:r>
            <w:r>
              <w:rPr>
                <w:rFonts w:hint="default" w:hAnsi="宋体" w:cs="宋体"/>
                <w:color w:val="auto"/>
                <w:highlight w:val="none"/>
              </w:rPr>
              <w:t>/</w:t>
            </w:r>
            <w:r>
              <w:rPr>
                <w:rFonts w:hint="eastAsia" w:hAnsi="宋体" w:cs="宋体"/>
                <w:color w:val="auto"/>
                <w:highlight w:val="none"/>
              </w:rPr>
              <w:t>□暂定</w:t>
            </w:r>
            <w:r>
              <w:rPr>
                <w:rFonts w:hint="eastAsia" w:hAnsi="宋体" w:cs="宋体"/>
                <w:color w:val="auto"/>
                <w:highlight w:val="none"/>
                <w:lang w:val="en-US" w:eastAsia="zh-CN"/>
              </w:rPr>
              <w:t>中标</w:t>
            </w:r>
            <w:r>
              <w:rPr>
                <w:rFonts w:hint="eastAsia" w:hAnsi="宋体" w:cs="宋体"/>
                <w:color w:val="auto"/>
                <w:highlight w:val="none"/>
              </w:rPr>
              <w:t>金额</w:t>
            </w:r>
            <w:r>
              <w:rPr>
                <w:rFonts w:hint="default" w:hAnsi="宋体" w:cs="宋体"/>
                <w:color w:val="auto"/>
                <w:highlight w:val="none"/>
              </w:rPr>
              <w:t>/</w:t>
            </w:r>
            <w:r>
              <w:rPr>
                <w:rFonts w:hint="eastAsia" w:hAnsi="宋体" w:cs="宋体"/>
                <w:color w:val="auto"/>
                <w:highlight w:val="none"/>
              </w:rPr>
              <w:t>□其他）为计费额，按</w:t>
            </w:r>
            <w:r>
              <w:rPr>
                <w:rFonts w:hint="eastAsia" w:hAnsi="宋体" w:cs="宋体"/>
                <w:color w:val="auto"/>
                <w:highlight w:val="none"/>
                <w:u w:val="single"/>
              </w:rPr>
              <w:t>服务类</w:t>
            </w:r>
            <w:r>
              <w:rPr>
                <w:rFonts w:hint="eastAsia" w:hAnsi="宋体" w:cs="宋体"/>
                <w:color w:val="auto"/>
                <w:highlight w:val="none"/>
              </w:rPr>
              <w:t>采用差额定率累进法计算出收费基准价格，采购代理收费以（</w:t>
            </w:r>
            <w:r>
              <w:rPr>
                <w:rFonts w:hint="eastAsia" w:hAnsi="宋体"/>
                <w:color w:val="auto"/>
                <w:highlight w:val="none"/>
              </w:rPr>
              <w:t>√</w:t>
            </w:r>
            <w:r>
              <w:rPr>
                <w:rFonts w:hint="eastAsia" w:hAnsi="宋体" w:cs="宋体"/>
                <w:color w:val="auto"/>
                <w:highlight w:val="none"/>
              </w:rPr>
              <w:t>收费基准价格</w:t>
            </w:r>
            <w:r>
              <w:rPr>
                <w:rFonts w:hint="default" w:hAnsi="宋体" w:cs="宋体"/>
                <w:color w:val="auto"/>
                <w:highlight w:val="none"/>
              </w:rPr>
              <w:t>/</w:t>
            </w:r>
            <w:r>
              <w:rPr>
                <w:rFonts w:hint="eastAsia" w:hAnsi="宋体" w:cs="宋体"/>
                <w:color w:val="auto"/>
                <w:highlight w:val="none"/>
              </w:rPr>
              <w:t>□收费基准价格下浮</w:t>
            </w:r>
            <w:r>
              <w:rPr>
                <w:rFonts w:hint="eastAsia" w:hAnsi="宋体" w:cs="宋体"/>
                <w:color w:val="auto"/>
                <w:highlight w:val="none"/>
                <w:u w:val="single"/>
                <w:lang w:val="en-US" w:eastAsia="zh-CN"/>
              </w:rPr>
              <w:t xml:space="preserve">   </w:t>
            </w:r>
            <w:r>
              <w:rPr>
                <w:rFonts w:hint="default" w:hAnsi="宋体" w:cs="宋体"/>
                <w:color w:val="auto"/>
                <w:highlight w:val="none"/>
                <w:u w:val="single"/>
              </w:rPr>
              <w:t xml:space="preserve"> %</w:t>
            </w:r>
            <w:r>
              <w:rPr>
                <w:rFonts w:hint="default" w:hAnsi="宋体" w:cs="宋体"/>
                <w:color w:val="auto"/>
                <w:highlight w:val="none"/>
              </w:rPr>
              <w:t>/</w:t>
            </w:r>
            <w:r>
              <w:rPr>
                <w:rFonts w:hint="eastAsia" w:hAnsi="宋体" w:cs="宋体"/>
                <w:color w:val="auto"/>
                <w:highlight w:val="none"/>
              </w:rPr>
              <w:t>□收费基准价格上浮</w:t>
            </w:r>
            <w:r>
              <w:rPr>
                <w:rFonts w:hint="default" w:hAnsi="宋体" w:cs="宋体"/>
                <w:color w:val="auto"/>
                <w:highlight w:val="none"/>
                <w:u w:val="single"/>
              </w:rPr>
              <w:t xml:space="preserve">   %</w:t>
            </w:r>
            <w:r>
              <w:rPr>
                <w:rFonts w:hint="eastAsia" w:hAnsi="宋体" w:cs="宋体"/>
                <w:color w:val="auto"/>
                <w:highlight w:val="none"/>
              </w:rPr>
              <w:t>）收取。</w:t>
            </w:r>
          </w:p>
        </w:tc>
      </w:tr>
      <w:tr w14:paraId="6BB97533">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1549" w:hRule="atLeast"/>
        </w:trPr>
        <w:tc>
          <w:tcPr>
            <w:tcW w:w="1065" w:type="dxa"/>
            <w:vMerge w:val="continue"/>
            <w:tcBorders>
              <w:top w:val="single" w:color="auto" w:sz="4" w:space="0"/>
              <w:left w:val="single" w:color="auto" w:sz="4" w:space="0"/>
              <w:bottom w:val="single" w:color="auto" w:sz="4" w:space="0"/>
              <w:right w:val="single" w:color="auto" w:sz="4" w:space="0"/>
            </w:tcBorders>
            <w:vAlign w:val="center"/>
          </w:tcPr>
          <w:p w14:paraId="7256F3B1">
            <w:pPr>
              <w:keepNext w:val="0"/>
              <w:keepLines w:val="0"/>
              <w:widowControl/>
              <w:suppressLineNumbers w:val="0"/>
              <w:spacing w:before="0" w:beforeAutospacing="0" w:after="0" w:afterAutospacing="0" w:line="560" w:lineRule="exact"/>
              <w:ind w:left="0" w:right="0"/>
              <w:jc w:val="left"/>
              <w:rPr>
                <w:rFonts w:hint="default" w:ascii="宋体" w:hAnsi="宋体"/>
                <w:color w:val="auto"/>
                <w:szCs w:val="21"/>
                <w:highlight w:val="none"/>
              </w:rPr>
            </w:pPr>
          </w:p>
        </w:tc>
        <w:tc>
          <w:tcPr>
            <w:tcW w:w="1878" w:type="dxa"/>
            <w:tcBorders>
              <w:top w:val="single" w:color="auto" w:sz="4" w:space="0"/>
              <w:left w:val="single" w:color="auto" w:sz="4" w:space="0"/>
              <w:bottom w:val="single" w:color="auto" w:sz="4" w:space="0"/>
              <w:right w:val="single" w:color="auto" w:sz="4" w:space="0"/>
            </w:tcBorders>
            <w:vAlign w:val="center"/>
          </w:tcPr>
          <w:p w14:paraId="545AC5F8">
            <w:pPr>
              <w:keepNext w:val="0"/>
              <w:keepLines w:val="0"/>
              <w:suppressLineNumbers w:val="0"/>
              <w:spacing w:before="0" w:beforeAutospacing="0" w:after="0" w:afterAutospacing="0" w:line="560" w:lineRule="exact"/>
              <w:ind w:left="0" w:right="0"/>
              <w:rPr>
                <w:rFonts w:hint="default" w:ascii="宋体" w:hAnsi="宋体"/>
                <w:color w:val="auto"/>
                <w:szCs w:val="21"/>
                <w:highlight w:val="none"/>
              </w:rPr>
            </w:pPr>
            <w:r>
              <w:rPr>
                <w:rFonts w:hint="eastAsia" w:hAnsi="宋体" w:cs="宋体"/>
                <w:color w:val="auto"/>
                <w:highlight w:val="none"/>
              </w:rPr>
              <w:t>代理服务费收款账户信息</w:t>
            </w:r>
          </w:p>
        </w:tc>
        <w:tc>
          <w:tcPr>
            <w:tcW w:w="7297" w:type="dxa"/>
            <w:tcBorders>
              <w:top w:val="single" w:color="auto" w:sz="4" w:space="0"/>
              <w:left w:val="single" w:color="auto" w:sz="4" w:space="0"/>
              <w:bottom w:val="single" w:color="auto" w:sz="4" w:space="0"/>
              <w:right w:val="single" w:color="auto" w:sz="4" w:space="0"/>
            </w:tcBorders>
            <w:vAlign w:val="center"/>
          </w:tcPr>
          <w:p w14:paraId="279FC1E4">
            <w:pPr>
              <w:pStyle w:val="7"/>
              <w:keepNext w:val="0"/>
              <w:keepLines w:val="0"/>
              <w:suppressLineNumbers w:val="0"/>
              <w:snapToGrid w:val="0"/>
              <w:spacing w:before="0" w:beforeAutospacing="0" w:after="0" w:afterAutospacing="0" w:line="560" w:lineRule="exact"/>
              <w:ind w:left="0" w:right="0"/>
              <w:rPr>
                <w:rFonts w:hint="default" w:hAnsi="宋体" w:cs="宋体"/>
                <w:color w:val="auto"/>
                <w:highlight w:val="none"/>
              </w:rPr>
            </w:pPr>
            <w:r>
              <w:rPr>
                <w:rFonts w:hint="eastAsia" w:hAnsi="宋体" w:cs="宋体"/>
                <w:color w:val="auto"/>
                <w:highlight w:val="none"/>
              </w:rPr>
              <w:t>开户名称：云之龙咨询集团有限公司，银行账号：8113001013400293071，开户银行：中信银行南宁园湖支行，开户行行号：302611029137</w:t>
            </w:r>
          </w:p>
        </w:tc>
      </w:tr>
      <w:tr w14:paraId="7AE69B8B">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c>
          <w:tcPr>
            <w:tcW w:w="1065" w:type="dxa"/>
            <w:tcBorders>
              <w:top w:val="single" w:color="auto" w:sz="4" w:space="0"/>
              <w:left w:val="single" w:color="auto" w:sz="4" w:space="0"/>
              <w:bottom w:val="single" w:color="auto" w:sz="4" w:space="0"/>
              <w:right w:val="single" w:color="auto" w:sz="4" w:space="0"/>
            </w:tcBorders>
            <w:vAlign w:val="center"/>
          </w:tcPr>
          <w:p w14:paraId="0AFF937C">
            <w:pPr>
              <w:keepNext w:val="0"/>
              <w:keepLines w:val="0"/>
              <w:suppressLineNumbers w:val="0"/>
              <w:snapToGrid w:val="0"/>
              <w:spacing w:before="0" w:beforeAutospacing="0" w:after="0" w:afterAutospacing="0" w:line="560" w:lineRule="exact"/>
              <w:ind w:left="0" w:right="0"/>
              <w:jc w:val="center"/>
              <w:rPr>
                <w:rFonts w:hint="default" w:ascii="宋体" w:hAnsi="宋体"/>
                <w:color w:val="auto"/>
                <w:szCs w:val="21"/>
                <w:highlight w:val="none"/>
              </w:rPr>
            </w:pPr>
            <w:r>
              <w:rPr>
                <w:rFonts w:hint="eastAsia" w:ascii="宋体" w:hAnsi="宋体"/>
                <w:color w:val="auto"/>
                <w:szCs w:val="21"/>
                <w:highlight w:val="none"/>
              </w:rPr>
              <w:t>41.1</w:t>
            </w:r>
          </w:p>
        </w:tc>
        <w:tc>
          <w:tcPr>
            <w:tcW w:w="1878" w:type="dxa"/>
            <w:tcBorders>
              <w:top w:val="single" w:color="auto" w:sz="4" w:space="0"/>
              <w:left w:val="single" w:color="auto" w:sz="4" w:space="0"/>
              <w:bottom w:val="single" w:color="auto" w:sz="4" w:space="0"/>
              <w:right w:val="single" w:color="auto" w:sz="4" w:space="0"/>
            </w:tcBorders>
            <w:vAlign w:val="center"/>
          </w:tcPr>
          <w:p w14:paraId="013B2594">
            <w:pPr>
              <w:keepNext w:val="0"/>
              <w:keepLines w:val="0"/>
              <w:suppressLineNumbers w:val="0"/>
              <w:snapToGrid w:val="0"/>
              <w:spacing w:before="0" w:beforeAutospacing="0" w:after="0" w:afterAutospacing="0" w:line="560" w:lineRule="exact"/>
              <w:ind w:left="0" w:right="0"/>
              <w:rPr>
                <w:rFonts w:hint="default" w:ascii="宋体" w:hAnsi="宋体"/>
                <w:color w:val="auto"/>
                <w:szCs w:val="21"/>
                <w:highlight w:val="none"/>
              </w:rPr>
            </w:pPr>
            <w:r>
              <w:rPr>
                <w:rFonts w:hint="eastAsia" w:ascii="宋体" w:hAnsi="宋体"/>
                <w:color w:val="auto"/>
                <w:szCs w:val="21"/>
                <w:highlight w:val="none"/>
              </w:rPr>
              <w:t>解释</w:t>
            </w:r>
          </w:p>
        </w:tc>
        <w:tc>
          <w:tcPr>
            <w:tcW w:w="7297" w:type="dxa"/>
            <w:tcBorders>
              <w:top w:val="single" w:color="auto" w:sz="4" w:space="0"/>
              <w:left w:val="single" w:color="auto" w:sz="4" w:space="0"/>
              <w:bottom w:val="single" w:color="auto" w:sz="4" w:space="0"/>
              <w:right w:val="single" w:color="auto" w:sz="4" w:space="0"/>
            </w:tcBorders>
            <w:vAlign w:val="center"/>
          </w:tcPr>
          <w:p w14:paraId="33C4D3B4">
            <w:pPr>
              <w:keepNext w:val="0"/>
              <w:keepLines w:val="0"/>
              <w:suppressLineNumbers w:val="0"/>
              <w:snapToGrid w:val="0"/>
              <w:spacing w:before="0" w:beforeAutospacing="0" w:after="0" w:afterAutospacing="0" w:line="560" w:lineRule="exact"/>
              <w:ind w:left="0" w:right="0"/>
              <w:rPr>
                <w:rFonts w:hint="default" w:ascii="宋体" w:hAnsi="宋体"/>
                <w:b/>
                <w:color w:val="auto"/>
                <w:szCs w:val="21"/>
                <w:highlight w:val="none"/>
              </w:rPr>
            </w:pPr>
            <w:r>
              <w:rPr>
                <w:rFonts w:hint="eastAsia" w:ascii="宋体" w:hAnsi="宋体"/>
                <w:b/>
                <w:color w:val="auto"/>
                <w:szCs w:val="21"/>
                <w:highlight w:val="none"/>
              </w:rPr>
              <w:t>解释权：</w:t>
            </w:r>
            <w:r>
              <w:rPr>
                <w:rFonts w:hint="eastAsia" w:ascii="宋体" w:hAnsi="宋体"/>
                <w:color w:val="auto"/>
                <w:szCs w:val="21"/>
                <w:highlight w:val="none"/>
              </w:rPr>
              <w:t>构成本招标文件的各个组成文件应互为解释，互为说明；除招标文件中有特别规定外，仅适用于招标投标阶段的规定，按更正公告（澄清公告）、招标公告、采购需求、投标人须知、评标方法及评标标准、拟签订的合同文本、投标文件格式的先后顺序解释；同一组成文件中就同一事项的规定或者约定不一致的，以编排顺序在后者为准；同一组成文件不同版本之间有不一致的，以形成时间在后者为准；更正公告（澄清公告）与同步更新的招标文件不一致时以更正公告（澄清公告）为准。按本款前述规定仍不能形成结论的</w:t>
            </w:r>
            <w:r>
              <w:rPr>
                <w:rFonts w:hint="eastAsia" w:ascii="宋体" w:hAnsi="宋体"/>
                <w:b/>
                <w:color w:val="auto"/>
                <w:szCs w:val="21"/>
                <w:highlight w:val="none"/>
              </w:rPr>
              <w:t>，由采购人或者采购代理机构负责解释。</w:t>
            </w:r>
          </w:p>
          <w:p w14:paraId="0EF51613">
            <w:pPr>
              <w:keepNext w:val="0"/>
              <w:keepLines w:val="0"/>
              <w:suppressLineNumbers w:val="0"/>
              <w:snapToGrid w:val="0"/>
              <w:spacing w:before="0" w:beforeAutospacing="0" w:after="0" w:afterAutospacing="0" w:line="560" w:lineRule="exact"/>
              <w:ind w:left="0" w:right="0"/>
              <w:rPr>
                <w:rFonts w:hint="default" w:ascii="宋体" w:hAnsi="宋体"/>
                <w:b/>
                <w:color w:val="auto"/>
                <w:szCs w:val="21"/>
                <w:highlight w:val="none"/>
              </w:rPr>
            </w:pPr>
            <w:r>
              <w:rPr>
                <w:rFonts w:hint="eastAsia" w:ascii="宋体" w:hAnsi="宋体"/>
                <w:b/>
                <w:color w:val="auto"/>
                <w:szCs w:val="21"/>
                <w:highlight w:val="none"/>
              </w:rPr>
              <w:t>法律责任：</w:t>
            </w:r>
          </w:p>
          <w:p w14:paraId="22F9ED1D">
            <w:pPr>
              <w:keepNext w:val="0"/>
              <w:keepLines w:val="0"/>
              <w:suppressLineNumbers w:val="0"/>
              <w:snapToGrid w:val="0"/>
              <w:spacing w:before="0" w:beforeAutospacing="0" w:after="0" w:afterAutospacing="0" w:line="560" w:lineRule="exact"/>
              <w:ind w:left="0" w:right="0"/>
              <w:rPr>
                <w:rFonts w:hint="default" w:ascii="宋体" w:hAnsi="宋体"/>
                <w:color w:val="auto"/>
                <w:szCs w:val="21"/>
                <w:highlight w:val="none"/>
              </w:rPr>
            </w:pPr>
            <w:r>
              <w:rPr>
                <w:rFonts w:hint="eastAsia" w:ascii="宋体" w:hAnsi="宋体"/>
                <w:color w:val="auto"/>
                <w:szCs w:val="21"/>
                <w:highlight w:val="none"/>
              </w:rPr>
              <w:t>1.本采购文件根据《中华人民共和国政府采购法》、《中华人民共和国民法典》；《中华人民共和国政府采购法实施条例》、《政府采购货物和服务招标投标管理办法》等有关法律、法规编制，参与本项目的各政府采购当事人依法享有上述法律法规所赋予的权利与义务。</w:t>
            </w:r>
          </w:p>
          <w:p w14:paraId="359BBFD5">
            <w:pPr>
              <w:keepNext w:val="0"/>
              <w:keepLines w:val="0"/>
              <w:suppressLineNumbers w:val="0"/>
              <w:spacing w:before="0" w:beforeAutospacing="0" w:after="0" w:afterAutospacing="0" w:line="560" w:lineRule="exact"/>
              <w:ind w:left="0" w:right="0"/>
              <w:rPr>
                <w:rFonts w:hint="default"/>
                <w:color w:val="auto"/>
                <w:highlight w:val="none"/>
              </w:rPr>
            </w:pPr>
            <w:r>
              <w:rPr>
                <w:rFonts w:hint="eastAsia" w:ascii="宋体" w:hAnsi="宋体"/>
                <w:b/>
                <w:color w:val="auto"/>
                <w:szCs w:val="21"/>
                <w:highlight w:val="none"/>
              </w:rPr>
              <w:t>2.本项目采购代理机构应严格按照“广西政府采购云”平台项目采购全流程电子化电子开评标规程执行项目采购活动，代理机构在“广西政府采购云”平台的“项目管理”—“采购文件管理”内开评标规则设置作为本采购文件的组成部分，截标之后不可更改，因代理机构开评标规则设置错误导致采购活动无法开展下去的情况，由代理机构负责解释并承担其后果。</w:t>
            </w:r>
          </w:p>
        </w:tc>
      </w:tr>
      <w:tr w14:paraId="15AAC9BE">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c>
          <w:tcPr>
            <w:tcW w:w="1065" w:type="dxa"/>
            <w:tcBorders>
              <w:top w:val="single" w:color="auto" w:sz="4" w:space="0"/>
              <w:left w:val="single" w:color="auto" w:sz="4" w:space="0"/>
              <w:bottom w:val="single" w:color="auto" w:sz="4" w:space="0"/>
              <w:right w:val="single" w:color="auto" w:sz="4" w:space="0"/>
            </w:tcBorders>
            <w:vAlign w:val="center"/>
          </w:tcPr>
          <w:p w14:paraId="313CB528">
            <w:pPr>
              <w:keepNext w:val="0"/>
              <w:keepLines w:val="0"/>
              <w:suppressLineNumbers w:val="0"/>
              <w:snapToGrid w:val="0"/>
              <w:spacing w:before="0" w:beforeAutospacing="0" w:after="0" w:afterAutospacing="0" w:line="560" w:lineRule="exact"/>
              <w:ind w:left="0" w:right="0"/>
              <w:jc w:val="center"/>
              <w:rPr>
                <w:rFonts w:hint="default" w:ascii="宋体" w:hAnsi="宋体"/>
                <w:color w:val="auto"/>
                <w:szCs w:val="21"/>
                <w:highlight w:val="none"/>
              </w:rPr>
            </w:pPr>
            <w:r>
              <w:rPr>
                <w:rFonts w:hint="eastAsia" w:ascii="宋体" w:hAnsi="宋体"/>
                <w:color w:val="auto"/>
                <w:szCs w:val="21"/>
                <w:highlight w:val="none"/>
              </w:rPr>
              <w:t>41.2</w:t>
            </w:r>
          </w:p>
        </w:tc>
        <w:tc>
          <w:tcPr>
            <w:tcW w:w="1878" w:type="dxa"/>
            <w:tcBorders>
              <w:top w:val="single" w:color="auto" w:sz="4" w:space="0"/>
              <w:left w:val="single" w:color="auto" w:sz="4" w:space="0"/>
              <w:bottom w:val="single" w:color="auto" w:sz="4" w:space="0"/>
              <w:right w:val="single" w:color="auto" w:sz="4" w:space="0"/>
            </w:tcBorders>
            <w:vAlign w:val="center"/>
          </w:tcPr>
          <w:p w14:paraId="5E16171C">
            <w:pPr>
              <w:keepNext w:val="0"/>
              <w:keepLines w:val="0"/>
              <w:suppressLineNumbers w:val="0"/>
              <w:snapToGrid w:val="0"/>
              <w:spacing w:before="0" w:beforeAutospacing="0" w:after="0" w:afterAutospacing="0" w:line="560" w:lineRule="exact"/>
              <w:ind w:left="0" w:right="0"/>
              <w:rPr>
                <w:rFonts w:hint="default" w:ascii="宋体" w:hAnsi="宋体"/>
                <w:color w:val="auto"/>
                <w:szCs w:val="21"/>
                <w:highlight w:val="none"/>
              </w:rPr>
            </w:pPr>
            <w:r>
              <w:rPr>
                <w:rFonts w:hint="eastAsia" w:ascii="宋体" w:hAnsi="宋体"/>
                <w:color w:val="auto"/>
                <w:szCs w:val="21"/>
                <w:highlight w:val="none"/>
              </w:rPr>
              <w:t>其他释义</w:t>
            </w:r>
          </w:p>
        </w:tc>
        <w:tc>
          <w:tcPr>
            <w:tcW w:w="7297" w:type="dxa"/>
            <w:tcBorders>
              <w:top w:val="single" w:color="auto" w:sz="4" w:space="0"/>
              <w:left w:val="single" w:color="auto" w:sz="4" w:space="0"/>
              <w:bottom w:val="single" w:color="auto" w:sz="4" w:space="0"/>
              <w:right w:val="single" w:color="auto" w:sz="4" w:space="0"/>
            </w:tcBorders>
            <w:vAlign w:val="center"/>
          </w:tcPr>
          <w:p w14:paraId="7AA285AD">
            <w:pPr>
              <w:keepNext w:val="0"/>
              <w:keepLines w:val="0"/>
              <w:suppressLineNumbers w:val="0"/>
              <w:spacing w:before="0" w:beforeAutospacing="0" w:after="0" w:afterAutospacing="0" w:line="560" w:lineRule="exact"/>
              <w:ind w:left="0" w:right="0"/>
              <w:rPr>
                <w:rFonts w:hint="default" w:hAnsi="宋体" w:cs="宋体"/>
                <w:b/>
                <w:bCs/>
                <w:color w:val="auto"/>
                <w:highlight w:val="none"/>
              </w:rPr>
            </w:pPr>
            <w:r>
              <w:rPr>
                <w:rFonts w:hint="eastAsia" w:hAnsi="宋体" w:cs="宋体"/>
                <w:b/>
                <w:bCs/>
                <w:color w:val="auto"/>
                <w:highlight w:val="none"/>
              </w:rPr>
              <w:t>1.本招标文件中描述投标人的“公章”是指根据我国对公章的管理规定，用投标人法定主体行为名称制作的印章（含投标人通过指定电子化政府采购平台办理数字证书（CA认证）获得的以法定主体行为名称制作的电子印章），除本招标文件有特殊规定外，投标人的财务章、部门章、分公司章、工会章、合同章、投标专用章、业务专用章及银行的转账章、现金收讫章、现金付讫章等其他形式印章均不能代替公章。</w:t>
            </w:r>
          </w:p>
          <w:p w14:paraId="141BFC2D">
            <w:pPr>
              <w:pStyle w:val="7"/>
              <w:keepNext w:val="0"/>
              <w:keepLines w:val="0"/>
              <w:suppressLineNumbers w:val="0"/>
              <w:snapToGrid w:val="0"/>
              <w:spacing w:before="0" w:beforeAutospacing="0" w:after="0" w:afterAutospacing="0" w:line="560" w:lineRule="exact"/>
              <w:ind w:left="0" w:right="0"/>
              <w:rPr>
                <w:rFonts w:hint="default" w:hAnsi="宋体" w:cs="宋体"/>
                <w:b/>
                <w:bCs/>
                <w:color w:val="auto"/>
                <w:highlight w:val="none"/>
              </w:rPr>
            </w:pPr>
            <w:r>
              <w:rPr>
                <w:rFonts w:hint="eastAsia" w:hAnsi="宋体" w:cs="宋体"/>
                <w:b/>
                <w:bCs/>
                <w:color w:val="auto"/>
                <w:highlight w:val="none"/>
              </w:rPr>
              <w:t>2.投标人为其他组织或者自然人时，本招标文件规定的法定代表人指负责人或者自然人。本招标文件所称负责人是指参加投标的其他组织营业执照上的负责人，本招标文件所称自然人指参与投标的自然人本人。</w:t>
            </w:r>
          </w:p>
          <w:p w14:paraId="6F84C0B1">
            <w:pPr>
              <w:keepNext w:val="0"/>
              <w:keepLines w:val="0"/>
              <w:suppressLineNumbers w:val="0"/>
              <w:spacing w:before="0" w:beforeAutospacing="0" w:after="0" w:afterAutospacing="0" w:line="560" w:lineRule="exact"/>
              <w:ind w:left="0" w:right="0"/>
              <w:rPr>
                <w:rFonts w:hint="default" w:hAnsi="宋体" w:cs="宋体"/>
                <w:b/>
                <w:bCs/>
                <w:color w:val="auto"/>
                <w:highlight w:val="none"/>
              </w:rPr>
            </w:pPr>
            <w:r>
              <w:rPr>
                <w:rFonts w:hint="eastAsia" w:hAnsi="宋体" w:cs="宋体"/>
                <w:b/>
                <w:bCs/>
                <w:color w:val="auto"/>
                <w:highlight w:val="none"/>
              </w:rPr>
              <w:t>3.本招标文件中描述投标人的“签字”是指投标人的法定代表人或者委托代理人亲自在文件规定签署处亲笔写上个人的名字的行为（含投标人通过指定电子化政府采购平台办理数字证书（CA认证）获得的以投标人法定代表人或者委托代理人姓名制作的电子印章或手写签字），私章、签字章、印鉴、影印等其他形式均不能代替亲笔签字。</w:t>
            </w:r>
          </w:p>
          <w:p w14:paraId="2F5C7651">
            <w:pPr>
              <w:pStyle w:val="7"/>
              <w:keepNext w:val="0"/>
              <w:keepLines w:val="0"/>
              <w:suppressLineNumbers w:val="0"/>
              <w:snapToGrid w:val="0"/>
              <w:spacing w:before="0" w:beforeAutospacing="0" w:after="0" w:afterAutospacing="0" w:line="560" w:lineRule="exact"/>
              <w:ind w:left="0" w:right="0"/>
              <w:rPr>
                <w:rFonts w:hint="default" w:hAnsi="宋体" w:cs="宋体"/>
                <w:b/>
                <w:bCs/>
                <w:color w:val="auto"/>
                <w:highlight w:val="none"/>
              </w:rPr>
            </w:pPr>
            <w:r>
              <w:rPr>
                <w:rFonts w:hint="eastAsia" w:hAnsi="宋体" w:cs="宋体"/>
                <w:b/>
                <w:bCs/>
                <w:color w:val="auto"/>
                <w:highlight w:val="none"/>
              </w:rPr>
              <w:t>4.自然人投标的，招标文件规定盖公章处由自然人摁手指指印。</w:t>
            </w:r>
          </w:p>
          <w:p w14:paraId="37BB5D5E">
            <w:pPr>
              <w:keepNext w:val="0"/>
              <w:keepLines w:val="0"/>
              <w:suppressLineNumbers w:val="0"/>
              <w:spacing w:before="0" w:beforeAutospacing="0" w:after="0" w:afterAutospacing="0" w:line="560" w:lineRule="exact"/>
              <w:ind w:left="0" w:right="0"/>
              <w:jc w:val="left"/>
              <w:rPr>
                <w:rFonts w:hint="default" w:ascii="宋体" w:hAnsi="宋体"/>
                <w:color w:val="auto"/>
                <w:szCs w:val="21"/>
                <w:highlight w:val="none"/>
              </w:rPr>
            </w:pPr>
            <w:r>
              <w:rPr>
                <w:rFonts w:hint="eastAsia" w:ascii="宋体" w:hAnsi="宋体" w:cs="宋体"/>
                <w:b/>
                <w:bCs/>
                <w:color w:val="auto"/>
                <w:szCs w:val="21"/>
                <w:highlight w:val="none"/>
              </w:rPr>
              <w:t>5.本招标文件所称的“以上”“以下”“以内”“届满”，包括本数；所称的“不满”“超过”“以外”，不包括本数。</w:t>
            </w:r>
          </w:p>
        </w:tc>
      </w:tr>
    </w:tbl>
    <w:p w14:paraId="2F27076B">
      <w:pPr>
        <w:widowControl/>
        <w:spacing w:line="412" w:lineRule="auto"/>
        <w:jc w:val="left"/>
        <w:rPr>
          <w:rFonts w:ascii="Arial" w:hAnsi="Arial" w:eastAsia="黑体"/>
          <w:b/>
          <w:bCs/>
          <w:color w:val="auto"/>
          <w:sz w:val="32"/>
          <w:szCs w:val="32"/>
          <w:highlight w:val="none"/>
        </w:rPr>
        <w:sectPr>
          <w:pgSz w:w="11906" w:h="16838"/>
          <w:pgMar w:top="1134" w:right="1134" w:bottom="1134" w:left="1134" w:header="720" w:footer="720" w:gutter="0"/>
          <w:pgNumType w:fmt="decimal"/>
          <w:cols w:space="720" w:num="1"/>
          <w:docGrid w:type="lines" w:linePitch="331" w:charSpace="0"/>
        </w:sectPr>
      </w:pPr>
    </w:p>
    <w:p w14:paraId="1CD224A2">
      <w:pPr>
        <w:rPr>
          <w:color w:val="auto"/>
          <w:highlight w:val="none"/>
        </w:rPr>
      </w:pPr>
    </w:p>
    <w:p w14:paraId="18943FE7">
      <w:pPr>
        <w:pStyle w:val="9"/>
        <w:jc w:val="center"/>
        <w:rPr>
          <w:color w:val="auto"/>
          <w:highlight w:val="none"/>
        </w:rPr>
      </w:pPr>
      <w:bookmarkStart w:id="55" w:name="_Toc187761553"/>
      <w:r>
        <w:rPr>
          <w:rFonts w:hint="eastAsia"/>
          <w:color w:val="auto"/>
          <w:highlight w:val="none"/>
        </w:rPr>
        <w:t>第二节投标人须知正文</w:t>
      </w:r>
      <w:bookmarkEnd w:id="55"/>
    </w:p>
    <w:p w14:paraId="24C03533">
      <w:pPr>
        <w:pStyle w:val="10"/>
        <w:keepNext w:val="0"/>
        <w:keepLines w:val="0"/>
        <w:spacing w:line="400" w:lineRule="exact"/>
        <w:jc w:val="center"/>
        <w:rPr>
          <w:color w:val="auto"/>
          <w:highlight w:val="none"/>
        </w:rPr>
      </w:pPr>
      <w:bookmarkStart w:id="56" w:name="_Toc187761554"/>
      <w:r>
        <w:rPr>
          <w:rFonts w:hint="eastAsia"/>
          <w:color w:val="auto"/>
          <w:highlight w:val="none"/>
        </w:rPr>
        <w:t>一、总则</w:t>
      </w:r>
      <w:bookmarkEnd w:id="56"/>
    </w:p>
    <w:p w14:paraId="07AD377C">
      <w:pPr>
        <w:spacing w:line="360" w:lineRule="auto"/>
        <w:ind w:firstLine="480" w:firstLineChars="200"/>
        <w:rPr>
          <w:rFonts w:ascii="黑体" w:hAnsi="黑体" w:eastAsia="黑体"/>
          <w:color w:val="auto"/>
          <w:sz w:val="24"/>
          <w:highlight w:val="none"/>
        </w:rPr>
      </w:pPr>
      <w:bookmarkStart w:id="57" w:name="_Toc254970527"/>
      <w:bookmarkStart w:id="58" w:name="_Toc254970668"/>
      <w:r>
        <w:rPr>
          <w:rFonts w:hint="eastAsia" w:ascii="黑体" w:hAnsi="黑体" w:eastAsia="黑体"/>
          <w:color w:val="auto"/>
          <w:sz w:val="24"/>
          <w:highlight w:val="none"/>
        </w:rPr>
        <w:t>1.适用范围</w:t>
      </w:r>
      <w:bookmarkEnd w:id="57"/>
      <w:bookmarkEnd w:id="58"/>
    </w:p>
    <w:p w14:paraId="29FF6598">
      <w:pPr>
        <w:spacing w:line="360" w:lineRule="auto"/>
        <w:ind w:firstLine="420" w:firstLineChars="200"/>
        <w:rPr>
          <w:rFonts w:ascii="宋体" w:hAnsi="宋体"/>
          <w:color w:val="auto"/>
          <w:szCs w:val="21"/>
          <w:highlight w:val="none"/>
        </w:rPr>
      </w:pPr>
      <w:r>
        <w:rPr>
          <w:rFonts w:hint="eastAsia" w:ascii="宋体" w:hAnsi="宋体"/>
          <w:color w:val="auto"/>
          <w:szCs w:val="21"/>
          <w:highlight w:val="none"/>
        </w:rPr>
        <w:t>1.1适用法律：本项目采购人、采购代理机构、投标人、评标委员会的相关行为均受《中华人民共和国政府采购法》、《中华人民共和国政府采购法实施条例》、《政府采购货物和服务招标投标管理办法》及本项目本级和上级财政部门政府采购有关规定的约束和保护。</w:t>
      </w:r>
    </w:p>
    <w:p w14:paraId="7EA1E9DD">
      <w:pPr>
        <w:spacing w:line="360" w:lineRule="auto"/>
        <w:ind w:firstLine="420" w:firstLineChars="200"/>
        <w:rPr>
          <w:rFonts w:ascii="宋体" w:hAnsi="宋体"/>
          <w:color w:val="auto"/>
          <w:szCs w:val="21"/>
          <w:highlight w:val="none"/>
        </w:rPr>
      </w:pPr>
      <w:r>
        <w:rPr>
          <w:rFonts w:hint="eastAsia" w:ascii="宋体" w:hAnsi="宋体"/>
          <w:color w:val="auto"/>
          <w:szCs w:val="21"/>
          <w:highlight w:val="none"/>
        </w:rPr>
        <w:t>1.2本招标文件</w:t>
      </w:r>
      <w:r>
        <w:rPr>
          <w:rFonts w:hint="eastAsia" w:ascii="宋体" w:hAnsi="宋体" w:cs="宋体"/>
          <w:color w:val="auto"/>
          <w:spacing w:val="-6"/>
          <w:szCs w:val="21"/>
          <w:highlight w:val="none"/>
        </w:rPr>
        <w:t>适用于本项目的所有采购程序和环节（法律、法规另有规定的，从其规定）。</w:t>
      </w:r>
    </w:p>
    <w:p w14:paraId="53F43F52">
      <w:pPr>
        <w:spacing w:line="360" w:lineRule="auto"/>
        <w:ind w:firstLine="480" w:firstLineChars="200"/>
        <w:rPr>
          <w:rFonts w:ascii="黑体" w:hAnsi="黑体" w:eastAsia="黑体"/>
          <w:color w:val="auto"/>
          <w:sz w:val="24"/>
          <w:highlight w:val="none"/>
        </w:rPr>
      </w:pPr>
      <w:bookmarkStart w:id="59" w:name="_Toc254970528"/>
      <w:bookmarkStart w:id="60" w:name="_Toc254970669"/>
      <w:r>
        <w:rPr>
          <w:rFonts w:hint="eastAsia" w:ascii="黑体" w:hAnsi="黑体" w:eastAsia="黑体"/>
          <w:color w:val="auto"/>
          <w:sz w:val="24"/>
          <w:highlight w:val="none"/>
        </w:rPr>
        <w:t>2.定义</w:t>
      </w:r>
      <w:bookmarkEnd w:id="59"/>
      <w:bookmarkEnd w:id="60"/>
    </w:p>
    <w:p w14:paraId="46566F34">
      <w:pPr>
        <w:spacing w:line="360" w:lineRule="auto"/>
        <w:ind w:firstLine="422" w:firstLineChars="200"/>
        <w:rPr>
          <w:rFonts w:ascii="宋体" w:hAnsi="宋体"/>
          <w:b/>
          <w:color w:val="auto"/>
          <w:szCs w:val="21"/>
          <w:highlight w:val="none"/>
        </w:rPr>
      </w:pPr>
      <w:r>
        <w:rPr>
          <w:rFonts w:hint="eastAsia" w:ascii="宋体" w:hAnsi="宋体"/>
          <w:b/>
          <w:color w:val="auto"/>
          <w:szCs w:val="21"/>
          <w:highlight w:val="none"/>
        </w:rPr>
        <w:t>2.1“采购人”是指依法进行政府采购的国家机关、事业单位、团体组织。</w:t>
      </w:r>
    </w:p>
    <w:p w14:paraId="136A0395">
      <w:pPr>
        <w:spacing w:line="360" w:lineRule="auto"/>
        <w:ind w:firstLine="422" w:firstLineChars="200"/>
        <w:rPr>
          <w:rFonts w:ascii="宋体" w:hAnsi="宋体"/>
          <w:b/>
          <w:color w:val="auto"/>
          <w:szCs w:val="21"/>
          <w:highlight w:val="none"/>
        </w:rPr>
      </w:pPr>
      <w:r>
        <w:rPr>
          <w:rFonts w:hint="eastAsia" w:ascii="宋体" w:hAnsi="宋体"/>
          <w:b/>
          <w:color w:val="auto"/>
          <w:szCs w:val="21"/>
          <w:highlight w:val="none"/>
        </w:rPr>
        <w:t>2.2“采购代理机构” 指政府采购集中采购机构和集中采购机构以外的采购代理机构。</w:t>
      </w:r>
    </w:p>
    <w:p w14:paraId="64360A43">
      <w:pPr>
        <w:spacing w:line="360" w:lineRule="auto"/>
        <w:ind w:firstLine="422" w:firstLineChars="200"/>
        <w:rPr>
          <w:rFonts w:ascii="宋体" w:hAnsi="宋体"/>
          <w:b/>
          <w:color w:val="auto"/>
          <w:szCs w:val="21"/>
          <w:highlight w:val="none"/>
        </w:rPr>
      </w:pPr>
      <w:r>
        <w:rPr>
          <w:rFonts w:hint="eastAsia" w:ascii="宋体" w:hAnsi="宋体"/>
          <w:b/>
          <w:color w:val="auto"/>
          <w:szCs w:val="21"/>
          <w:highlight w:val="none"/>
        </w:rPr>
        <w:t>2.3“投标人”是指向采购人提供货物、工程或者服务的法人、其他组织或者自然人。</w:t>
      </w:r>
    </w:p>
    <w:p w14:paraId="3CDB24FE">
      <w:pPr>
        <w:spacing w:line="360" w:lineRule="auto"/>
        <w:ind w:firstLine="420" w:firstLineChars="200"/>
        <w:rPr>
          <w:rFonts w:ascii="宋体" w:hAnsi="宋体"/>
          <w:color w:val="auto"/>
          <w:szCs w:val="21"/>
          <w:highlight w:val="none"/>
        </w:rPr>
      </w:pPr>
      <w:r>
        <w:rPr>
          <w:rFonts w:hint="eastAsia" w:ascii="宋体" w:hAnsi="宋体"/>
          <w:color w:val="auto"/>
          <w:szCs w:val="21"/>
          <w:highlight w:val="none"/>
        </w:rPr>
        <w:t>2.4“投标人”是指响应招标、参加投标竞争的法人、非法人组织或者自然人。</w:t>
      </w:r>
    </w:p>
    <w:p w14:paraId="5D804F1E">
      <w:pPr>
        <w:spacing w:line="360" w:lineRule="auto"/>
        <w:ind w:firstLine="422" w:firstLineChars="200"/>
        <w:rPr>
          <w:rFonts w:ascii="宋体" w:hAnsi="宋体"/>
          <w:b/>
          <w:color w:val="auto"/>
          <w:szCs w:val="21"/>
          <w:highlight w:val="none"/>
        </w:rPr>
      </w:pPr>
      <w:r>
        <w:rPr>
          <w:rFonts w:hint="eastAsia" w:ascii="宋体" w:hAnsi="宋体"/>
          <w:b/>
          <w:color w:val="auto"/>
          <w:szCs w:val="21"/>
          <w:highlight w:val="none"/>
        </w:rPr>
        <w:t>2.5“服务”是指除货物和工程以外的其他政府采购对象。</w:t>
      </w:r>
    </w:p>
    <w:p w14:paraId="0B1B079F">
      <w:pPr>
        <w:spacing w:line="360" w:lineRule="auto"/>
        <w:ind w:firstLine="422" w:firstLineChars="200"/>
        <w:rPr>
          <w:rFonts w:ascii="宋体" w:hAnsi="宋体"/>
          <w:b/>
          <w:color w:val="auto"/>
          <w:szCs w:val="21"/>
          <w:highlight w:val="none"/>
        </w:rPr>
      </w:pPr>
      <w:r>
        <w:rPr>
          <w:rFonts w:hint="eastAsia" w:ascii="宋体" w:hAnsi="宋体"/>
          <w:b/>
          <w:color w:val="auto"/>
          <w:szCs w:val="21"/>
          <w:highlight w:val="none"/>
        </w:rPr>
        <w:t>2.6“书面形式”是指合同书、信件和数据电文（包括电报、电传、传真、短信、电子数据交换和电子邮件）等可以有形地表现所载内容的形式。</w:t>
      </w:r>
    </w:p>
    <w:p w14:paraId="18FC877D">
      <w:pPr>
        <w:spacing w:line="360" w:lineRule="auto"/>
        <w:ind w:firstLine="422" w:firstLineChars="200"/>
        <w:rPr>
          <w:rFonts w:ascii="宋体" w:hAnsi="宋体"/>
          <w:b/>
          <w:color w:val="auto"/>
          <w:szCs w:val="21"/>
          <w:highlight w:val="none"/>
        </w:rPr>
      </w:pPr>
      <w:r>
        <w:rPr>
          <w:rFonts w:hint="eastAsia" w:ascii="宋体" w:hAnsi="宋体"/>
          <w:b/>
          <w:color w:val="auto"/>
          <w:szCs w:val="21"/>
          <w:highlight w:val="none"/>
        </w:rPr>
        <w:t>2.7“实质性要求”是指招标文件中已经指明不满足则投标无效的条款，或者不能负偏离的条款，或者采购需求中带“</w:t>
      </w:r>
      <w:r>
        <w:rPr>
          <w:rFonts w:hint="eastAsia" w:ascii="宋体" w:hAnsi="宋体"/>
          <w:b/>
          <w:bCs/>
          <w:color w:val="auto"/>
          <w:szCs w:val="21"/>
          <w:highlight w:val="none"/>
        </w:rPr>
        <w:t>▲</w:t>
      </w:r>
      <w:r>
        <w:rPr>
          <w:rFonts w:hint="eastAsia" w:ascii="宋体" w:hAnsi="宋体"/>
          <w:b/>
          <w:color w:val="auto"/>
          <w:szCs w:val="21"/>
          <w:highlight w:val="none"/>
        </w:rPr>
        <w:t>”的条款。</w:t>
      </w:r>
    </w:p>
    <w:p w14:paraId="7C7D396A">
      <w:pPr>
        <w:spacing w:line="360" w:lineRule="auto"/>
        <w:ind w:firstLine="420" w:firstLineChars="200"/>
        <w:rPr>
          <w:rFonts w:ascii="宋体" w:hAnsi="宋体" w:cs="宋体"/>
          <w:color w:val="auto"/>
          <w:szCs w:val="21"/>
          <w:highlight w:val="none"/>
        </w:rPr>
      </w:pPr>
      <w:r>
        <w:rPr>
          <w:rFonts w:hint="eastAsia" w:ascii="宋体" w:hAnsi="宋体"/>
          <w:color w:val="auto"/>
          <w:szCs w:val="21"/>
          <w:highlight w:val="none"/>
        </w:rPr>
        <w:t>2.8</w:t>
      </w:r>
      <w:r>
        <w:rPr>
          <w:rFonts w:hint="eastAsia" w:ascii="宋体" w:hAnsi="宋体" w:cs="宋体"/>
          <w:color w:val="auto"/>
          <w:szCs w:val="21"/>
          <w:highlight w:val="none"/>
        </w:rPr>
        <w:t>“正偏离”，是指投标文件对招标文件“采购需求”中有关条款作出的响应优于条款要求并有利于采购人的情形。</w:t>
      </w:r>
    </w:p>
    <w:p w14:paraId="2360B2AB">
      <w:pPr>
        <w:spacing w:line="360" w:lineRule="auto"/>
        <w:ind w:firstLine="420" w:firstLineChars="200"/>
        <w:rPr>
          <w:rFonts w:ascii="宋体" w:hAnsi="宋体" w:cs="宋体"/>
          <w:color w:val="auto"/>
          <w:szCs w:val="21"/>
          <w:highlight w:val="none"/>
        </w:rPr>
      </w:pPr>
      <w:r>
        <w:rPr>
          <w:rFonts w:hint="eastAsia" w:ascii="宋体" w:hAnsi="宋体" w:cs="宋体"/>
          <w:color w:val="auto"/>
          <w:szCs w:val="21"/>
          <w:highlight w:val="none"/>
        </w:rPr>
        <w:t>2.9“负偏离”，是指投标文件对招标文件“采购需求”中有关条款作出的响应不满足条款要求，导致采购人要求不能得到满足的情形。</w:t>
      </w:r>
    </w:p>
    <w:p w14:paraId="1B2E11BC">
      <w:pPr>
        <w:spacing w:line="360" w:lineRule="auto"/>
        <w:ind w:firstLine="420" w:firstLineChars="200"/>
        <w:rPr>
          <w:rFonts w:ascii="宋体" w:hAnsi="宋体"/>
          <w:color w:val="auto"/>
          <w:szCs w:val="21"/>
          <w:highlight w:val="none"/>
        </w:rPr>
      </w:pPr>
      <w:r>
        <w:rPr>
          <w:rFonts w:hint="eastAsia" w:ascii="宋体" w:hAnsi="宋体"/>
          <w:color w:val="auto"/>
          <w:szCs w:val="21"/>
          <w:highlight w:val="none"/>
        </w:rPr>
        <w:t>2.10</w:t>
      </w:r>
      <w:r>
        <w:rPr>
          <w:rFonts w:hint="eastAsia" w:ascii="宋体" w:hAnsi="宋体" w:cs="宋体"/>
          <w:color w:val="auto"/>
          <w:szCs w:val="21"/>
          <w:highlight w:val="none"/>
        </w:rPr>
        <w:t>“允许负偏离的条款”是指采购需求中的不属于“实质性要求”的条款。</w:t>
      </w:r>
      <w:bookmarkStart w:id="61" w:name="_Toc254970529"/>
      <w:bookmarkStart w:id="62" w:name="_Toc254970670"/>
    </w:p>
    <w:p w14:paraId="4307EC4F">
      <w:pPr>
        <w:spacing w:line="360" w:lineRule="auto"/>
        <w:ind w:firstLine="480" w:firstLineChars="200"/>
        <w:rPr>
          <w:rFonts w:ascii="黑体" w:hAnsi="黑体" w:eastAsia="黑体"/>
          <w:color w:val="auto"/>
          <w:sz w:val="24"/>
          <w:highlight w:val="none"/>
        </w:rPr>
      </w:pPr>
      <w:r>
        <w:rPr>
          <w:rFonts w:hint="eastAsia" w:ascii="黑体" w:hAnsi="黑体" w:eastAsia="黑体"/>
          <w:color w:val="auto"/>
          <w:sz w:val="24"/>
          <w:highlight w:val="none"/>
        </w:rPr>
        <w:t>3.</w:t>
      </w:r>
      <w:bookmarkEnd w:id="61"/>
      <w:bookmarkEnd w:id="62"/>
      <w:r>
        <w:rPr>
          <w:rFonts w:hint="eastAsia" w:ascii="黑体" w:hAnsi="黑体" w:eastAsia="黑体"/>
          <w:color w:val="auto"/>
          <w:sz w:val="24"/>
          <w:highlight w:val="none"/>
        </w:rPr>
        <w:t>投标人的资格要求</w:t>
      </w:r>
    </w:p>
    <w:p w14:paraId="773733F3">
      <w:pPr>
        <w:spacing w:line="360" w:lineRule="auto"/>
        <w:ind w:firstLine="420" w:firstLineChars="200"/>
        <w:rPr>
          <w:rFonts w:ascii="宋体" w:hAnsi="宋体"/>
          <w:color w:val="auto"/>
          <w:szCs w:val="21"/>
          <w:highlight w:val="none"/>
        </w:rPr>
      </w:pPr>
      <w:r>
        <w:rPr>
          <w:rFonts w:hint="eastAsia" w:ascii="宋体" w:hAnsi="宋体"/>
          <w:color w:val="auto"/>
          <w:szCs w:val="21"/>
          <w:highlight w:val="none"/>
        </w:rPr>
        <w:t>投标人的资格要求详见“招标公告”。</w:t>
      </w:r>
    </w:p>
    <w:p w14:paraId="43A9AAB7">
      <w:pPr>
        <w:spacing w:line="360" w:lineRule="auto"/>
        <w:ind w:firstLine="480" w:firstLineChars="200"/>
        <w:rPr>
          <w:rFonts w:ascii="黑体" w:hAnsi="黑体" w:eastAsia="黑体"/>
          <w:color w:val="auto"/>
          <w:sz w:val="24"/>
          <w:highlight w:val="none"/>
        </w:rPr>
      </w:pPr>
      <w:bookmarkStart w:id="63" w:name="_Toc254970530"/>
      <w:bookmarkStart w:id="64" w:name="_Toc254970671"/>
      <w:r>
        <w:rPr>
          <w:rFonts w:hint="eastAsia" w:ascii="黑体" w:hAnsi="黑体" w:eastAsia="黑体"/>
          <w:color w:val="auto"/>
          <w:sz w:val="24"/>
          <w:highlight w:val="none"/>
        </w:rPr>
        <w:t>4.投标委托</w:t>
      </w:r>
      <w:bookmarkEnd w:id="63"/>
      <w:bookmarkEnd w:id="64"/>
    </w:p>
    <w:p w14:paraId="079F07DF">
      <w:pPr>
        <w:spacing w:line="360" w:lineRule="auto"/>
        <w:ind w:firstLine="420" w:firstLineChars="200"/>
        <w:rPr>
          <w:rFonts w:ascii="宋体" w:hAnsi="宋体"/>
          <w:color w:val="auto"/>
          <w:szCs w:val="21"/>
          <w:highlight w:val="none"/>
        </w:rPr>
      </w:pPr>
      <w:r>
        <w:rPr>
          <w:rFonts w:hint="eastAsia" w:ascii="宋体" w:hAnsi="宋体"/>
          <w:color w:val="auto"/>
          <w:szCs w:val="21"/>
          <w:highlight w:val="none"/>
        </w:rPr>
        <w:t>投标人代表参加投标活动过程中必须携带个人有效身份证件。如投标人代表不是法定代表人，须持有法定代表人授权委托书（正本用原件，副本用复印件，按第六章要求格式填写）。</w:t>
      </w:r>
    </w:p>
    <w:p w14:paraId="27391E3B">
      <w:pPr>
        <w:spacing w:line="360" w:lineRule="auto"/>
        <w:ind w:firstLine="480" w:firstLineChars="200"/>
        <w:rPr>
          <w:rFonts w:ascii="黑体" w:hAnsi="黑体" w:eastAsia="黑体"/>
          <w:color w:val="auto"/>
          <w:sz w:val="24"/>
          <w:highlight w:val="none"/>
        </w:rPr>
      </w:pPr>
      <w:bookmarkStart w:id="65" w:name="_5.投标费用"/>
      <w:bookmarkEnd w:id="65"/>
      <w:bookmarkStart w:id="66" w:name="_Toc254970672"/>
      <w:bookmarkStart w:id="67" w:name="_Toc254970531"/>
      <w:r>
        <w:rPr>
          <w:rFonts w:hint="eastAsia" w:ascii="黑体" w:hAnsi="黑体" w:eastAsia="黑体"/>
          <w:color w:val="auto"/>
          <w:sz w:val="24"/>
          <w:highlight w:val="none"/>
        </w:rPr>
        <w:t>5.投标费用</w:t>
      </w:r>
      <w:bookmarkEnd w:id="66"/>
      <w:bookmarkEnd w:id="67"/>
    </w:p>
    <w:p w14:paraId="7A5A4584">
      <w:pPr>
        <w:spacing w:line="360" w:lineRule="auto"/>
        <w:ind w:firstLine="420" w:firstLineChars="200"/>
        <w:rPr>
          <w:rFonts w:ascii="宋体" w:hAnsi="宋体"/>
          <w:color w:val="auto"/>
          <w:szCs w:val="21"/>
          <w:highlight w:val="none"/>
        </w:rPr>
      </w:pPr>
      <w:r>
        <w:rPr>
          <w:rFonts w:hint="eastAsia" w:ascii="宋体" w:hAnsi="宋体" w:cs="宋体"/>
          <w:color w:val="auto"/>
          <w:szCs w:val="21"/>
          <w:highlight w:val="none"/>
        </w:rPr>
        <w:t>投标费用：投标人应承担参与本次采购活动有关的所有费用，包括但不限于勘查现场、编制投标文件、参加澄清说明、签订合同等，不论投标结果如何，均应自行承担。</w:t>
      </w:r>
    </w:p>
    <w:p w14:paraId="6325E711">
      <w:pPr>
        <w:spacing w:line="360" w:lineRule="auto"/>
        <w:ind w:firstLine="480" w:firstLineChars="200"/>
        <w:rPr>
          <w:rFonts w:ascii="黑体" w:hAnsi="黑体" w:eastAsia="黑体"/>
          <w:color w:val="auto"/>
          <w:sz w:val="24"/>
          <w:highlight w:val="none"/>
        </w:rPr>
      </w:pPr>
      <w:r>
        <w:rPr>
          <w:rFonts w:hint="eastAsia" w:ascii="黑体" w:hAnsi="黑体" w:eastAsia="黑体"/>
          <w:color w:val="auto"/>
          <w:sz w:val="24"/>
          <w:highlight w:val="none"/>
        </w:rPr>
        <w:t>6.联合体投标</w:t>
      </w:r>
    </w:p>
    <w:p w14:paraId="54B03049">
      <w:pPr>
        <w:spacing w:line="360" w:lineRule="auto"/>
        <w:ind w:firstLine="420" w:firstLineChars="200"/>
        <w:rPr>
          <w:rFonts w:ascii="宋体" w:hAnsi="宋体"/>
          <w:color w:val="auto"/>
          <w:szCs w:val="21"/>
          <w:highlight w:val="none"/>
        </w:rPr>
      </w:pPr>
      <w:r>
        <w:rPr>
          <w:rFonts w:hint="eastAsia" w:ascii="宋体" w:hAnsi="宋体"/>
          <w:color w:val="auto"/>
          <w:szCs w:val="21"/>
          <w:highlight w:val="none"/>
        </w:rPr>
        <w:t>6.1本项目是否接受联合体投标，详见“投标人须知前附表”。</w:t>
      </w:r>
    </w:p>
    <w:p w14:paraId="434AFF83">
      <w:pPr>
        <w:spacing w:line="360" w:lineRule="auto"/>
        <w:ind w:firstLine="420" w:firstLineChars="200"/>
        <w:rPr>
          <w:rFonts w:ascii="宋体" w:hAnsi="宋体"/>
          <w:bCs/>
          <w:color w:val="auto"/>
          <w:szCs w:val="21"/>
          <w:highlight w:val="none"/>
        </w:rPr>
      </w:pPr>
      <w:r>
        <w:rPr>
          <w:rFonts w:hint="eastAsia" w:ascii="宋体" w:hAnsi="宋体"/>
          <w:bCs/>
          <w:color w:val="auto"/>
          <w:szCs w:val="21"/>
          <w:highlight w:val="none"/>
        </w:rPr>
        <w:t>6.2如接受联合体投标，联合体投标要求详见“投标人须知前附表”。</w:t>
      </w:r>
    </w:p>
    <w:p w14:paraId="4B8FD940">
      <w:pPr>
        <w:spacing w:line="360" w:lineRule="auto"/>
        <w:ind w:firstLine="420" w:firstLineChars="200"/>
        <w:rPr>
          <w:rFonts w:ascii="宋体" w:hAnsi="宋体"/>
          <w:bCs/>
          <w:color w:val="auto"/>
          <w:sz w:val="24"/>
          <w:szCs w:val="21"/>
          <w:highlight w:val="none"/>
          <w:shd w:val="clear" w:color="auto" w:fill="FFFFFF"/>
        </w:rPr>
      </w:pPr>
      <w:r>
        <w:rPr>
          <w:rFonts w:hint="eastAsia" w:ascii="宋体" w:hAnsi="宋体"/>
          <w:bCs/>
          <w:color w:val="auto"/>
          <w:szCs w:val="21"/>
          <w:highlight w:val="none"/>
        </w:rPr>
        <w:t>6.3根据《政府采购促进中小企业发展管理办法》（财库[2020]46号）第九条、</w:t>
      </w:r>
      <w:r>
        <w:rPr>
          <w:rFonts w:hint="eastAsia"/>
          <w:color w:val="auto"/>
          <w:highlight w:val="none"/>
        </w:rPr>
        <w:t>《广西壮族自治区财政厅关于持续优化政府采购营商环境推动高质量发展的通知》（桂财采〔2024〕55号）</w:t>
      </w:r>
      <w:r>
        <w:rPr>
          <w:rFonts w:hint="eastAsia" w:ascii="宋体" w:hAnsi="宋体"/>
          <w:bCs/>
          <w:color w:val="auto"/>
          <w:szCs w:val="21"/>
          <w:highlight w:val="none"/>
        </w:rPr>
        <w:t>规定，接受大中型企业与小微企业组成联合体的采购项目，对于联合协议约定小微企业的合同份额占到合同总金额 30%以上的，采购人、采购代理机构应当对联合体的报价给予 4%的扣除，用扣除后的价格参加评审。组成联合体的小微企业与联合体内其他企业、分包企业之间存在直接控股、管理关系的，不享受价格扣除优惠政策。</w:t>
      </w:r>
    </w:p>
    <w:p w14:paraId="3D8C0000">
      <w:pPr>
        <w:spacing w:line="360" w:lineRule="auto"/>
        <w:ind w:firstLine="480" w:firstLineChars="200"/>
        <w:rPr>
          <w:rFonts w:ascii="黑体" w:hAnsi="黑体" w:eastAsia="黑体"/>
          <w:color w:val="auto"/>
          <w:sz w:val="24"/>
          <w:highlight w:val="none"/>
        </w:rPr>
      </w:pPr>
      <w:r>
        <w:rPr>
          <w:rFonts w:hint="eastAsia" w:ascii="黑体" w:hAnsi="黑体" w:eastAsia="黑体"/>
          <w:color w:val="auto"/>
          <w:sz w:val="24"/>
          <w:highlight w:val="none"/>
        </w:rPr>
        <w:t xml:space="preserve">7.转包与分包             </w:t>
      </w:r>
    </w:p>
    <w:p w14:paraId="0F133B35">
      <w:pPr>
        <w:spacing w:line="360" w:lineRule="auto"/>
        <w:ind w:firstLine="422" w:firstLineChars="200"/>
        <w:rPr>
          <w:rFonts w:ascii="宋体" w:hAnsi="宋体"/>
          <w:b/>
          <w:color w:val="auto"/>
          <w:szCs w:val="21"/>
          <w:highlight w:val="none"/>
        </w:rPr>
      </w:pPr>
      <w:r>
        <w:rPr>
          <w:rFonts w:hint="eastAsia" w:ascii="宋体" w:hAnsi="宋体"/>
          <w:b/>
          <w:color w:val="auto"/>
          <w:szCs w:val="21"/>
          <w:highlight w:val="none"/>
        </w:rPr>
        <w:t>7.1本项目是否允许分包详见“投标人须知前附表”，本项目不允许违法分包。投标人根据招标文件的规定和采购项目的实际情况，拟在中标后将中标项目的非主体、非关键性工作分包的，应当在投标文件中载明分包承担主体，分包承担主体应当具备相应资质条件且不得再次分包。</w:t>
      </w:r>
    </w:p>
    <w:p w14:paraId="66A2BEFE">
      <w:pPr>
        <w:spacing w:line="360" w:lineRule="auto"/>
        <w:ind w:firstLine="420" w:firstLineChars="200"/>
        <w:rPr>
          <w:rFonts w:ascii="宋体" w:hAnsi="宋体"/>
          <w:bCs/>
          <w:color w:val="auto"/>
          <w:szCs w:val="21"/>
          <w:highlight w:val="none"/>
        </w:rPr>
      </w:pPr>
      <w:r>
        <w:rPr>
          <w:rFonts w:hint="eastAsia" w:ascii="宋体" w:hAnsi="宋体"/>
          <w:bCs/>
          <w:color w:val="auto"/>
          <w:szCs w:val="21"/>
          <w:highlight w:val="none"/>
        </w:rPr>
        <w:t>7.2根据《政府采购促进中小企业发展管理办法》（财库[2020]46号）第九条、</w:t>
      </w:r>
      <w:r>
        <w:rPr>
          <w:rFonts w:hint="eastAsia"/>
          <w:color w:val="auto"/>
          <w:highlight w:val="none"/>
        </w:rPr>
        <w:t>《广西壮族自治区财政厅关于持续优化政府采购营商环境推动高质量发展的通知》（桂财采〔2024〕55号）</w:t>
      </w:r>
      <w:r>
        <w:rPr>
          <w:rFonts w:hint="eastAsia" w:ascii="宋体" w:hAnsi="宋体"/>
          <w:bCs/>
          <w:color w:val="auto"/>
          <w:szCs w:val="21"/>
          <w:highlight w:val="none"/>
        </w:rPr>
        <w:t>规定，允许大中型企业向一家或者多家小微企业分包的采购项目，对于分包意向协议约定小微企业的合同份额占到合同总金额 30%以上的，采购人、采购代理机构应当对大中型企业的报价给予4%的扣除，用扣除后的价格参加评审。接受分包的小微企业与分包企业之间存在直接控股、管理关系的，不享受价格扣除优惠政策。</w:t>
      </w:r>
    </w:p>
    <w:p w14:paraId="14F1B203">
      <w:pPr>
        <w:spacing w:line="360" w:lineRule="auto"/>
        <w:ind w:firstLine="480" w:firstLineChars="200"/>
        <w:rPr>
          <w:rFonts w:ascii="黑体" w:hAnsi="黑体" w:eastAsia="黑体"/>
          <w:color w:val="auto"/>
          <w:sz w:val="24"/>
          <w:highlight w:val="none"/>
        </w:rPr>
      </w:pPr>
      <w:bookmarkStart w:id="68" w:name="_Toc254970532"/>
      <w:bookmarkStart w:id="69" w:name="_Toc254970673"/>
      <w:r>
        <w:rPr>
          <w:rFonts w:hint="eastAsia" w:ascii="黑体" w:hAnsi="黑体" w:eastAsia="黑体"/>
          <w:color w:val="auto"/>
          <w:sz w:val="24"/>
          <w:highlight w:val="none"/>
        </w:rPr>
        <w:t>8.特别说明：</w:t>
      </w:r>
      <w:bookmarkEnd w:id="68"/>
      <w:bookmarkEnd w:id="69"/>
      <w:bookmarkStart w:id="70" w:name="_8.1提供相同品牌产品且通过资格审查、符合性审查的不同投标人参加同一合"/>
      <w:bookmarkEnd w:id="70"/>
    </w:p>
    <w:p w14:paraId="323A06F3">
      <w:pPr>
        <w:spacing w:line="360" w:lineRule="auto"/>
        <w:ind w:firstLine="422" w:firstLineChars="200"/>
        <w:rPr>
          <w:rFonts w:ascii="宋体" w:hAnsi="宋体"/>
          <w:b/>
          <w:color w:val="auto"/>
          <w:szCs w:val="21"/>
          <w:highlight w:val="none"/>
        </w:rPr>
      </w:pPr>
      <w:r>
        <w:rPr>
          <w:rFonts w:hint="eastAsia" w:ascii="宋体" w:hAnsi="宋体"/>
          <w:b/>
          <w:color w:val="auto"/>
          <w:szCs w:val="21"/>
          <w:highlight w:val="none"/>
        </w:rPr>
        <w:t>8.1如果本招标文件要求投标人提供资格、信誉、荣誉、业绩与企业认证等材料的，则投标人所提供的以上材料必须为投标人所拥有。</w:t>
      </w:r>
    </w:p>
    <w:p w14:paraId="2858F2F1">
      <w:pPr>
        <w:spacing w:line="360" w:lineRule="auto"/>
        <w:ind w:firstLine="422" w:firstLineChars="200"/>
        <w:rPr>
          <w:rFonts w:ascii="宋体" w:hAnsi="宋体"/>
          <w:b/>
          <w:color w:val="auto"/>
          <w:szCs w:val="21"/>
          <w:highlight w:val="none"/>
        </w:rPr>
      </w:pPr>
      <w:r>
        <w:rPr>
          <w:rFonts w:hint="eastAsia" w:ascii="宋体" w:hAnsi="宋体"/>
          <w:b/>
          <w:color w:val="auto"/>
          <w:szCs w:val="21"/>
          <w:highlight w:val="none"/>
        </w:rPr>
        <w:t>8.2投标人应仔细阅读招标文件的所有内容，按照招标文件的要求提交投标文件，并对所提供的全部资料的真实性承担法律责任。</w:t>
      </w:r>
    </w:p>
    <w:p w14:paraId="53785601">
      <w:pPr>
        <w:spacing w:line="360" w:lineRule="auto"/>
        <w:ind w:firstLine="422" w:firstLineChars="200"/>
        <w:rPr>
          <w:rFonts w:ascii="宋体" w:hAnsi="宋体"/>
          <w:b/>
          <w:color w:val="auto"/>
          <w:szCs w:val="21"/>
          <w:highlight w:val="none"/>
        </w:rPr>
      </w:pPr>
      <w:r>
        <w:rPr>
          <w:rFonts w:hint="eastAsia" w:ascii="宋体" w:hAnsi="宋体"/>
          <w:b/>
          <w:color w:val="auto"/>
          <w:szCs w:val="21"/>
          <w:highlight w:val="none"/>
        </w:rPr>
        <w:t>8.3投标人在投标活动中提供任何虚假材料，将报监管部门查处；中标后发现的，中标人须依照《中华人民共和国消费者权益保护法》规定赔偿采购人，且民事赔偿并不免除违法投标人的行政与刑事责任。</w:t>
      </w:r>
    </w:p>
    <w:p w14:paraId="71635161">
      <w:pPr>
        <w:spacing w:line="360" w:lineRule="auto"/>
        <w:ind w:firstLine="480" w:firstLineChars="200"/>
        <w:rPr>
          <w:rFonts w:ascii="黑体" w:hAnsi="黑体" w:eastAsia="黑体"/>
          <w:color w:val="auto"/>
          <w:sz w:val="24"/>
          <w:highlight w:val="none"/>
        </w:rPr>
      </w:pPr>
      <w:r>
        <w:rPr>
          <w:rFonts w:hint="eastAsia" w:ascii="黑体" w:hAnsi="黑体" w:eastAsia="黑体"/>
          <w:color w:val="auto"/>
          <w:sz w:val="24"/>
          <w:highlight w:val="none"/>
        </w:rPr>
        <w:t>9.回避与串通投标</w:t>
      </w:r>
    </w:p>
    <w:p w14:paraId="14675A1D">
      <w:pPr>
        <w:spacing w:line="360" w:lineRule="auto"/>
        <w:ind w:firstLine="422" w:firstLineChars="200"/>
        <w:rPr>
          <w:rFonts w:ascii="宋体" w:hAnsi="宋体"/>
          <w:b/>
          <w:color w:val="auto"/>
          <w:szCs w:val="21"/>
          <w:highlight w:val="none"/>
        </w:rPr>
      </w:pPr>
      <w:r>
        <w:rPr>
          <w:rFonts w:hint="eastAsia" w:ascii="宋体" w:hAnsi="宋体"/>
          <w:b/>
          <w:color w:val="auto"/>
          <w:szCs w:val="21"/>
          <w:highlight w:val="none"/>
        </w:rPr>
        <w:t>9.1在政府采购活动中，采购人员及相关人员与供应商有下列利害关系之一的，应当回避：</w:t>
      </w:r>
    </w:p>
    <w:p w14:paraId="72CE0FFE">
      <w:pPr>
        <w:spacing w:line="360" w:lineRule="auto"/>
        <w:ind w:firstLine="420" w:firstLineChars="200"/>
        <w:rPr>
          <w:rFonts w:hAnsi="宋体"/>
          <w:color w:val="auto"/>
          <w:highlight w:val="none"/>
        </w:rPr>
      </w:pPr>
      <w:r>
        <w:rPr>
          <w:rFonts w:hint="eastAsia" w:hAnsi="宋体"/>
          <w:color w:val="auto"/>
          <w:highlight w:val="none"/>
        </w:rPr>
        <w:t>（</w:t>
      </w:r>
      <w:r>
        <w:rPr>
          <w:rFonts w:hAnsi="宋体"/>
          <w:color w:val="auto"/>
          <w:highlight w:val="none"/>
        </w:rPr>
        <w:t>1</w:t>
      </w:r>
      <w:r>
        <w:rPr>
          <w:rFonts w:hint="eastAsia" w:hAnsi="宋体"/>
          <w:color w:val="auto"/>
          <w:highlight w:val="none"/>
        </w:rPr>
        <w:t>）参加采购活动前</w:t>
      </w:r>
      <w:r>
        <w:rPr>
          <w:rFonts w:hAnsi="宋体"/>
          <w:color w:val="auto"/>
          <w:highlight w:val="none"/>
        </w:rPr>
        <w:t>3</w:t>
      </w:r>
      <w:r>
        <w:rPr>
          <w:rFonts w:hint="eastAsia" w:hAnsi="宋体"/>
          <w:color w:val="auto"/>
          <w:highlight w:val="none"/>
        </w:rPr>
        <w:t>年内与供应商存在劳动关系；</w:t>
      </w:r>
    </w:p>
    <w:p w14:paraId="7F3CAFD4">
      <w:pPr>
        <w:spacing w:line="360" w:lineRule="auto"/>
        <w:ind w:firstLine="420" w:firstLineChars="200"/>
        <w:rPr>
          <w:rFonts w:hAnsi="宋体"/>
          <w:color w:val="auto"/>
          <w:highlight w:val="none"/>
        </w:rPr>
      </w:pPr>
      <w:r>
        <w:rPr>
          <w:rFonts w:hint="eastAsia" w:hAnsi="宋体"/>
          <w:color w:val="auto"/>
          <w:highlight w:val="none"/>
        </w:rPr>
        <w:t>（</w:t>
      </w:r>
      <w:r>
        <w:rPr>
          <w:rFonts w:hAnsi="宋体"/>
          <w:color w:val="auto"/>
          <w:highlight w:val="none"/>
        </w:rPr>
        <w:t>2</w:t>
      </w:r>
      <w:r>
        <w:rPr>
          <w:rFonts w:hint="eastAsia" w:hAnsi="宋体"/>
          <w:color w:val="auto"/>
          <w:highlight w:val="none"/>
        </w:rPr>
        <w:t>）参加采购活动前</w:t>
      </w:r>
      <w:r>
        <w:rPr>
          <w:rFonts w:hAnsi="宋体"/>
          <w:color w:val="auto"/>
          <w:highlight w:val="none"/>
        </w:rPr>
        <w:t>3</w:t>
      </w:r>
      <w:r>
        <w:rPr>
          <w:rFonts w:hint="eastAsia" w:hAnsi="宋体"/>
          <w:color w:val="auto"/>
          <w:highlight w:val="none"/>
        </w:rPr>
        <w:t>年内担任供应商的董事、监事；</w:t>
      </w:r>
    </w:p>
    <w:p w14:paraId="15A5B208">
      <w:pPr>
        <w:spacing w:line="360" w:lineRule="auto"/>
        <w:ind w:firstLine="420" w:firstLineChars="200"/>
        <w:rPr>
          <w:rFonts w:hAnsi="宋体"/>
          <w:color w:val="auto"/>
          <w:highlight w:val="none"/>
        </w:rPr>
      </w:pPr>
      <w:r>
        <w:rPr>
          <w:rFonts w:hint="eastAsia" w:hAnsi="宋体"/>
          <w:color w:val="auto"/>
          <w:highlight w:val="none"/>
        </w:rPr>
        <w:t>（</w:t>
      </w:r>
      <w:r>
        <w:rPr>
          <w:rFonts w:hAnsi="宋体"/>
          <w:color w:val="auto"/>
          <w:highlight w:val="none"/>
        </w:rPr>
        <w:t>3</w:t>
      </w:r>
      <w:r>
        <w:rPr>
          <w:rFonts w:hint="eastAsia" w:hAnsi="宋体"/>
          <w:color w:val="auto"/>
          <w:highlight w:val="none"/>
        </w:rPr>
        <w:t>）参加采购活动前</w:t>
      </w:r>
      <w:r>
        <w:rPr>
          <w:rFonts w:hAnsi="宋体"/>
          <w:color w:val="auto"/>
          <w:highlight w:val="none"/>
        </w:rPr>
        <w:t>3</w:t>
      </w:r>
      <w:r>
        <w:rPr>
          <w:rFonts w:hint="eastAsia" w:hAnsi="宋体"/>
          <w:color w:val="auto"/>
          <w:highlight w:val="none"/>
        </w:rPr>
        <w:t>年内是供应商的控股股东或者实际控制人；</w:t>
      </w:r>
    </w:p>
    <w:p w14:paraId="4B3CFB5D">
      <w:pPr>
        <w:spacing w:line="360" w:lineRule="auto"/>
        <w:ind w:firstLine="420" w:firstLineChars="200"/>
        <w:rPr>
          <w:rFonts w:hAnsi="宋体"/>
          <w:color w:val="auto"/>
          <w:highlight w:val="none"/>
        </w:rPr>
      </w:pPr>
      <w:r>
        <w:rPr>
          <w:rFonts w:hint="eastAsia" w:hAnsi="宋体"/>
          <w:color w:val="auto"/>
          <w:highlight w:val="none"/>
        </w:rPr>
        <w:t>（</w:t>
      </w:r>
      <w:r>
        <w:rPr>
          <w:rFonts w:hAnsi="宋体"/>
          <w:color w:val="auto"/>
          <w:highlight w:val="none"/>
        </w:rPr>
        <w:t>4</w:t>
      </w:r>
      <w:r>
        <w:rPr>
          <w:rFonts w:hint="eastAsia" w:hAnsi="宋体"/>
          <w:color w:val="auto"/>
          <w:highlight w:val="none"/>
        </w:rPr>
        <w:t>）与供应商的法定代表人或者负责人有夫妻、直系血亲、三代以内旁系血亲或者近姻亲关系；</w:t>
      </w:r>
    </w:p>
    <w:p w14:paraId="40CDF399">
      <w:pPr>
        <w:spacing w:line="360" w:lineRule="auto"/>
        <w:ind w:firstLine="420" w:firstLineChars="200"/>
        <w:rPr>
          <w:rFonts w:hAnsi="宋体"/>
          <w:color w:val="auto"/>
          <w:highlight w:val="none"/>
        </w:rPr>
      </w:pPr>
      <w:r>
        <w:rPr>
          <w:rFonts w:hint="eastAsia" w:hAnsi="宋体"/>
          <w:color w:val="auto"/>
          <w:highlight w:val="none"/>
        </w:rPr>
        <w:t>（</w:t>
      </w:r>
      <w:r>
        <w:rPr>
          <w:rFonts w:hAnsi="宋体"/>
          <w:color w:val="auto"/>
          <w:highlight w:val="none"/>
        </w:rPr>
        <w:t>5</w:t>
      </w:r>
      <w:r>
        <w:rPr>
          <w:rFonts w:hint="eastAsia" w:hAnsi="宋体"/>
          <w:color w:val="auto"/>
          <w:highlight w:val="none"/>
        </w:rPr>
        <w:t>）与供应商有其他可能影响政府采购活动公平、公正进行的关系。</w:t>
      </w:r>
    </w:p>
    <w:p w14:paraId="725AAA2C">
      <w:pPr>
        <w:spacing w:line="360" w:lineRule="auto"/>
        <w:ind w:firstLine="420" w:firstLineChars="200"/>
        <w:rPr>
          <w:rFonts w:hAnsi="宋体"/>
          <w:color w:val="auto"/>
          <w:highlight w:val="none"/>
        </w:rPr>
      </w:pPr>
      <w:r>
        <w:rPr>
          <w:rFonts w:hint="eastAsia" w:hAnsi="宋体"/>
          <w:color w:val="auto"/>
          <w:highlight w:val="none"/>
        </w:rPr>
        <w:t>供应商认为采购人员及相关人员与其他供应商有利害关系的，可以向采购人或者采购代理机构书面提出回避申请，并说明理由。采购人或者采购代理机构应当及时询问被申请回避人员，有利害关系的被申请回避人员应当回避。</w:t>
      </w:r>
    </w:p>
    <w:p w14:paraId="4029E90F">
      <w:pPr>
        <w:spacing w:line="360" w:lineRule="auto"/>
        <w:ind w:firstLine="420" w:firstLineChars="200"/>
        <w:rPr>
          <w:rFonts w:ascii="宋体" w:hAnsi="宋体"/>
          <w:color w:val="auto"/>
          <w:szCs w:val="21"/>
          <w:highlight w:val="none"/>
        </w:rPr>
      </w:pPr>
      <w:r>
        <w:rPr>
          <w:rFonts w:hint="eastAsia" w:ascii="宋体" w:hAnsi="宋体"/>
          <w:color w:val="auto"/>
          <w:szCs w:val="21"/>
          <w:highlight w:val="none"/>
        </w:rPr>
        <w:t>9.2有下列情形之一的视为投标人相互串通投标，投标文件将被视为无效：</w:t>
      </w:r>
    </w:p>
    <w:p w14:paraId="15787EA3">
      <w:pPr>
        <w:spacing w:line="360" w:lineRule="auto"/>
        <w:ind w:firstLine="422" w:firstLineChars="200"/>
        <w:rPr>
          <w:rFonts w:hAnsi="宋体"/>
          <w:b/>
          <w:color w:val="auto"/>
          <w:highlight w:val="none"/>
        </w:rPr>
      </w:pPr>
      <w:r>
        <w:rPr>
          <w:rFonts w:hint="eastAsia" w:hAnsi="宋体"/>
          <w:b/>
          <w:color w:val="auto"/>
          <w:highlight w:val="none"/>
        </w:rPr>
        <w:t>（</w:t>
      </w:r>
      <w:r>
        <w:rPr>
          <w:rFonts w:hAnsi="宋体"/>
          <w:b/>
          <w:color w:val="auto"/>
          <w:highlight w:val="none"/>
        </w:rPr>
        <w:t>1</w:t>
      </w:r>
      <w:r>
        <w:rPr>
          <w:rFonts w:hint="eastAsia" w:hAnsi="宋体"/>
          <w:b/>
          <w:color w:val="auto"/>
          <w:highlight w:val="none"/>
        </w:rPr>
        <w:t>）不同投标人的投标文件由同一单位或者个人编制；或者不同投标人报名的</w:t>
      </w:r>
      <w:r>
        <w:rPr>
          <w:rFonts w:hAnsi="宋体"/>
          <w:b/>
          <w:color w:val="auto"/>
          <w:highlight w:val="none"/>
        </w:rPr>
        <w:t>IP</w:t>
      </w:r>
      <w:r>
        <w:rPr>
          <w:rFonts w:hint="eastAsia" w:hAnsi="宋体"/>
          <w:b/>
          <w:color w:val="auto"/>
          <w:highlight w:val="none"/>
        </w:rPr>
        <w:t>地址一致的；或者编制标书硬件设备</w:t>
      </w:r>
      <w:r>
        <w:rPr>
          <w:rFonts w:hAnsi="宋体"/>
          <w:b/>
          <w:color w:val="auto"/>
          <w:highlight w:val="none"/>
        </w:rPr>
        <w:t>CPU</w:t>
      </w:r>
      <w:r>
        <w:rPr>
          <w:rFonts w:hint="eastAsia" w:hAnsi="宋体"/>
          <w:b/>
          <w:color w:val="auto"/>
          <w:highlight w:val="none"/>
        </w:rPr>
        <w:t>编号、硬盘编号、网卡地址一致的情况。</w:t>
      </w:r>
    </w:p>
    <w:p w14:paraId="59F21320">
      <w:pPr>
        <w:spacing w:line="360" w:lineRule="auto"/>
        <w:ind w:firstLine="422" w:firstLineChars="200"/>
        <w:rPr>
          <w:rFonts w:hAnsi="宋体"/>
          <w:b/>
          <w:color w:val="auto"/>
          <w:highlight w:val="none"/>
        </w:rPr>
      </w:pPr>
      <w:r>
        <w:rPr>
          <w:rFonts w:hint="eastAsia" w:hAnsi="宋体"/>
          <w:b/>
          <w:color w:val="auto"/>
          <w:highlight w:val="none"/>
        </w:rPr>
        <w:t>（</w:t>
      </w:r>
      <w:r>
        <w:rPr>
          <w:rFonts w:hAnsi="宋体"/>
          <w:b/>
          <w:color w:val="auto"/>
          <w:highlight w:val="none"/>
        </w:rPr>
        <w:t>2</w:t>
      </w:r>
      <w:r>
        <w:rPr>
          <w:rFonts w:hint="eastAsia" w:hAnsi="宋体"/>
          <w:b/>
          <w:color w:val="auto"/>
          <w:highlight w:val="none"/>
        </w:rPr>
        <w:t>）不同投标人委托同一单位或者个人办理投标事宜；</w:t>
      </w:r>
    </w:p>
    <w:p w14:paraId="0EEC05D1">
      <w:pPr>
        <w:spacing w:line="360" w:lineRule="auto"/>
        <w:ind w:firstLine="422" w:firstLineChars="200"/>
        <w:rPr>
          <w:rFonts w:hAnsi="宋体"/>
          <w:b/>
          <w:color w:val="auto"/>
          <w:highlight w:val="none"/>
        </w:rPr>
      </w:pPr>
      <w:r>
        <w:rPr>
          <w:rFonts w:hint="eastAsia" w:hAnsi="宋体"/>
          <w:b/>
          <w:color w:val="auto"/>
          <w:highlight w:val="none"/>
        </w:rPr>
        <w:t>（</w:t>
      </w:r>
      <w:r>
        <w:rPr>
          <w:rFonts w:hAnsi="宋体"/>
          <w:b/>
          <w:color w:val="auto"/>
          <w:highlight w:val="none"/>
        </w:rPr>
        <w:t>3</w:t>
      </w:r>
      <w:r>
        <w:rPr>
          <w:rFonts w:hint="eastAsia" w:hAnsi="宋体"/>
          <w:b/>
          <w:color w:val="auto"/>
          <w:highlight w:val="none"/>
        </w:rPr>
        <w:t>）不同的投标人的投标文件载明的项目管理员为同一个人；</w:t>
      </w:r>
    </w:p>
    <w:p w14:paraId="1EA0E948">
      <w:pPr>
        <w:spacing w:line="360" w:lineRule="auto"/>
        <w:ind w:firstLine="422" w:firstLineChars="200"/>
        <w:rPr>
          <w:rFonts w:hAnsi="宋体"/>
          <w:b/>
          <w:color w:val="auto"/>
          <w:highlight w:val="none"/>
        </w:rPr>
      </w:pPr>
      <w:r>
        <w:rPr>
          <w:rFonts w:hint="eastAsia" w:hAnsi="宋体"/>
          <w:b/>
          <w:color w:val="auto"/>
          <w:highlight w:val="none"/>
        </w:rPr>
        <w:t>（</w:t>
      </w:r>
      <w:r>
        <w:rPr>
          <w:rFonts w:hAnsi="宋体"/>
          <w:b/>
          <w:color w:val="auto"/>
          <w:highlight w:val="none"/>
        </w:rPr>
        <w:t>4</w:t>
      </w:r>
      <w:r>
        <w:rPr>
          <w:rFonts w:hint="eastAsia" w:hAnsi="宋体"/>
          <w:b/>
          <w:color w:val="auto"/>
          <w:highlight w:val="none"/>
        </w:rPr>
        <w:t>）不同投标人的电子或纸质投标文件异常一致或者投标报价呈规律性差异；</w:t>
      </w:r>
    </w:p>
    <w:p w14:paraId="6DFE00FE">
      <w:pPr>
        <w:spacing w:line="360" w:lineRule="auto"/>
        <w:ind w:firstLine="422" w:firstLineChars="200"/>
        <w:rPr>
          <w:rFonts w:hAnsi="宋体"/>
          <w:b/>
          <w:color w:val="auto"/>
          <w:highlight w:val="none"/>
        </w:rPr>
      </w:pPr>
      <w:r>
        <w:rPr>
          <w:rFonts w:hint="eastAsia" w:hAnsi="宋体"/>
          <w:b/>
          <w:color w:val="auto"/>
          <w:highlight w:val="none"/>
        </w:rPr>
        <w:t>（</w:t>
      </w:r>
      <w:r>
        <w:rPr>
          <w:rFonts w:hAnsi="宋体"/>
          <w:b/>
          <w:color w:val="auto"/>
          <w:highlight w:val="none"/>
        </w:rPr>
        <w:t>5</w:t>
      </w:r>
      <w:r>
        <w:rPr>
          <w:rFonts w:hint="eastAsia" w:hAnsi="宋体"/>
          <w:b/>
          <w:color w:val="auto"/>
          <w:highlight w:val="none"/>
        </w:rPr>
        <w:t>）不同投标人的纸质投标文件相互混装；</w:t>
      </w:r>
    </w:p>
    <w:p w14:paraId="57F2302C">
      <w:pPr>
        <w:spacing w:line="360" w:lineRule="auto"/>
        <w:ind w:firstLine="420" w:firstLineChars="200"/>
        <w:rPr>
          <w:rFonts w:ascii="宋体" w:hAnsi="宋体"/>
          <w:color w:val="auto"/>
          <w:szCs w:val="21"/>
          <w:highlight w:val="none"/>
        </w:rPr>
      </w:pPr>
      <w:r>
        <w:rPr>
          <w:rFonts w:hint="eastAsia" w:ascii="宋体" w:hAnsi="宋体"/>
          <w:color w:val="auto"/>
          <w:szCs w:val="21"/>
          <w:highlight w:val="none"/>
        </w:rPr>
        <w:t>9.3供应商有下列情形之一的，属于恶意串通行为，将报同级监督管理部门：</w:t>
      </w:r>
    </w:p>
    <w:p w14:paraId="1338DEB1">
      <w:pPr>
        <w:spacing w:line="360" w:lineRule="auto"/>
        <w:ind w:firstLine="420" w:firstLineChars="200"/>
        <w:rPr>
          <w:rFonts w:hAnsi="宋体"/>
          <w:color w:val="auto"/>
          <w:highlight w:val="none"/>
        </w:rPr>
      </w:pPr>
      <w:r>
        <w:rPr>
          <w:rFonts w:hint="eastAsia" w:hAnsi="宋体"/>
          <w:color w:val="auto"/>
          <w:highlight w:val="none"/>
        </w:rPr>
        <w:t>（</w:t>
      </w:r>
      <w:r>
        <w:rPr>
          <w:rFonts w:hAnsi="宋体"/>
          <w:color w:val="auto"/>
          <w:highlight w:val="none"/>
        </w:rPr>
        <w:t>1</w:t>
      </w:r>
      <w:r>
        <w:rPr>
          <w:rFonts w:hint="eastAsia" w:hAnsi="宋体"/>
          <w:color w:val="auto"/>
          <w:highlight w:val="none"/>
        </w:rPr>
        <w:t>）供应商直接或者间接从采购人或者采购代理机构处获得其他供应商的相关信息并修改其投标文件或者投标文件；</w:t>
      </w:r>
    </w:p>
    <w:p w14:paraId="064F52CE">
      <w:pPr>
        <w:spacing w:line="360" w:lineRule="auto"/>
        <w:ind w:firstLine="420" w:firstLineChars="200"/>
        <w:rPr>
          <w:rFonts w:hAnsi="宋体"/>
          <w:color w:val="auto"/>
          <w:highlight w:val="none"/>
        </w:rPr>
      </w:pPr>
      <w:r>
        <w:rPr>
          <w:rFonts w:hint="eastAsia" w:hAnsi="宋体"/>
          <w:color w:val="auto"/>
          <w:highlight w:val="none"/>
        </w:rPr>
        <w:t>（</w:t>
      </w:r>
      <w:r>
        <w:rPr>
          <w:rFonts w:hAnsi="宋体"/>
          <w:color w:val="auto"/>
          <w:highlight w:val="none"/>
        </w:rPr>
        <w:t>2</w:t>
      </w:r>
      <w:r>
        <w:rPr>
          <w:rFonts w:hint="eastAsia" w:hAnsi="宋体"/>
          <w:color w:val="auto"/>
          <w:highlight w:val="none"/>
        </w:rPr>
        <w:t>）供应商按照采购人或者采购代理机构的授意撤换、修改投标文件或者投标文件；</w:t>
      </w:r>
    </w:p>
    <w:p w14:paraId="3E44EE35">
      <w:pPr>
        <w:spacing w:line="360" w:lineRule="auto"/>
        <w:ind w:firstLine="420" w:firstLineChars="200"/>
        <w:rPr>
          <w:rFonts w:hAnsi="宋体"/>
          <w:color w:val="auto"/>
          <w:highlight w:val="none"/>
        </w:rPr>
      </w:pPr>
      <w:r>
        <w:rPr>
          <w:rFonts w:hint="eastAsia" w:hAnsi="宋体"/>
          <w:color w:val="auto"/>
          <w:highlight w:val="none"/>
        </w:rPr>
        <w:t>（</w:t>
      </w:r>
      <w:r>
        <w:rPr>
          <w:rFonts w:hAnsi="宋体"/>
          <w:color w:val="auto"/>
          <w:highlight w:val="none"/>
        </w:rPr>
        <w:t>3</w:t>
      </w:r>
      <w:r>
        <w:rPr>
          <w:rFonts w:hint="eastAsia" w:hAnsi="宋体"/>
          <w:color w:val="auto"/>
          <w:highlight w:val="none"/>
        </w:rPr>
        <w:t>）供应商之间协商报价、技术方案等投标文件或者投标文件的实质性内容；</w:t>
      </w:r>
    </w:p>
    <w:p w14:paraId="3524E5E0">
      <w:pPr>
        <w:spacing w:line="360" w:lineRule="auto"/>
        <w:ind w:firstLine="420" w:firstLineChars="200"/>
        <w:rPr>
          <w:rFonts w:hAnsi="宋体"/>
          <w:color w:val="auto"/>
          <w:highlight w:val="none"/>
        </w:rPr>
      </w:pPr>
      <w:r>
        <w:rPr>
          <w:rFonts w:hint="eastAsia" w:hAnsi="宋体"/>
          <w:color w:val="auto"/>
          <w:highlight w:val="none"/>
        </w:rPr>
        <w:t>（</w:t>
      </w:r>
      <w:r>
        <w:rPr>
          <w:rFonts w:hAnsi="宋体"/>
          <w:color w:val="auto"/>
          <w:highlight w:val="none"/>
        </w:rPr>
        <w:t>4</w:t>
      </w:r>
      <w:r>
        <w:rPr>
          <w:rFonts w:hint="eastAsia" w:hAnsi="宋体"/>
          <w:color w:val="auto"/>
          <w:highlight w:val="none"/>
        </w:rPr>
        <w:t>）属于同一集团、协会、商会等组织成员的供应商按照该组织要求协同参加政府采购活动；</w:t>
      </w:r>
    </w:p>
    <w:p w14:paraId="2974C8D9">
      <w:pPr>
        <w:spacing w:line="360" w:lineRule="auto"/>
        <w:ind w:firstLine="420" w:firstLineChars="200"/>
        <w:rPr>
          <w:rFonts w:hAnsi="宋体"/>
          <w:color w:val="auto"/>
          <w:highlight w:val="none"/>
        </w:rPr>
      </w:pPr>
      <w:r>
        <w:rPr>
          <w:rFonts w:hint="eastAsia" w:hAnsi="宋体"/>
          <w:color w:val="auto"/>
          <w:highlight w:val="none"/>
        </w:rPr>
        <w:t>（</w:t>
      </w:r>
      <w:r>
        <w:rPr>
          <w:rFonts w:hAnsi="宋体"/>
          <w:color w:val="auto"/>
          <w:highlight w:val="none"/>
        </w:rPr>
        <w:t>5</w:t>
      </w:r>
      <w:r>
        <w:rPr>
          <w:rFonts w:hint="eastAsia" w:hAnsi="宋体"/>
          <w:color w:val="auto"/>
          <w:highlight w:val="none"/>
        </w:rPr>
        <w:t>）供应商之间事先约定一致抬高或者压低投标报价，或者在招标项目中事先约定轮流以高价位或者低价位中标，或者事先约定由某一特定供应商中标，然后再参加投标；</w:t>
      </w:r>
    </w:p>
    <w:p w14:paraId="3C948A7E">
      <w:pPr>
        <w:spacing w:line="360" w:lineRule="auto"/>
        <w:ind w:firstLine="420" w:firstLineChars="200"/>
        <w:rPr>
          <w:rFonts w:hAnsi="宋体"/>
          <w:color w:val="auto"/>
          <w:highlight w:val="none"/>
        </w:rPr>
      </w:pPr>
      <w:r>
        <w:rPr>
          <w:rFonts w:hint="eastAsia" w:hAnsi="宋体"/>
          <w:color w:val="auto"/>
          <w:highlight w:val="none"/>
        </w:rPr>
        <w:t>（</w:t>
      </w:r>
      <w:r>
        <w:rPr>
          <w:rFonts w:hAnsi="宋体"/>
          <w:color w:val="auto"/>
          <w:highlight w:val="none"/>
        </w:rPr>
        <w:t>6</w:t>
      </w:r>
      <w:r>
        <w:rPr>
          <w:rFonts w:hint="eastAsia" w:hAnsi="宋体"/>
          <w:color w:val="auto"/>
          <w:highlight w:val="none"/>
        </w:rPr>
        <w:t>）供应商之间商定部分供应商放弃参加政府采购活动或者放弃中标；</w:t>
      </w:r>
    </w:p>
    <w:p w14:paraId="0927BCFF">
      <w:pPr>
        <w:spacing w:line="360" w:lineRule="auto"/>
        <w:ind w:firstLine="420" w:firstLineChars="200"/>
        <w:rPr>
          <w:rFonts w:hAnsi="宋体"/>
          <w:color w:val="auto"/>
          <w:highlight w:val="none"/>
        </w:rPr>
      </w:pPr>
      <w:r>
        <w:rPr>
          <w:rFonts w:hint="eastAsia" w:hAnsi="宋体"/>
          <w:color w:val="auto"/>
          <w:highlight w:val="none"/>
        </w:rPr>
        <w:t>（</w:t>
      </w:r>
      <w:r>
        <w:rPr>
          <w:rFonts w:hAnsi="宋体"/>
          <w:color w:val="auto"/>
          <w:highlight w:val="none"/>
        </w:rPr>
        <w:t>7</w:t>
      </w:r>
      <w:r>
        <w:rPr>
          <w:rFonts w:hint="eastAsia" w:hAnsi="宋体"/>
          <w:color w:val="auto"/>
          <w:highlight w:val="none"/>
        </w:rPr>
        <w:t>）供应商与采购人或者采购代理机构之间、供应商相互之间，为谋求特定供应商中标或者排斥其他供应商的其他串通行为。</w:t>
      </w:r>
    </w:p>
    <w:p w14:paraId="06507FD7">
      <w:pPr>
        <w:pStyle w:val="7"/>
        <w:snapToGrid w:val="0"/>
        <w:spacing w:line="360" w:lineRule="auto"/>
        <w:ind w:left="2" w:leftChars="1" w:firstLine="422" w:firstLineChars="200"/>
        <w:rPr>
          <w:rFonts w:hAnsi="宋体"/>
          <w:b/>
          <w:color w:val="auto"/>
          <w:highlight w:val="none"/>
        </w:rPr>
      </w:pPr>
    </w:p>
    <w:p w14:paraId="1C10548C">
      <w:pPr>
        <w:pStyle w:val="10"/>
        <w:keepNext w:val="0"/>
        <w:keepLines w:val="0"/>
        <w:spacing w:line="400" w:lineRule="exact"/>
        <w:jc w:val="center"/>
        <w:rPr>
          <w:color w:val="auto"/>
          <w:highlight w:val="none"/>
        </w:rPr>
      </w:pPr>
      <w:bookmarkStart w:id="71" w:name="_Toc254970675"/>
      <w:bookmarkStart w:id="72" w:name="_Toc187761555"/>
      <w:bookmarkStart w:id="73" w:name="_Toc254970534"/>
      <w:r>
        <w:rPr>
          <w:rFonts w:hint="eastAsia"/>
          <w:color w:val="auto"/>
          <w:highlight w:val="none"/>
        </w:rPr>
        <w:t>二、招标文件</w:t>
      </w:r>
      <w:bookmarkEnd w:id="71"/>
      <w:bookmarkEnd w:id="72"/>
      <w:bookmarkEnd w:id="73"/>
    </w:p>
    <w:p w14:paraId="7E1FE665">
      <w:pPr>
        <w:spacing w:line="360" w:lineRule="auto"/>
        <w:ind w:firstLine="480" w:firstLineChars="200"/>
        <w:rPr>
          <w:rFonts w:ascii="黑体" w:hAnsi="黑体" w:eastAsia="黑体"/>
          <w:color w:val="auto"/>
          <w:sz w:val="24"/>
          <w:highlight w:val="none"/>
        </w:rPr>
      </w:pPr>
      <w:r>
        <w:rPr>
          <w:rFonts w:hint="eastAsia" w:ascii="黑体" w:hAnsi="黑体" w:eastAsia="黑体"/>
          <w:color w:val="auto"/>
          <w:sz w:val="24"/>
          <w:highlight w:val="none"/>
        </w:rPr>
        <w:t>10.招标文件的组成</w:t>
      </w:r>
    </w:p>
    <w:p w14:paraId="7EB5025F">
      <w:pPr>
        <w:spacing w:line="360" w:lineRule="auto"/>
        <w:ind w:firstLine="420" w:firstLineChars="200"/>
        <w:rPr>
          <w:rFonts w:ascii="宋体" w:hAnsi="宋体"/>
          <w:color w:val="auto"/>
          <w:szCs w:val="21"/>
          <w:highlight w:val="none"/>
        </w:rPr>
      </w:pPr>
      <w:r>
        <w:rPr>
          <w:rFonts w:hint="eastAsia" w:ascii="宋体" w:hAnsi="宋体"/>
          <w:color w:val="auto"/>
          <w:szCs w:val="21"/>
          <w:highlight w:val="none"/>
        </w:rPr>
        <w:t>第一章 招标公告；</w:t>
      </w:r>
    </w:p>
    <w:p w14:paraId="65C70975">
      <w:pPr>
        <w:spacing w:line="360" w:lineRule="auto"/>
        <w:ind w:firstLine="420" w:firstLineChars="200"/>
        <w:rPr>
          <w:rFonts w:ascii="宋体" w:hAnsi="宋体"/>
          <w:color w:val="auto"/>
          <w:szCs w:val="21"/>
          <w:highlight w:val="none"/>
        </w:rPr>
      </w:pPr>
      <w:r>
        <w:rPr>
          <w:rFonts w:hint="eastAsia" w:ascii="宋体" w:hAnsi="宋体"/>
          <w:color w:val="auto"/>
          <w:szCs w:val="21"/>
          <w:highlight w:val="none"/>
        </w:rPr>
        <w:t xml:space="preserve">第二章 采购需求； </w:t>
      </w:r>
    </w:p>
    <w:p w14:paraId="3C549F5B">
      <w:pPr>
        <w:spacing w:line="360" w:lineRule="auto"/>
        <w:ind w:firstLine="420" w:firstLineChars="200"/>
        <w:rPr>
          <w:rFonts w:ascii="宋体" w:hAnsi="宋体"/>
          <w:color w:val="auto"/>
          <w:szCs w:val="21"/>
          <w:highlight w:val="none"/>
        </w:rPr>
      </w:pPr>
      <w:r>
        <w:rPr>
          <w:rFonts w:hint="eastAsia" w:ascii="宋体" w:hAnsi="宋体"/>
          <w:color w:val="auto"/>
          <w:szCs w:val="21"/>
          <w:highlight w:val="none"/>
        </w:rPr>
        <w:t>第三章 投标人须知；</w:t>
      </w:r>
    </w:p>
    <w:p w14:paraId="33F0F43E">
      <w:pPr>
        <w:spacing w:line="360" w:lineRule="auto"/>
        <w:ind w:firstLine="420" w:firstLineChars="200"/>
        <w:rPr>
          <w:rFonts w:ascii="宋体" w:hAnsi="宋体"/>
          <w:color w:val="auto"/>
          <w:szCs w:val="21"/>
          <w:highlight w:val="none"/>
        </w:rPr>
      </w:pPr>
      <w:r>
        <w:rPr>
          <w:rFonts w:hint="eastAsia" w:ascii="宋体" w:hAnsi="宋体"/>
          <w:color w:val="auto"/>
          <w:szCs w:val="21"/>
          <w:highlight w:val="none"/>
        </w:rPr>
        <w:t>第四章 评标方法及评标标准；</w:t>
      </w:r>
    </w:p>
    <w:p w14:paraId="0EC40714">
      <w:pPr>
        <w:spacing w:line="360" w:lineRule="auto"/>
        <w:ind w:firstLine="420" w:firstLineChars="200"/>
        <w:rPr>
          <w:rFonts w:ascii="宋体" w:hAnsi="宋体"/>
          <w:color w:val="auto"/>
          <w:szCs w:val="21"/>
          <w:highlight w:val="none"/>
        </w:rPr>
      </w:pPr>
      <w:r>
        <w:rPr>
          <w:rFonts w:hint="eastAsia" w:ascii="宋体" w:hAnsi="宋体"/>
          <w:color w:val="auto"/>
          <w:szCs w:val="21"/>
          <w:highlight w:val="none"/>
        </w:rPr>
        <w:t>第五章 拟签订的合同文本；</w:t>
      </w:r>
    </w:p>
    <w:p w14:paraId="139F197A">
      <w:pPr>
        <w:spacing w:line="360" w:lineRule="auto"/>
        <w:ind w:firstLine="420" w:firstLineChars="200"/>
        <w:rPr>
          <w:rFonts w:ascii="宋体" w:hAnsi="宋体"/>
          <w:color w:val="auto"/>
          <w:szCs w:val="21"/>
          <w:highlight w:val="none"/>
        </w:rPr>
      </w:pPr>
      <w:r>
        <w:rPr>
          <w:rFonts w:hint="eastAsia" w:ascii="宋体" w:hAnsi="宋体"/>
          <w:color w:val="auto"/>
          <w:szCs w:val="21"/>
          <w:highlight w:val="none"/>
        </w:rPr>
        <w:t>第六章 投标文件格式；</w:t>
      </w:r>
    </w:p>
    <w:p w14:paraId="14954F23">
      <w:pPr>
        <w:spacing w:line="360" w:lineRule="auto"/>
        <w:ind w:firstLine="420" w:firstLineChars="200"/>
        <w:rPr>
          <w:rFonts w:ascii="宋体" w:hAnsi="宋体"/>
          <w:color w:val="auto"/>
          <w:szCs w:val="21"/>
          <w:highlight w:val="none"/>
        </w:rPr>
      </w:pPr>
      <w:r>
        <w:rPr>
          <w:rFonts w:hint="eastAsia" w:ascii="宋体" w:hAnsi="宋体"/>
          <w:color w:val="auto"/>
          <w:szCs w:val="21"/>
          <w:highlight w:val="none"/>
        </w:rPr>
        <w:t>第七章 质疑、投诉材料格式</w:t>
      </w:r>
    </w:p>
    <w:p w14:paraId="4767FC5E">
      <w:pPr>
        <w:spacing w:line="360" w:lineRule="auto"/>
        <w:ind w:firstLine="420" w:firstLineChars="200"/>
        <w:rPr>
          <w:rFonts w:hAnsi="宋体"/>
          <w:color w:val="auto"/>
          <w:highlight w:val="none"/>
        </w:rPr>
      </w:pPr>
      <w:r>
        <w:rPr>
          <w:rFonts w:hint="eastAsia" w:hAnsi="宋体"/>
          <w:color w:val="auto"/>
          <w:highlight w:val="none"/>
        </w:rPr>
        <w:t>根据本章第</w:t>
      </w:r>
      <w:r>
        <w:rPr>
          <w:rFonts w:hAnsi="宋体"/>
          <w:color w:val="auto"/>
          <w:highlight w:val="none"/>
        </w:rPr>
        <w:t>11.1</w:t>
      </w:r>
      <w:r>
        <w:rPr>
          <w:rFonts w:hint="eastAsia" w:hAnsi="宋体"/>
          <w:color w:val="auto"/>
          <w:highlight w:val="none"/>
        </w:rPr>
        <w:t>项的规定对公开招标文件所做的澄清、修改，构成招标文件的组成部分。当公开招标文件与招标文件的澄清和修改就同一内容的表述不一致时，</w:t>
      </w:r>
      <w:r>
        <w:rPr>
          <w:rFonts w:hint="eastAsia"/>
          <w:color w:val="auto"/>
          <w:highlight w:val="none"/>
        </w:rPr>
        <w:t>以最后澄清或修改公告为准。</w:t>
      </w:r>
    </w:p>
    <w:p w14:paraId="6ABAE67F">
      <w:pPr>
        <w:spacing w:line="360" w:lineRule="auto"/>
        <w:ind w:firstLine="480" w:firstLineChars="200"/>
        <w:rPr>
          <w:rFonts w:ascii="黑体" w:hAnsi="黑体" w:eastAsia="黑体"/>
          <w:color w:val="auto"/>
          <w:sz w:val="24"/>
          <w:highlight w:val="none"/>
        </w:rPr>
      </w:pPr>
      <w:r>
        <w:rPr>
          <w:rFonts w:hint="eastAsia" w:ascii="黑体" w:hAnsi="黑体" w:eastAsia="黑体"/>
          <w:color w:val="auto"/>
          <w:sz w:val="24"/>
          <w:highlight w:val="none"/>
        </w:rPr>
        <w:t>11.招标文件的澄清、修改 、现场考察和答疑会</w:t>
      </w:r>
    </w:p>
    <w:p w14:paraId="67356488">
      <w:pPr>
        <w:spacing w:line="360" w:lineRule="auto"/>
        <w:ind w:firstLine="422" w:firstLineChars="200"/>
        <w:rPr>
          <w:rFonts w:ascii="宋体" w:hAnsi="宋体"/>
          <w:b/>
          <w:color w:val="auto"/>
          <w:szCs w:val="21"/>
          <w:highlight w:val="none"/>
        </w:rPr>
      </w:pPr>
      <w:r>
        <w:rPr>
          <w:rFonts w:hint="eastAsia" w:ascii="宋体" w:hAnsi="宋体"/>
          <w:b/>
          <w:color w:val="auto"/>
          <w:szCs w:val="21"/>
          <w:highlight w:val="none"/>
        </w:rPr>
        <w:t xml:space="preserve"> 11.1采购人或者采购代理机构可以对已发出的招标文件进行必要的澄清或者修改，但不得改变采购标的和资格条件。澄清或者修改应当在原公告发布媒体上发布澄清公告。澄清或者修改的内容为招标文件的组成部分。</w:t>
      </w:r>
    </w:p>
    <w:p w14:paraId="0345B80F">
      <w:pPr>
        <w:spacing w:line="360" w:lineRule="auto"/>
        <w:ind w:firstLine="420" w:firstLineChars="200"/>
        <w:rPr>
          <w:rFonts w:hAnsi="宋体"/>
          <w:color w:val="auto"/>
          <w:highlight w:val="none"/>
        </w:rPr>
      </w:pPr>
      <w:r>
        <w:rPr>
          <w:rFonts w:hAnsi="宋体"/>
          <w:color w:val="auto"/>
          <w:highlight w:val="none"/>
        </w:rPr>
        <w:t xml:space="preserve">11.2 </w:t>
      </w:r>
      <w:r>
        <w:rPr>
          <w:rFonts w:hint="eastAsia" w:hAnsi="宋体"/>
          <w:color w:val="auto"/>
          <w:highlight w:val="none"/>
        </w:rPr>
        <w:t>投标人应认真审阅本公开招标文件，如有疑问，或发现其中有误或有要求不合理的，应在投标人须知前附表规定的</w:t>
      </w:r>
      <w:r>
        <w:rPr>
          <w:rFonts w:hint="eastAsia" w:cs="宋体"/>
          <w:color w:val="auto"/>
          <w:kern w:val="0"/>
          <w:szCs w:val="21"/>
          <w:highlight w:val="none"/>
        </w:rPr>
        <w:t>投标截止时间</w:t>
      </w:r>
      <w:r>
        <w:rPr>
          <w:rFonts w:hint="eastAsia" w:hAnsi="宋体"/>
          <w:color w:val="auto"/>
          <w:highlight w:val="none"/>
        </w:rPr>
        <w:t>前以书面形式要求采购人或采购代理机构对招标文件予以澄清；否则，由此产生的后果由投标人自行负责。</w:t>
      </w:r>
    </w:p>
    <w:p w14:paraId="00A0B524">
      <w:pPr>
        <w:spacing w:line="360" w:lineRule="auto"/>
        <w:ind w:firstLine="420" w:firstLineChars="200"/>
        <w:rPr>
          <w:color w:val="auto"/>
          <w:highlight w:val="none"/>
        </w:rPr>
      </w:pPr>
      <w:r>
        <w:rPr>
          <w:rFonts w:hAnsi="宋体"/>
          <w:color w:val="auto"/>
          <w:highlight w:val="none"/>
        </w:rPr>
        <w:t xml:space="preserve">11.3 </w:t>
      </w:r>
      <w:r>
        <w:rPr>
          <w:rFonts w:hint="eastAsia" w:hAnsi="宋体"/>
          <w:color w:val="auto"/>
          <w:highlight w:val="none"/>
        </w:rPr>
        <w:t>采购人或者采购代理机构可以对已发出的招标文件进行必要的澄清或者修改。澄清或者修改的内容可能影响投标文件编制的，采购人或者采购代理机构应当在投标截止时间至少</w:t>
      </w:r>
      <w:r>
        <w:rPr>
          <w:rFonts w:hAnsi="宋体"/>
          <w:color w:val="auto"/>
          <w:highlight w:val="none"/>
        </w:rPr>
        <w:t>15</w:t>
      </w:r>
      <w:r>
        <w:rPr>
          <w:rFonts w:hint="eastAsia" w:hAnsi="宋体"/>
          <w:color w:val="auto"/>
          <w:highlight w:val="none"/>
        </w:rPr>
        <w:t>日前，以书面形式通知</w:t>
      </w:r>
      <w:r>
        <w:rPr>
          <w:rFonts w:hAnsi="宋体"/>
          <w:color w:val="auto"/>
          <w:highlight w:val="none"/>
        </w:rPr>
        <w:t>(</w:t>
      </w:r>
      <w:r>
        <w:rPr>
          <w:rFonts w:hint="eastAsia" w:hAnsi="宋体"/>
          <w:color w:val="auto"/>
          <w:highlight w:val="none"/>
        </w:rPr>
        <w:t>在“</w:t>
      </w:r>
      <w:r>
        <w:rPr>
          <w:rFonts w:hint="eastAsia" w:hAnsi="宋体"/>
          <w:color w:val="auto"/>
          <w:szCs w:val="21"/>
          <w:highlight w:val="none"/>
        </w:rPr>
        <w:t>投标人须知前附表”</w:t>
      </w:r>
      <w:r>
        <w:rPr>
          <w:rFonts w:hint="eastAsia" w:hAnsi="宋体"/>
          <w:color w:val="auto"/>
          <w:highlight w:val="none"/>
        </w:rPr>
        <w:t>规定的政府采购信息发布媒体上发布更正公告及平台短信通知</w:t>
      </w:r>
      <w:r>
        <w:rPr>
          <w:rFonts w:hAnsi="宋体"/>
          <w:color w:val="auto"/>
          <w:highlight w:val="none"/>
        </w:rPr>
        <w:t>)</w:t>
      </w:r>
      <w:r>
        <w:rPr>
          <w:rFonts w:hint="eastAsia" w:hAnsi="宋体"/>
          <w:color w:val="auto"/>
          <w:highlight w:val="none"/>
        </w:rPr>
        <w:t>所有获取招标文件的潜在投标人；不足</w:t>
      </w:r>
      <w:r>
        <w:rPr>
          <w:rFonts w:hAnsi="宋体"/>
          <w:color w:val="auto"/>
          <w:highlight w:val="none"/>
        </w:rPr>
        <w:t>15</w:t>
      </w:r>
      <w:r>
        <w:rPr>
          <w:rFonts w:hint="eastAsia" w:hAnsi="宋体"/>
          <w:color w:val="auto"/>
          <w:highlight w:val="none"/>
        </w:rPr>
        <w:t>日的，采购人或者采购代理机构应当顺延提交投标文件的截止时间。发出的澄清或者修改不影响投标文件编制的也应在截标前</w:t>
      </w:r>
      <w:r>
        <w:rPr>
          <w:rFonts w:hAnsi="宋体"/>
          <w:color w:val="auto"/>
          <w:highlight w:val="none"/>
        </w:rPr>
        <w:t>3</w:t>
      </w:r>
      <w:r>
        <w:rPr>
          <w:rFonts w:hint="eastAsia" w:hAnsi="宋体"/>
          <w:color w:val="auto"/>
          <w:highlight w:val="none"/>
        </w:rPr>
        <w:t>日发出。</w:t>
      </w:r>
    </w:p>
    <w:p w14:paraId="3814DAAE">
      <w:pPr>
        <w:spacing w:line="360" w:lineRule="auto"/>
        <w:ind w:firstLine="420" w:firstLineChars="200"/>
        <w:rPr>
          <w:color w:val="auto"/>
          <w:highlight w:val="none"/>
        </w:rPr>
      </w:pPr>
      <w:r>
        <w:rPr>
          <w:rFonts w:hAnsi="宋体"/>
          <w:color w:val="auto"/>
          <w:highlight w:val="none"/>
        </w:rPr>
        <w:t xml:space="preserve">11.4 </w:t>
      </w:r>
      <w:r>
        <w:rPr>
          <w:rFonts w:hint="eastAsia"/>
          <w:color w:val="auto"/>
          <w:highlight w:val="none"/>
        </w:rPr>
        <w:t>采购人和采购代理机构可以视采购具体情况，变更投标截止时间和开标时间，将变更时间将在</w:t>
      </w:r>
      <w:r>
        <w:rPr>
          <w:rFonts w:hint="eastAsia" w:hAnsi="宋体"/>
          <w:color w:val="auto"/>
          <w:highlight w:val="none"/>
        </w:rPr>
        <w:t>“</w:t>
      </w:r>
      <w:r>
        <w:rPr>
          <w:rFonts w:hint="eastAsia" w:hAnsi="宋体"/>
          <w:color w:val="auto"/>
          <w:szCs w:val="21"/>
          <w:highlight w:val="none"/>
        </w:rPr>
        <w:t>投标人须知前附表”</w:t>
      </w:r>
      <w:r>
        <w:rPr>
          <w:rFonts w:hint="eastAsia" w:cs="宋体"/>
          <w:color w:val="auto"/>
          <w:kern w:val="0"/>
          <w:szCs w:val="21"/>
          <w:highlight w:val="none"/>
        </w:rPr>
        <w:t>规定的政府采购信息发布媒体上</w:t>
      </w:r>
      <w:r>
        <w:rPr>
          <w:rFonts w:hint="eastAsia"/>
          <w:color w:val="auto"/>
          <w:highlight w:val="none"/>
        </w:rPr>
        <w:t>发布更正公告。</w:t>
      </w:r>
    </w:p>
    <w:p w14:paraId="73F188EC">
      <w:pPr>
        <w:spacing w:line="360" w:lineRule="auto"/>
        <w:ind w:firstLine="420" w:firstLineChars="200"/>
        <w:rPr>
          <w:rFonts w:hAnsi="宋体"/>
          <w:color w:val="auto"/>
          <w:highlight w:val="none"/>
        </w:rPr>
      </w:pPr>
      <w:r>
        <w:rPr>
          <w:rFonts w:hAnsi="宋体"/>
          <w:color w:val="auto"/>
          <w:highlight w:val="none"/>
        </w:rPr>
        <w:t>11.</w:t>
      </w:r>
      <w:bookmarkStart w:id="74" w:name="_Hlk53134511"/>
      <w:r>
        <w:rPr>
          <w:rFonts w:hAnsi="宋体"/>
          <w:color w:val="auto"/>
          <w:highlight w:val="none"/>
        </w:rPr>
        <w:t>5</w:t>
      </w:r>
      <w:r>
        <w:rPr>
          <w:rFonts w:hint="eastAsia" w:hAnsi="宋体"/>
          <w:color w:val="auto"/>
          <w:highlight w:val="none"/>
        </w:rPr>
        <w:t>采购人或者采购代理机构可以在招标文件提供期限截止后，组织已获取招标文件的潜在投标人现场考察或者召开开标前答疑会，具体详见“投标人须知前附表”。</w:t>
      </w:r>
    </w:p>
    <w:bookmarkEnd w:id="74"/>
    <w:p w14:paraId="522E61D5">
      <w:pPr>
        <w:pStyle w:val="10"/>
        <w:keepNext w:val="0"/>
        <w:keepLines w:val="0"/>
        <w:spacing w:line="400" w:lineRule="exact"/>
        <w:jc w:val="center"/>
        <w:rPr>
          <w:color w:val="auto"/>
          <w:highlight w:val="none"/>
        </w:rPr>
      </w:pPr>
      <w:bookmarkStart w:id="75" w:name="_Toc254970676"/>
      <w:bookmarkStart w:id="76" w:name="_Toc254970535"/>
      <w:bookmarkStart w:id="77" w:name="_Toc187761556"/>
      <w:r>
        <w:rPr>
          <w:rFonts w:hint="eastAsia"/>
          <w:color w:val="auto"/>
          <w:highlight w:val="none"/>
        </w:rPr>
        <w:t>三、投标文件的编制</w:t>
      </w:r>
      <w:bookmarkEnd w:id="75"/>
      <w:bookmarkEnd w:id="76"/>
      <w:bookmarkEnd w:id="77"/>
    </w:p>
    <w:p w14:paraId="7270104F">
      <w:pPr>
        <w:spacing w:line="360" w:lineRule="auto"/>
        <w:ind w:firstLine="480" w:firstLineChars="200"/>
        <w:rPr>
          <w:rFonts w:ascii="黑体" w:hAnsi="黑体" w:eastAsia="黑体"/>
          <w:color w:val="auto"/>
          <w:sz w:val="24"/>
          <w:highlight w:val="none"/>
        </w:rPr>
      </w:pPr>
      <w:bookmarkStart w:id="78" w:name="_Toc254970677"/>
      <w:bookmarkStart w:id="79" w:name="_Toc254970536"/>
      <w:r>
        <w:rPr>
          <w:rFonts w:hint="eastAsia" w:ascii="黑体" w:hAnsi="黑体" w:eastAsia="黑体"/>
          <w:color w:val="auto"/>
          <w:sz w:val="24"/>
          <w:highlight w:val="none"/>
        </w:rPr>
        <w:t>12.投标文件的编制原则</w:t>
      </w:r>
    </w:p>
    <w:p w14:paraId="67F9C4AB">
      <w:pPr>
        <w:spacing w:line="360" w:lineRule="auto"/>
        <w:ind w:firstLine="420" w:firstLineChars="200"/>
        <w:rPr>
          <w:rFonts w:ascii="宋体" w:hAnsi="宋体"/>
          <w:color w:val="auto"/>
          <w:szCs w:val="21"/>
          <w:highlight w:val="none"/>
        </w:rPr>
      </w:pPr>
      <w:r>
        <w:rPr>
          <w:rFonts w:hint="eastAsia" w:ascii="宋体" w:hAnsi="宋体"/>
          <w:color w:val="auto"/>
          <w:szCs w:val="21"/>
          <w:highlight w:val="none"/>
        </w:rPr>
        <w:t>12.1投标人必须按照招标文件的要求编制投标文件。投标文件必须对招标文件提出的要求和条件作出明确响应。</w:t>
      </w:r>
    </w:p>
    <w:p w14:paraId="1F8C5D50">
      <w:pPr>
        <w:spacing w:line="360" w:lineRule="auto"/>
        <w:ind w:firstLine="420" w:firstLineChars="200"/>
        <w:rPr>
          <w:rFonts w:ascii="宋体" w:hAnsi="宋体"/>
          <w:color w:val="auto"/>
          <w:szCs w:val="21"/>
          <w:highlight w:val="none"/>
        </w:rPr>
      </w:pPr>
      <w:r>
        <w:rPr>
          <w:rFonts w:hint="eastAsia" w:ascii="宋体" w:hAnsi="宋体"/>
          <w:color w:val="auto"/>
          <w:szCs w:val="21"/>
          <w:highlight w:val="none"/>
        </w:rPr>
        <w:t>12.2投标人应根据自身实际情况如实响应招标文件，不得仅将招标文件内容简单复制粘贴作为投标响应，还应当提供相关证明材料，否则将作无效响应处理（定制采购项目不适用本条款）。对于重要技术条款或技术参数应当在投标文件中提供技术支持资料，技术支持资料以招标文件中规定的形式为准，否则将视为无效技术支持资料。</w:t>
      </w:r>
    </w:p>
    <w:p w14:paraId="7730DA58">
      <w:pPr>
        <w:spacing w:line="360" w:lineRule="auto"/>
        <w:ind w:firstLine="480" w:firstLineChars="200"/>
        <w:rPr>
          <w:rFonts w:ascii="黑体" w:hAnsi="黑体" w:eastAsia="黑体"/>
          <w:color w:val="auto"/>
          <w:sz w:val="24"/>
          <w:highlight w:val="none"/>
        </w:rPr>
      </w:pPr>
      <w:r>
        <w:rPr>
          <w:rFonts w:hint="eastAsia" w:ascii="黑体" w:hAnsi="黑体" w:eastAsia="黑体"/>
          <w:color w:val="auto"/>
          <w:sz w:val="24"/>
          <w:highlight w:val="none"/>
        </w:rPr>
        <w:t>13.投标文件的组成</w:t>
      </w:r>
      <w:bookmarkEnd w:id="78"/>
      <w:bookmarkEnd w:id="79"/>
    </w:p>
    <w:p w14:paraId="1425E6C8">
      <w:pPr>
        <w:spacing w:line="360" w:lineRule="auto"/>
        <w:ind w:firstLine="420" w:firstLineChars="200"/>
        <w:rPr>
          <w:rFonts w:ascii="宋体" w:hAnsi="宋体"/>
          <w:color w:val="auto"/>
          <w:szCs w:val="21"/>
          <w:highlight w:val="none"/>
        </w:rPr>
      </w:pPr>
      <w:r>
        <w:rPr>
          <w:rFonts w:hint="eastAsia" w:ascii="宋体" w:hAnsi="宋体"/>
          <w:color w:val="auto"/>
          <w:szCs w:val="21"/>
          <w:highlight w:val="none"/>
        </w:rPr>
        <w:t>13.1投标文件由报价文件、资格证明文件、商务文件、技术文件四部分组成。</w:t>
      </w:r>
    </w:p>
    <w:p w14:paraId="6EDB8717">
      <w:pPr>
        <w:spacing w:line="360" w:lineRule="auto"/>
        <w:ind w:firstLine="420" w:firstLineChars="200"/>
        <w:rPr>
          <w:rFonts w:ascii="宋体" w:hAnsi="宋体"/>
          <w:bCs/>
          <w:color w:val="auto"/>
          <w:szCs w:val="21"/>
          <w:highlight w:val="none"/>
        </w:rPr>
      </w:pPr>
      <w:bookmarkStart w:id="80" w:name="_13.2资格证明文件：具体材料见“投标人须知前附表”。"/>
      <w:bookmarkEnd w:id="80"/>
      <w:bookmarkStart w:id="81" w:name="_13.1报价文件:_具体材料见“投标人须知前附表”。"/>
      <w:bookmarkEnd w:id="81"/>
      <w:r>
        <w:rPr>
          <w:rFonts w:hint="eastAsia" w:ascii="宋体" w:hAnsi="宋体"/>
          <w:bCs/>
          <w:color w:val="auto"/>
          <w:szCs w:val="21"/>
          <w:highlight w:val="none"/>
        </w:rPr>
        <w:t>（1）资格证明文件：具体材料见“投标人须知前附表”。</w:t>
      </w:r>
    </w:p>
    <w:p w14:paraId="51203CF2">
      <w:pPr>
        <w:spacing w:line="360" w:lineRule="auto"/>
        <w:ind w:firstLine="420" w:firstLineChars="200"/>
        <w:rPr>
          <w:rFonts w:ascii="宋体" w:hAnsi="宋体"/>
          <w:bCs/>
          <w:color w:val="auto"/>
          <w:szCs w:val="21"/>
          <w:highlight w:val="none"/>
        </w:rPr>
      </w:pPr>
      <w:bookmarkStart w:id="82" w:name="_13.3商务文件:_具体材料见“投标人须知前附表”。"/>
      <w:bookmarkEnd w:id="82"/>
      <w:r>
        <w:rPr>
          <w:rFonts w:hint="eastAsia" w:ascii="宋体" w:hAnsi="宋体"/>
          <w:bCs/>
          <w:color w:val="auto"/>
          <w:szCs w:val="21"/>
          <w:highlight w:val="none"/>
        </w:rPr>
        <w:t>（2）商务文件：具体材料见“投标人须知前附表”。</w:t>
      </w:r>
    </w:p>
    <w:p w14:paraId="75718F5F">
      <w:pPr>
        <w:spacing w:line="360" w:lineRule="auto"/>
        <w:ind w:firstLine="420" w:firstLineChars="200"/>
        <w:rPr>
          <w:rFonts w:ascii="宋体" w:hAnsi="宋体"/>
          <w:bCs/>
          <w:color w:val="auto"/>
          <w:szCs w:val="21"/>
          <w:highlight w:val="none"/>
        </w:rPr>
      </w:pPr>
      <w:bookmarkStart w:id="83" w:name="_13.4技术文件：具体材料见“投标人须知前附表”。"/>
      <w:bookmarkEnd w:id="83"/>
      <w:r>
        <w:rPr>
          <w:rFonts w:hint="eastAsia" w:ascii="宋体" w:hAnsi="宋体"/>
          <w:bCs/>
          <w:color w:val="auto"/>
          <w:szCs w:val="21"/>
          <w:highlight w:val="none"/>
        </w:rPr>
        <w:t xml:space="preserve">（3）技术文件：具体材料见“投标人须知前附表”。 </w:t>
      </w:r>
    </w:p>
    <w:p w14:paraId="273974A7">
      <w:pPr>
        <w:spacing w:line="360" w:lineRule="auto"/>
        <w:ind w:firstLine="420" w:firstLineChars="200"/>
        <w:rPr>
          <w:rFonts w:ascii="宋体" w:hAnsi="宋体"/>
          <w:bCs/>
          <w:color w:val="auto"/>
          <w:szCs w:val="21"/>
          <w:highlight w:val="none"/>
        </w:rPr>
      </w:pPr>
      <w:r>
        <w:rPr>
          <w:rFonts w:hint="eastAsia" w:ascii="宋体" w:hAnsi="宋体"/>
          <w:bCs/>
          <w:color w:val="auto"/>
          <w:szCs w:val="21"/>
          <w:highlight w:val="none"/>
        </w:rPr>
        <w:t>（4）报价文件： 具体材料见“投标人须知前附表”。</w:t>
      </w:r>
    </w:p>
    <w:p w14:paraId="6815291F">
      <w:pPr>
        <w:spacing w:line="360" w:lineRule="auto"/>
        <w:ind w:firstLine="420" w:firstLineChars="200"/>
        <w:rPr>
          <w:rFonts w:ascii="宋体" w:hAnsi="宋体"/>
          <w:bCs/>
          <w:color w:val="auto"/>
          <w:szCs w:val="21"/>
          <w:highlight w:val="none"/>
        </w:rPr>
      </w:pPr>
      <w:bookmarkStart w:id="84" w:name="_13.5投标文件电子版：具体材料见“投标人须知前附表”。"/>
      <w:bookmarkEnd w:id="84"/>
      <w:r>
        <w:rPr>
          <w:rFonts w:hint="eastAsia" w:ascii="宋体" w:hAnsi="宋体"/>
          <w:bCs/>
          <w:color w:val="auto"/>
          <w:szCs w:val="21"/>
          <w:highlight w:val="none"/>
        </w:rPr>
        <w:t>13.2投标文件电子版：具体要求见本节19.投标文件编制。</w:t>
      </w:r>
    </w:p>
    <w:p w14:paraId="5A0B62F3">
      <w:pPr>
        <w:spacing w:line="360" w:lineRule="auto"/>
        <w:ind w:firstLine="480" w:firstLineChars="200"/>
        <w:rPr>
          <w:rFonts w:ascii="黑体" w:hAnsi="黑体" w:eastAsia="黑体"/>
          <w:color w:val="auto"/>
          <w:sz w:val="24"/>
          <w:highlight w:val="none"/>
        </w:rPr>
      </w:pPr>
      <w:bookmarkStart w:id="85" w:name="_Toc254970678"/>
      <w:bookmarkStart w:id="86" w:name="_Toc254970537"/>
      <w:r>
        <w:rPr>
          <w:rFonts w:hint="eastAsia" w:ascii="黑体" w:hAnsi="黑体" w:eastAsia="黑体"/>
          <w:color w:val="auto"/>
          <w:sz w:val="24"/>
          <w:highlight w:val="none"/>
        </w:rPr>
        <w:t>14.投标文件的语言及计量</w:t>
      </w:r>
      <w:bookmarkEnd w:id="85"/>
      <w:bookmarkEnd w:id="86"/>
    </w:p>
    <w:p w14:paraId="2EE7F321">
      <w:pPr>
        <w:spacing w:line="360" w:lineRule="auto"/>
        <w:ind w:firstLine="420" w:firstLineChars="200"/>
        <w:rPr>
          <w:rFonts w:ascii="宋体" w:hAnsi="宋体"/>
          <w:bCs/>
          <w:color w:val="auto"/>
          <w:szCs w:val="21"/>
          <w:highlight w:val="none"/>
        </w:rPr>
      </w:pPr>
      <w:r>
        <w:rPr>
          <w:rFonts w:hint="eastAsia" w:ascii="宋体" w:hAnsi="宋体"/>
          <w:bCs/>
          <w:color w:val="auto"/>
          <w:szCs w:val="21"/>
          <w:highlight w:val="none"/>
        </w:rPr>
        <w:t>14.1语言文字</w:t>
      </w:r>
    </w:p>
    <w:p w14:paraId="59014303">
      <w:pPr>
        <w:spacing w:line="360" w:lineRule="auto"/>
        <w:ind w:firstLine="420" w:firstLineChars="200"/>
        <w:rPr>
          <w:rFonts w:ascii="宋体" w:hAnsi="宋体"/>
          <w:bCs/>
          <w:color w:val="auto"/>
          <w:szCs w:val="21"/>
          <w:highlight w:val="none"/>
        </w:rPr>
      </w:pPr>
      <w:r>
        <w:rPr>
          <w:rFonts w:hint="eastAsia" w:ascii="宋体" w:hAnsi="宋体"/>
          <w:bCs/>
          <w:color w:val="auto"/>
          <w:szCs w:val="21"/>
          <w:highlight w:val="none"/>
        </w:rPr>
        <w:t>投标文件以及投标人与采购人就有关投标事宜的所有来往函电，均应以中文书写（除专用术语外，与招标投标有关的语言均使用中文。必要时专用术语应附有中文注释）。投标人提交的支持文件和印刷的文献可以使用别的语言，但其相应内容应同时附中文翻译文本，在解释投标文件时以中文翻译文本为主。对不同文字文本投标文件的解释发生异议的，以中文文本为准。</w:t>
      </w:r>
    </w:p>
    <w:p w14:paraId="3755F7BC">
      <w:pPr>
        <w:spacing w:line="360" w:lineRule="auto"/>
        <w:ind w:firstLine="420" w:firstLineChars="200"/>
        <w:rPr>
          <w:rFonts w:ascii="宋体" w:hAnsi="宋体"/>
          <w:bCs/>
          <w:color w:val="auto"/>
          <w:szCs w:val="21"/>
          <w:highlight w:val="none"/>
        </w:rPr>
      </w:pPr>
      <w:r>
        <w:rPr>
          <w:rFonts w:hint="eastAsia" w:ascii="宋体" w:hAnsi="宋体"/>
          <w:bCs/>
          <w:color w:val="auto"/>
          <w:szCs w:val="21"/>
          <w:highlight w:val="none"/>
        </w:rPr>
        <w:t>14.2投标计量单位</w:t>
      </w:r>
    </w:p>
    <w:p w14:paraId="44A85F78">
      <w:pPr>
        <w:spacing w:line="360" w:lineRule="auto"/>
        <w:ind w:firstLine="420" w:firstLineChars="200"/>
        <w:rPr>
          <w:rFonts w:ascii="宋体" w:hAnsi="宋体"/>
          <w:bCs/>
          <w:color w:val="auto"/>
          <w:szCs w:val="21"/>
          <w:highlight w:val="none"/>
        </w:rPr>
      </w:pPr>
      <w:r>
        <w:rPr>
          <w:rFonts w:hint="eastAsia" w:ascii="宋体" w:hAnsi="宋体"/>
          <w:bCs/>
          <w:color w:val="auto"/>
          <w:szCs w:val="21"/>
          <w:highlight w:val="none"/>
        </w:rPr>
        <w:t>招标文件已有明确规定的，使用招标文件规定的计量单位；招标文件没有规定的，应采用中华人民共和国法定计量单位，货币种类为人民币，否则视同未响应。</w:t>
      </w:r>
    </w:p>
    <w:p w14:paraId="7C822D54">
      <w:pPr>
        <w:spacing w:line="360" w:lineRule="auto"/>
        <w:ind w:firstLine="480" w:firstLineChars="200"/>
        <w:rPr>
          <w:rFonts w:ascii="黑体" w:hAnsi="黑体" w:eastAsia="黑体"/>
          <w:color w:val="auto"/>
          <w:sz w:val="24"/>
          <w:highlight w:val="none"/>
        </w:rPr>
      </w:pPr>
      <w:r>
        <w:rPr>
          <w:rFonts w:hint="eastAsia" w:ascii="黑体" w:hAnsi="黑体" w:eastAsia="黑体"/>
          <w:color w:val="auto"/>
          <w:sz w:val="24"/>
          <w:highlight w:val="none"/>
        </w:rPr>
        <w:t>15.投标文件提交的风险</w:t>
      </w:r>
    </w:p>
    <w:p w14:paraId="4CF7CA48">
      <w:pPr>
        <w:spacing w:line="360" w:lineRule="auto"/>
        <w:ind w:firstLine="420" w:firstLineChars="200"/>
        <w:rPr>
          <w:rFonts w:hAnsi="宋体"/>
          <w:b/>
          <w:bCs/>
          <w:color w:val="auto"/>
          <w:highlight w:val="none"/>
        </w:rPr>
      </w:pPr>
      <w:r>
        <w:rPr>
          <w:rFonts w:hint="eastAsia" w:hAnsi="宋体"/>
          <w:color w:val="auto"/>
          <w:highlight w:val="none"/>
        </w:rPr>
        <w:t>投标文件分为资格文件、商务文件、技术文件、报价文件四部分（其中：商务文件与技术文件合并编辑成一个电子文档）。各投标人在编制投标文件时请按照招标文件规定的编排格式进行，不按要求提交齐全的文件、混乱的编排导致投标文件被误读或评标委员会查找不到有效文件是造成投标人投标文件无效的风险。▲</w:t>
      </w:r>
      <w:r>
        <w:rPr>
          <w:rFonts w:hint="eastAsia" w:hAnsi="宋体"/>
          <w:b/>
          <w:bCs/>
          <w:color w:val="auto"/>
          <w:highlight w:val="none"/>
        </w:rPr>
        <w:t>投标文件内容不齐全、未按规定的文件格式编制的、没有对招标文件作出实质性响应，投标无效；</w:t>
      </w:r>
    </w:p>
    <w:p w14:paraId="55F2330D">
      <w:pPr>
        <w:spacing w:line="360" w:lineRule="auto"/>
        <w:ind w:firstLine="480" w:firstLineChars="200"/>
        <w:rPr>
          <w:rFonts w:ascii="黑体" w:hAnsi="黑体" w:eastAsia="黑体"/>
          <w:color w:val="auto"/>
          <w:sz w:val="24"/>
          <w:highlight w:val="none"/>
        </w:rPr>
      </w:pPr>
      <w:bookmarkStart w:id="87" w:name="_Toc254970538"/>
      <w:bookmarkStart w:id="88" w:name="_Toc254970679"/>
      <w:r>
        <w:rPr>
          <w:rFonts w:hint="eastAsia" w:ascii="黑体" w:hAnsi="黑体" w:eastAsia="黑体"/>
          <w:color w:val="auto"/>
          <w:sz w:val="24"/>
          <w:highlight w:val="none"/>
        </w:rPr>
        <w:t>16.投标报价</w:t>
      </w:r>
      <w:bookmarkEnd w:id="87"/>
      <w:bookmarkEnd w:id="88"/>
    </w:p>
    <w:p w14:paraId="22CAE8F7">
      <w:pPr>
        <w:spacing w:line="360" w:lineRule="auto"/>
        <w:ind w:firstLine="420" w:firstLineChars="200"/>
        <w:rPr>
          <w:rFonts w:ascii="宋体" w:hAnsi="宋体"/>
          <w:bCs/>
          <w:color w:val="auto"/>
          <w:szCs w:val="21"/>
          <w:highlight w:val="none"/>
        </w:rPr>
      </w:pPr>
      <w:r>
        <w:rPr>
          <w:rFonts w:hint="eastAsia" w:ascii="宋体" w:hAnsi="宋体"/>
          <w:bCs/>
          <w:color w:val="auto"/>
          <w:szCs w:val="21"/>
          <w:highlight w:val="none"/>
        </w:rPr>
        <w:t>16.1投标报价应</w:t>
      </w:r>
      <w:r>
        <w:rPr>
          <w:rFonts w:hint="eastAsia" w:ascii="宋体" w:hAnsi="宋体"/>
          <w:bCs/>
          <w:color w:val="auto"/>
          <w:szCs w:val="20"/>
          <w:highlight w:val="none"/>
        </w:rPr>
        <w:t>按“第六章　投标文件格式”中“开标一览表”格式填写。</w:t>
      </w:r>
    </w:p>
    <w:p w14:paraId="7B80CC63">
      <w:pPr>
        <w:spacing w:line="360" w:lineRule="auto"/>
        <w:ind w:firstLine="420" w:firstLineChars="200"/>
        <w:rPr>
          <w:rFonts w:ascii="宋体" w:hAnsi="宋体"/>
          <w:bCs/>
          <w:color w:val="auto"/>
          <w:szCs w:val="21"/>
          <w:highlight w:val="none"/>
        </w:rPr>
      </w:pPr>
      <w:bookmarkStart w:id="89" w:name="_16.2投标报价具体定义见投标人须知前附表。"/>
      <w:bookmarkEnd w:id="89"/>
      <w:r>
        <w:rPr>
          <w:rFonts w:hint="eastAsia" w:ascii="宋体" w:hAnsi="宋体"/>
          <w:bCs/>
          <w:color w:val="auto"/>
          <w:szCs w:val="21"/>
          <w:highlight w:val="none"/>
        </w:rPr>
        <w:t>16.2投标报价具体包括内容详见“投标人须知前附表”。</w:t>
      </w:r>
    </w:p>
    <w:p w14:paraId="7A7864DE">
      <w:pPr>
        <w:spacing w:line="360" w:lineRule="auto"/>
        <w:ind w:firstLine="420" w:firstLineChars="200"/>
        <w:rPr>
          <w:rFonts w:ascii="宋体" w:hAnsi="宋体"/>
          <w:bCs/>
          <w:color w:val="auto"/>
          <w:szCs w:val="21"/>
          <w:highlight w:val="none"/>
        </w:rPr>
      </w:pPr>
      <w:r>
        <w:rPr>
          <w:rFonts w:hint="eastAsia" w:ascii="宋体" w:hAnsi="宋体"/>
          <w:bCs/>
          <w:color w:val="auto"/>
          <w:szCs w:val="21"/>
          <w:highlight w:val="none"/>
        </w:rPr>
        <w:t>16.3投标人必须就所投每个分标的全部内容分别作完整唯一总价报价，不得存在漏项报价；投标人必须就所投分标的单项内容作唯一报价。</w:t>
      </w:r>
    </w:p>
    <w:p w14:paraId="286992AB">
      <w:pPr>
        <w:spacing w:line="360" w:lineRule="auto"/>
        <w:ind w:firstLine="480" w:firstLineChars="200"/>
        <w:rPr>
          <w:rFonts w:ascii="黑体" w:hAnsi="黑体" w:eastAsia="黑体"/>
          <w:color w:val="auto"/>
          <w:sz w:val="24"/>
          <w:highlight w:val="none"/>
        </w:rPr>
      </w:pPr>
      <w:r>
        <w:rPr>
          <w:rFonts w:hint="eastAsia" w:ascii="黑体" w:hAnsi="黑体" w:eastAsia="黑体"/>
          <w:color w:val="auto"/>
          <w:sz w:val="24"/>
          <w:highlight w:val="none"/>
        </w:rPr>
        <w:t>17.投标有效期</w:t>
      </w:r>
    </w:p>
    <w:p w14:paraId="0F44ED66">
      <w:pPr>
        <w:spacing w:line="360" w:lineRule="auto"/>
        <w:ind w:firstLine="420" w:firstLineChars="200"/>
        <w:rPr>
          <w:rFonts w:ascii="宋体" w:hAnsi="宋体"/>
          <w:bCs/>
          <w:color w:val="auto"/>
          <w:szCs w:val="21"/>
          <w:highlight w:val="none"/>
        </w:rPr>
      </w:pPr>
      <w:bookmarkStart w:id="90" w:name="_17.1投标有效期应按“投标人须知中的前附表”规定的期限。"/>
      <w:bookmarkEnd w:id="90"/>
      <w:r>
        <w:rPr>
          <w:rFonts w:hint="eastAsia" w:ascii="宋体" w:hAnsi="宋体"/>
          <w:bCs/>
          <w:color w:val="auto"/>
          <w:szCs w:val="21"/>
          <w:highlight w:val="none"/>
        </w:rPr>
        <w:t>17.1投标有效期是指为保证采购人有足够的时间在开标后完成评标、定标、合同签订等工作而要求投标人提交的投标文件在一定时间内保持有效的期限。</w:t>
      </w:r>
    </w:p>
    <w:p w14:paraId="32CCF30E">
      <w:pPr>
        <w:spacing w:line="360" w:lineRule="auto"/>
        <w:ind w:firstLine="420" w:firstLineChars="200"/>
        <w:rPr>
          <w:rFonts w:ascii="宋体" w:hAnsi="宋体"/>
          <w:bCs/>
          <w:color w:val="auto"/>
          <w:szCs w:val="21"/>
          <w:highlight w:val="none"/>
        </w:rPr>
      </w:pPr>
      <w:r>
        <w:rPr>
          <w:rFonts w:hint="eastAsia" w:ascii="宋体" w:hAnsi="宋体"/>
          <w:bCs/>
          <w:color w:val="auto"/>
          <w:szCs w:val="21"/>
          <w:highlight w:val="none"/>
        </w:rPr>
        <w:t>17.2</w:t>
      </w:r>
      <w:bookmarkStart w:id="91" w:name="_Toc254970681"/>
      <w:bookmarkStart w:id="92" w:name="_Toc254970540"/>
      <w:r>
        <w:rPr>
          <w:rFonts w:hint="eastAsia" w:ascii="宋体" w:hAnsi="宋体"/>
          <w:bCs/>
          <w:color w:val="auto"/>
          <w:szCs w:val="21"/>
          <w:highlight w:val="none"/>
        </w:rPr>
        <w:t xml:space="preserve"> 投标有效期应按规定的期限作出承诺，具体详见“投标人须知前附表”。</w:t>
      </w:r>
    </w:p>
    <w:p w14:paraId="7B6FB774">
      <w:pPr>
        <w:spacing w:line="360" w:lineRule="auto"/>
        <w:ind w:firstLine="420" w:firstLineChars="200"/>
        <w:rPr>
          <w:rFonts w:ascii="宋体" w:hAnsi="宋体"/>
          <w:bCs/>
          <w:color w:val="auto"/>
          <w:szCs w:val="21"/>
          <w:highlight w:val="none"/>
        </w:rPr>
      </w:pPr>
      <w:r>
        <w:rPr>
          <w:rFonts w:hint="eastAsia" w:ascii="宋体" w:hAnsi="宋体"/>
          <w:bCs/>
          <w:color w:val="auto"/>
          <w:szCs w:val="21"/>
          <w:highlight w:val="none"/>
        </w:rPr>
        <w:t>17.3投标人的投标文件在投标有效期内均保持有效。</w:t>
      </w:r>
      <w:bookmarkEnd w:id="91"/>
      <w:bookmarkEnd w:id="92"/>
    </w:p>
    <w:p w14:paraId="6606CCE9">
      <w:pPr>
        <w:spacing w:line="360" w:lineRule="auto"/>
        <w:ind w:firstLine="480" w:firstLineChars="200"/>
        <w:rPr>
          <w:rFonts w:ascii="黑体" w:hAnsi="黑体" w:eastAsia="黑体"/>
          <w:color w:val="auto"/>
          <w:sz w:val="24"/>
          <w:highlight w:val="none"/>
        </w:rPr>
      </w:pPr>
      <w:bookmarkStart w:id="93" w:name="_18.投标保证金"/>
      <w:bookmarkEnd w:id="93"/>
      <w:bookmarkStart w:id="94" w:name="_Toc254970541"/>
      <w:bookmarkStart w:id="95" w:name="_Toc254970682"/>
      <w:r>
        <w:rPr>
          <w:rFonts w:hint="eastAsia" w:ascii="黑体" w:hAnsi="黑体" w:eastAsia="黑体"/>
          <w:color w:val="auto"/>
          <w:sz w:val="24"/>
          <w:highlight w:val="none"/>
        </w:rPr>
        <w:t>18.投标保证金</w:t>
      </w:r>
      <w:bookmarkEnd w:id="94"/>
      <w:bookmarkEnd w:id="95"/>
    </w:p>
    <w:p w14:paraId="3492C2C7">
      <w:pPr>
        <w:spacing w:line="360" w:lineRule="auto"/>
        <w:ind w:firstLine="420" w:firstLineChars="200"/>
        <w:rPr>
          <w:rFonts w:hAnsi="宋体"/>
          <w:color w:val="auto"/>
          <w:szCs w:val="21"/>
          <w:highlight w:val="none"/>
        </w:rPr>
      </w:pPr>
      <w:bookmarkStart w:id="96" w:name="_Toc254970542"/>
      <w:bookmarkStart w:id="97" w:name="_Toc254970683"/>
      <w:r>
        <w:rPr>
          <w:rFonts w:hint="eastAsia" w:hAnsi="宋体"/>
          <w:color w:val="auto"/>
          <w:szCs w:val="21"/>
          <w:highlight w:val="none"/>
        </w:rPr>
        <w:t>见“投标人须知前附表”。</w:t>
      </w:r>
    </w:p>
    <w:p w14:paraId="31CD5DD4">
      <w:pPr>
        <w:spacing w:line="360" w:lineRule="auto"/>
        <w:ind w:firstLine="480" w:firstLineChars="200"/>
        <w:rPr>
          <w:rFonts w:ascii="黑体" w:hAnsi="黑体" w:eastAsia="黑体"/>
          <w:color w:val="auto"/>
          <w:sz w:val="24"/>
          <w:highlight w:val="none"/>
        </w:rPr>
      </w:pPr>
      <w:r>
        <w:rPr>
          <w:rFonts w:hint="eastAsia" w:ascii="黑体" w:hAnsi="黑体" w:eastAsia="黑体"/>
          <w:color w:val="auto"/>
          <w:sz w:val="24"/>
          <w:highlight w:val="none"/>
        </w:rPr>
        <w:t>19.投标文件的</w:t>
      </w:r>
      <w:bookmarkEnd w:id="96"/>
      <w:bookmarkEnd w:id="97"/>
      <w:r>
        <w:rPr>
          <w:rFonts w:hint="eastAsia" w:ascii="黑体" w:hAnsi="黑体" w:eastAsia="黑体"/>
          <w:color w:val="auto"/>
          <w:sz w:val="24"/>
          <w:highlight w:val="none"/>
        </w:rPr>
        <w:t>编制</w:t>
      </w:r>
    </w:p>
    <w:p w14:paraId="299455A8">
      <w:pPr>
        <w:spacing w:line="360" w:lineRule="auto"/>
        <w:ind w:firstLine="420" w:firstLineChars="200"/>
        <w:rPr>
          <w:rFonts w:hAnsi="宋体"/>
          <w:color w:val="auto"/>
          <w:szCs w:val="21"/>
          <w:highlight w:val="none"/>
        </w:rPr>
      </w:pPr>
      <w:r>
        <w:rPr>
          <w:rFonts w:hAnsi="宋体"/>
          <w:color w:val="auto"/>
          <w:szCs w:val="21"/>
          <w:highlight w:val="none"/>
        </w:rPr>
        <w:t>19.1</w:t>
      </w:r>
      <w:r>
        <w:rPr>
          <w:rFonts w:hint="eastAsia" w:hAnsi="宋体"/>
          <w:color w:val="auto"/>
          <w:szCs w:val="21"/>
          <w:highlight w:val="none"/>
        </w:rPr>
        <w:t>投标文件编制要求详见“投标人须知前附表”。投标人应按本招标文件规定的格式和顺序编制、装订投标文件并标注页码，投标文件内容不完整、编排混乱导致投标文件被误读、漏读或者查找不到相关内容的，由此引发的后果由投标人承担。</w:t>
      </w:r>
      <w:bookmarkStart w:id="98" w:name="_19.2投标文件应按报价文件、资格证明文件、商务文件、技术文件分别编制"/>
      <w:bookmarkEnd w:id="98"/>
    </w:p>
    <w:p w14:paraId="0704D5D8">
      <w:pPr>
        <w:pStyle w:val="77"/>
        <w:snapToGrid w:val="0"/>
        <w:spacing w:before="0"/>
        <w:ind w:firstLine="420"/>
        <w:rPr>
          <w:rFonts w:hAnsi="宋体"/>
          <w:color w:val="auto"/>
          <w:sz w:val="21"/>
          <w:szCs w:val="21"/>
          <w:highlight w:val="none"/>
        </w:rPr>
      </w:pPr>
      <w:r>
        <w:rPr>
          <w:rFonts w:hAnsi="宋体"/>
          <w:color w:val="auto"/>
          <w:sz w:val="21"/>
          <w:szCs w:val="21"/>
          <w:highlight w:val="none"/>
        </w:rPr>
        <w:t>19.2</w:t>
      </w:r>
      <w:r>
        <w:rPr>
          <w:rFonts w:hint="eastAsia" w:hAnsi="宋体"/>
          <w:color w:val="auto"/>
          <w:sz w:val="21"/>
          <w:szCs w:val="21"/>
          <w:highlight w:val="none"/>
        </w:rPr>
        <w:t>投标文件按照招标文件第六章格式要求在规定位置进行签署、盖章。投标人的投标文件未按照招标文件要求签署、盖章的，</w:t>
      </w:r>
      <w:r>
        <w:rPr>
          <w:rFonts w:hint="eastAsia" w:hAnsi="宋体"/>
          <w:b/>
          <w:color w:val="auto"/>
          <w:sz w:val="21"/>
          <w:szCs w:val="21"/>
          <w:highlight w:val="none"/>
        </w:rPr>
        <w:t>其投标无效。</w:t>
      </w:r>
      <w:r>
        <w:rPr>
          <w:rFonts w:hint="eastAsia" w:hAnsi="宋体"/>
          <w:color w:val="auto"/>
          <w:sz w:val="21"/>
          <w:szCs w:val="21"/>
          <w:highlight w:val="none"/>
        </w:rPr>
        <w:t>骑缝盖公章不视为在规定位置盖章。</w:t>
      </w:r>
    </w:p>
    <w:p w14:paraId="4EF3ECFE">
      <w:pPr>
        <w:pStyle w:val="77"/>
        <w:snapToGrid w:val="0"/>
        <w:spacing w:before="0"/>
        <w:ind w:firstLine="420"/>
        <w:rPr>
          <w:rFonts w:hAnsi="宋体"/>
          <w:color w:val="auto"/>
          <w:sz w:val="21"/>
          <w:szCs w:val="21"/>
          <w:highlight w:val="none"/>
        </w:rPr>
      </w:pPr>
      <w:r>
        <w:rPr>
          <w:rFonts w:hAnsi="宋体"/>
          <w:color w:val="auto"/>
          <w:sz w:val="21"/>
          <w:szCs w:val="21"/>
          <w:highlight w:val="none"/>
        </w:rPr>
        <w:t>19.3</w:t>
      </w:r>
      <w:r>
        <w:rPr>
          <w:rFonts w:hint="eastAsia" w:hAnsi="宋体"/>
          <w:color w:val="auto"/>
          <w:sz w:val="21"/>
          <w:szCs w:val="21"/>
          <w:highlight w:val="none"/>
        </w:rPr>
        <w:t>为确保网上操作合法、有效和安全，投标人应当在投标截止时间前完成在“广西政府采购云”平台的身份认证，确保在电子投标过程中能够对相关数据电文进行加密和使用电子签名。</w:t>
      </w:r>
    </w:p>
    <w:p w14:paraId="5E0D103A">
      <w:pPr>
        <w:spacing w:line="360" w:lineRule="auto"/>
        <w:ind w:firstLine="422" w:firstLineChars="200"/>
        <w:rPr>
          <w:rFonts w:ascii="宋体" w:hAnsi="宋体"/>
          <w:b/>
          <w:color w:val="auto"/>
          <w:szCs w:val="21"/>
          <w:highlight w:val="none"/>
        </w:rPr>
      </w:pPr>
      <w:r>
        <w:rPr>
          <w:rFonts w:hint="eastAsia" w:ascii="宋体" w:hAnsi="宋体"/>
          <w:b/>
          <w:color w:val="auto"/>
          <w:szCs w:val="21"/>
          <w:highlight w:val="none"/>
        </w:rPr>
        <w:t>19.4投标文件中标注的投标人名称应与主体资格证明（如营业执照、事业单位法人证书、执业许可证、自然人身份证等）及公章一致，</w:t>
      </w:r>
      <w:r>
        <w:rPr>
          <w:rFonts w:hint="eastAsia" w:ascii="宋体" w:hAnsi="宋体"/>
          <w:color w:val="auto"/>
          <w:szCs w:val="21"/>
          <w:highlight w:val="none"/>
        </w:rPr>
        <w:t>否则作无效投标处理</w:t>
      </w:r>
      <w:r>
        <w:rPr>
          <w:rFonts w:hint="eastAsia" w:ascii="宋体" w:hAnsi="宋体"/>
          <w:b/>
          <w:color w:val="auto"/>
          <w:szCs w:val="21"/>
          <w:highlight w:val="none"/>
        </w:rPr>
        <w:t>。</w:t>
      </w:r>
    </w:p>
    <w:p w14:paraId="20839130">
      <w:pPr>
        <w:spacing w:line="360" w:lineRule="auto"/>
        <w:ind w:firstLine="420" w:firstLineChars="200"/>
        <w:rPr>
          <w:rFonts w:ascii="宋体" w:hAnsi="宋体" w:cs="宋体"/>
          <w:color w:val="auto"/>
          <w:szCs w:val="21"/>
          <w:highlight w:val="none"/>
        </w:rPr>
      </w:pPr>
      <w:r>
        <w:rPr>
          <w:rFonts w:hAnsi="宋体"/>
          <w:color w:val="auto"/>
          <w:szCs w:val="21"/>
          <w:highlight w:val="none"/>
        </w:rPr>
        <w:t xml:space="preserve"> 19.5</w:t>
      </w:r>
      <w:r>
        <w:rPr>
          <w:rFonts w:hint="eastAsia" w:hAnsi="宋体"/>
          <w:color w:val="auto"/>
          <w:szCs w:val="21"/>
          <w:highlight w:val="none"/>
        </w:rPr>
        <w:t>投标文件应避免涂改、行间插字或者删除，</w:t>
      </w:r>
      <w:r>
        <w:rPr>
          <w:rFonts w:hint="eastAsia" w:ascii="宋体" w:hAnsi="宋体" w:cs="宋体"/>
          <w:b/>
          <w:color w:val="auto"/>
          <w:szCs w:val="21"/>
          <w:highlight w:val="none"/>
        </w:rPr>
        <w:t>否则其投标无效。</w:t>
      </w:r>
    </w:p>
    <w:p w14:paraId="45587546">
      <w:pPr>
        <w:spacing w:line="360" w:lineRule="auto"/>
        <w:ind w:firstLine="525" w:firstLineChars="250"/>
        <w:rPr>
          <w:rFonts w:hAnsi="宋体"/>
          <w:color w:val="auto"/>
          <w:highlight w:val="none"/>
        </w:rPr>
      </w:pPr>
      <w:r>
        <w:rPr>
          <w:rFonts w:hAnsi="宋体"/>
          <w:color w:val="auto"/>
          <w:highlight w:val="none"/>
        </w:rPr>
        <w:t xml:space="preserve">19.6 </w:t>
      </w:r>
      <w:r>
        <w:rPr>
          <w:rFonts w:hint="eastAsia" w:hAnsi="宋体"/>
          <w:color w:val="auto"/>
          <w:highlight w:val="none"/>
        </w:rPr>
        <w:t>对招标文件的实质性要求和条件作出响应是指投标人必须对招标文件中标注为实质性要求和条件的</w:t>
      </w:r>
      <w:r>
        <w:rPr>
          <w:rFonts w:hint="eastAsia"/>
          <w:color w:val="auto"/>
          <w:szCs w:val="21"/>
          <w:highlight w:val="none"/>
        </w:rPr>
        <w:t>服务内容及要求</w:t>
      </w:r>
      <w:r>
        <w:rPr>
          <w:rFonts w:hint="eastAsia" w:hAnsi="宋体"/>
          <w:color w:val="auto"/>
          <w:highlight w:val="none"/>
        </w:rPr>
        <w:t>、商务条款及其它内容</w:t>
      </w:r>
      <w:r>
        <w:rPr>
          <w:rFonts w:hint="eastAsia"/>
          <w:b/>
          <w:color w:val="auto"/>
          <w:highlight w:val="none"/>
        </w:rPr>
        <w:t>作出满足或者优于原要求和条件的承诺</w:t>
      </w:r>
      <w:r>
        <w:rPr>
          <w:rFonts w:hint="eastAsia"/>
          <w:color w:val="auto"/>
          <w:highlight w:val="none"/>
        </w:rPr>
        <w:t>。</w:t>
      </w:r>
    </w:p>
    <w:p w14:paraId="2F03F5E1">
      <w:pPr>
        <w:spacing w:line="360" w:lineRule="auto"/>
        <w:ind w:firstLine="422" w:firstLineChars="200"/>
        <w:rPr>
          <w:rFonts w:ascii="宋体" w:hAnsi="宋体"/>
          <w:b/>
          <w:color w:val="auto"/>
          <w:szCs w:val="21"/>
          <w:highlight w:val="none"/>
          <w:u w:val="single"/>
        </w:rPr>
      </w:pPr>
      <w:r>
        <w:rPr>
          <w:rFonts w:hint="eastAsia" w:ascii="宋体" w:hAnsi="宋体"/>
          <w:b/>
          <w:color w:val="auto"/>
          <w:szCs w:val="21"/>
          <w:highlight w:val="none"/>
          <w:u w:val="single"/>
        </w:rPr>
        <w:t>19.7本项目为南宁市全流程电子化项目，异常情况见“第二节 投标人须知正文”中“四、24.2开标程序。</w:t>
      </w:r>
    </w:p>
    <w:p w14:paraId="63F396DD">
      <w:pPr>
        <w:spacing w:line="360" w:lineRule="auto"/>
        <w:ind w:firstLine="480" w:firstLineChars="200"/>
        <w:rPr>
          <w:rFonts w:ascii="黑体" w:hAnsi="黑体" w:eastAsia="黑体"/>
          <w:color w:val="auto"/>
          <w:sz w:val="24"/>
          <w:highlight w:val="none"/>
        </w:rPr>
      </w:pPr>
      <w:r>
        <w:rPr>
          <w:rFonts w:hint="eastAsia" w:ascii="黑体" w:hAnsi="黑体" w:eastAsia="黑体"/>
          <w:color w:val="auto"/>
          <w:sz w:val="24"/>
          <w:highlight w:val="none"/>
        </w:rPr>
        <w:t>20.备份投标文件</w:t>
      </w:r>
    </w:p>
    <w:p w14:paraId="1B7ABDE7">
      <w:pPr>
        <w:spacing w:line="360" w:lineRule="auto"/>
        <w:ind w:firstLine="420" w:firstLineChars="200"/>
        <w:rPr>
          <w:rFonts w:ascii="黑体" w:hAnsi="黑体" w:eastAsia="黑体"/>
          <w:color w:val="auto"/>
          <w:sz w:val="24"/>
          <w:highlight w:val="none"/>
        </w:rPr>
      </w:pPr>
      <w:r>
        <w:rPr>
          <w:rFonts w:hint="eastAsia" w:hAnsi="宋体"/>
          <w:bCs/>
          <w:color w:val="auto"/>
          <w:szCs w:val="21"/>
          <w:highlight w:val="none"/>
        </w:rPr>
        <w:t>详见在“投标人须知前附表”。</w:t>
      </w:r>
    </w:p>
    <w:p w14:paraId="633A88BD">
      <w:pPr>
        <w:spacing w:line="360" w:lineRule="auto"/>
        <w:ind w:firstLine="480" w:firstLineChars="200"/>
        <w:rPr>
          <w:rFonts w:ascii="黑体" w:hAnsi="黑体" w:eastAsia="黑体"/>
          <w:color w:val="auto"/>
          <w:sz w:val="24"/>
          <w:highlight w:val="none"/>
        </w:rPr>
      </w:pPr>
      <w:r>
        <w:rPr>
          <w:rFonts w:hint="eastAsia" w:ascii="黑体" w:hAnsi="黑体" w:eastAsia="黑体"/>
          <w:color w:val="auto"/>
          <w:sz w:val="24"/>
          <w:highlight w:val="none"/>
        </w:rPr>
        <w:t>21.投标文件的提交</w:t>
      </w:r>
    </w:p>
    <w:p w14:paraId="27C146A3">
      <w:pPr>
        <w:spacing w:line="360" w:lineRule="auto"/>
        <w:ind w:firstLine="420" w:firstLineChars="200"/>
        <w:rPr>
          <w:rFonts w:hAnsi="宋体"/>
          <w:b/>
          <w:color w:val="auto"/>
          <w:highlight w:val="none"/>
        </w:rPr>
      </w:pPr>
      <w:bookmarkStart w:id="99" w:name="_21.1投标人必须在“投标人须知中的前附表”规定的投标文件接收时间和投"/>
      <w:bookmarkEnd w:id="99"/>
      <w:r>
        <w:rPr>
          <w:rFonts w:hAnsi="宋体"/>
          <w:bCs/>
          <w:color w:val="auto"/>
          <w:szCs w:val="21"/>
          <w:highlight w:val="none"/>
        </w:rPr>
        <w:t>21.1</w:t>
      </w:r>
      <w:r>
        <w:rPr>
          <w:rFonts w:hint="eastAsia" w:hAnsi="宋体"/>
          <w:bCs/>
          <w:color w:val="auto"/>
          <w:szCs w:val="21"/>
          <w:highlight w:val="none"/>
        </w:rPr>
        <w:t>投标人必须在“投标人须知前附表”规定的投标文件接收时间和投标地点提交电子版投标文件。电子投标文件应在制作完成后，在投标截止时间前通过有效数字证书（</w:t>
      </w:r>
      <w:r>
        <w:rPr>
          <w:rFonts w:hAnsi="宋体"/>
          <w:bCs/>
          <w:color w:val="auto"/>
          <w:szCs w:val="21"/>
          <w:highlight w:val="none"/>
        </w:rPr>
        <w:t>CA</w:t>
      </w:r>
      <w:r>
        <w:rPr>
          <w:rFonts w:hint="eastAsia" w:hAnsi="宋体"/>
          <w:bCs/>
          <w:color w:val="auto"/>
          <w:szCs w:val="21"/>
          <w:highlight w:val="none"/>
        </w:rPr>
        <w:t>认证锁）进行电子签章、加密，然后通过网络将加密的电子投标文件递交至“广西政府采购云平台”。</w:t>
      </w:r>
    </w:p>
    <w:p w14:paraId="0C6D11B9">
      <w:pPr>
        <w:spacing w:line="360" w:lineRule="auto"/>
        <w:ind w:firstLine="422" w:firstLineChars="200"/>
        <w:rPr>
          <w:rFonts w:ascii="宋体" w:hAnsi="宋体"/>
          <w:b/>
          <w:color w:val="auto"/>
          <w:szCs w:val="20"/>
          <w:highlight w:val="none"/>
        </w:rPr>
      </w:pPr>
      <w:r>
        <w:rPr>
          <w:rFonts w:hint="eastAsia" w:ascii="宋体" w:hAnsi="宋体"/>
          <w:b/>
          <w:color w:val="auto"/>
          <w:szCs w:val="21"/>
          <w:highlight w:val="none"/>
        </w:rPr>
        <w:t>21.2未在规定时间内提交或者未按照招标文件要求密封或者标记的电子投标文件，“广西政府采购云”平台将拒收。</w:t>
      </w:r>
    </w:p>
    <w:p w14:paraId="31F04FDD">
      <w:pPr>
        <w:spacing w:line="360" w:lineRule="auto"/>
        <w:ind w:firstLine="420" w:firstLineChars="200"/>
        <w:rPr>
          <w:rFonts w:ascii="宋体" w:hAnsi="宋体"/>
          <w:color w:val="auto"/>
          <w:szCs w:val="21"/>
          <w:highlight w:val="none"/>
        </w:rPr>
      </w:pPr>
      <w:r>
        <w:rPr>
          <w:rFonts w:hint="eastAsia" w:ascii="宋体" w:hAnsi="宋体"/>
          <w:color w:val="auto"/>
          <w:szCs w:val="21"/>
          <w:highlight w:val="none"/>
        </w:rPr>
        <w:t>21.3电子版投标文件提交方式见“招标公告”中“四、提交投标文件截止时间、开标时间和地点”</w:t>
      </w:r>
      <w:r>
        <w:rPr>
          <w:rFonts w:hint="eastAsia" w:ascii="宋体" w:hAnsi="宋体"/>
          <w:b/>
          <w:color w:val="auto"/>
          <w:szCs w:val="21"/>
          <w:highlight w:val="none"/>
        </w:rPr>
        <w:t xml:space="preserve"> 。</w:t>
      </w:r>
    </w:p>
    <w:p w14:paraId="54583743">
      <w:pPr>
        <w:spacing w:line="360" w:lineRule="auto"/>
        <w:ind w:firstLine="480" w:firstLineChars="200"/>
        <w:rPr>
          <w:rFonts w:ascii="黑体" w:hAnsi="黑体" w:eastAsia="黑体"/>
          <w:color w:val="auto"/>
          <w:sz w:val="24"/>
          <w:highlight w:val="none"/>
        </w:rPr>
      </w:pPr>
      <w:r>
        <w:rPr>
          <w:rFonts w:hint="eastAsia" w:ascii="黑体" w:hAnsi="黑体" w:eastAsia="黑体"/>
          <w:color w:val="auto"/>
          <w:sz w:val="24"/>
          <w:highlight w:val="none"/>
        </w:rPr>
        <w:t>22. 投标文件的补充、修改、撤回与退回</w:t>
      </w:r>
      <w:bookmarkStart w:id="100" w:name="_Toc254970543"/>
      <w:bookmarkStart w:id="101" w:name="_Toc254970684"/>
    </w:p>
    <w:p w14:paraId="2C63177E">
      <w:pPr>
        <w:spacing w:line="360" w:lineRule="auto"/>
        <w:ind w:firstLine="420" w:firstLineChars="200"/>
        <w:rPr>
          <w:rFonts w:ascii="黑体" w:hAnsi="黑体" w:eastAsia="黑体"/>
          <w:color w:val="auto"/>
          <w:sz w:val="24"/>
          <w:highlight w:val="none"/>
        </w:rPr>
      </w:pPr>
      <w:r>
        <w:rPr>
          <w:rFonts w:hint="eastAsia" w:ascii="宋体" w:hAnsi="宋体" w:cs="宋体"/>
          <w:color w:val="auto"/>
          <w:szCs w:val="21"/>
          <w:highlight w:val="none"/>
        </w:rPr>
        <w:t>22.1 供应商应当在投标截止时间前完成投标文件的传输递交，并可以补充、修改或者撤回投标文件。补充或者修改投标文件的，应当先行撤回原文件，补充、修改后重新传输递交。投标截止时间前未完成传输的，视为撤回投标文件。投标截止时间后递交的投标文件，“广西政府采购云”平台将拒收。（补充、修改或者撤回方式见公告附件“电子投标文件制作与投送教程”）</w:t>
      </w:r>
    </w:p>
    <w:p w14:paraId="40B825CD">
      <w:pPr>
        <w:pStyle w:val="77"/>
        <w:spacing w:before="0"/>
        <w:ind w:firstLine="420"/>
        <w:rPr>
          <w:rFonts w:ascii="宋体" w:hAnsi="宋体" w:cs="宋体"/>
          <w:color w:val="auto"/>
          <w:sz w:val="21"/>
          <w:szCs w:val="21"/>
          <w:highlight w:val="none"/>
        </w:rPr>
      </w:pPr>
      <w:r>
        <w:rPr>
          <w:rFonts w:hint="eastAsia" w:ascii="宋体" w:hAnsi="宋体" w:cs="宋体"/>
          <w:color w:val="auto"/>
          <w:sz w:val="21"/>
          <w:szCs w:val="21"/>
          <w:highlight w:val="none"/>
        </w:rPr>
        <w:t>22.2“广西政府采购云”平台收到投标文件，将妥善保存并即时向供应商发出确认回执通知。在投标截止时间前，除供应商补充、修改或者撤回投标文件外，任何单位和个人不得解密或提取投标文件。</w:t>
      </w:r>
    </w:p>
    <w:bookmarkEnd w:id="100"/>
    <w:bookmarkEnd w:id="101"/>
    <w:p w14:paraId="62248242">
      <w:pPr>
        <w:spacing w:line="360" w:lineRule="auto"/>
        <w:ind w:firstLine="420" w:firstLineChars="200"/>
        <w:rPr>
          <w:rFonts w:ascii="宋体" w:hAnsi="宋体" w:cs="宋体"/>
          <w:color w:val="auto"/>
          <w:szCs w:val="21"/>
          <w:highlight w:val="none"/>
        </w:rPr>
      </w:pPr>
      <w:r>
        <w:rPr>
          <w:rFonts w:hint="eastAsia" w:ascii="宋体" w:hAnsi="宋体" w:cs="宋体"/>
          <w:color w:val="auto"/>
          <w:szCs w:val="21"/>
          <w:highlight w:val="none"/>
        </w:rPr>
        <w:t>22.3在投标截止时间止提交电子版投标文件的投标人不足3家时，电子版投标文件由代理机构在“广西政府采购云”平台操作退回，除此之外采购人和采购代理机构对已提交的投标文件概不退回。</w:t>
      </w:r>
    </w:p>
    <w:p w14:paraId="47F98D37">
      <w:pPr>
        <w:pStyle w:val="3"/>
        <w:snapToGrid w:val="0"/>
        <w:spacing w:line="400" w:lineRule="exact"/>
        <w:ind w:firstLine="739"/>
        <w:rPr>
          <w:rFonts w:hAnsi="宋体"/>
          <w:snapToGrid w:val="0"/>
          <w:color w:val="auto"/>
          <w:sz w:val="21"/>
          <w:szCs w:val="21"/>
          <w:highlight w:val="none"/>
        </w:rPr>
      </w:pPr>
    </w:p>
    <w:p w14:paraId="4684A017">
      <w:pPr>
        <w:pStyle w:val="10"/>
        <w:keepNext w:val="0"/>
        <w:keepLines w:val="0"/>
        <w:spacing w:line="400" w:lineRule="exact"/>
        <w:jc w:val="center"/>
        <w:rPr>
          <w:color w:val="auto"/>
          <w:highlight w:val="none"/>
        </w:rPr>
      </w:pPr>
      <w:bookmarkStart w:id="102" w:name="_Toc254970544"/>
      <w:bookmarkStart w:id="103" w:name="_Toc254970685"/>
      <w:bookmarkStart w:id="104" w:name="_Toc187761557"/>
      <w:r>
        <w:rPr>
          <w:rFonts w:hint="eastAsia"/>
          <w:color w:val="auto"/>
          <w:highlight w:val="none"/>
        </w:rPr>
        <w:t>四、开标</w:t>
      </w:r>
      <w:bookmarkEnd w:id="102"/>
      <w:bookmarkEnd w:id="103"/>
      <w:bookmarkEnd w:id="104"/>
    </w:p>
    <w:p w14:paraId="57CA9635">
      <w:pPr>
        <w:spacing w:line="360" w:lineRule="auto"/>
        <w:ind w:firstLine="480" w:firstLineChars="200"/>
        <w:rPr>
          <w:rFonts w:ascii="黑体" w:hAnsi="黑体" w:eastAsia="黑体"/>
          <w:color w:val="auto"/>
          <w:sz w:val="24"/>
          <w:highlight w:val="none"/>
        </w:rPr>
      </w:pPr>
      <w:bookmarkStart w:id="105" w:name="_23.开标时间和地点"/>
      <w:bookmarkEnd w:id="105"/>
      <w:r>
        <w:rPr>
          <w:rFonts w:hint="eastAsia" w:ascii="黑体" w:hAnsi="黑体" w:eastAsia="黑体"/>
          <w:color w:val="auto"/>
          <w:sz w:val="24"/>
          <w:highlight w:val="none"/>
        </w:rPr>
        <w:t>23.开标时间和地点</w:t>
      </w:r>
    </w:p>
    <w:p w14:paraId="16C53200">
      <w:pPr>
        <w:spacing w:line="360" w:lineRule="auto"/>
        <w:ind w:firstLine="420" w:firstLineChars="200"/>
        <w:rPr>
          <w:rFonts w:hAnsi="宋体"/>
          <w:bCs/>
          <w:color w:val="auto"/>
          <w:highlight w:val="none"/>
        </w:rPr>
      </w:pPr>
      <w:r>
        <w:rPr>
          <w:rFonts w:hAnsi="宋体"/>
          <w:bCs/>
          <w:color w:val="auto"/>
          <w:highlight w:val="none"/>
        </w:rPr>
        <w:t>23.1</w:t>
      </w:r>
      <w:r>
        <w:rPr>
          <w:rFonts w:hint="eastAsia" w:hAnsi="宋体"/>
          <w:bCs/>
          <w:color w:val="auto"/>
          <w:highlight w:val="none"/>
        </w:rPr>
        <w:t>开标时间及地点详见“投标人须知前附表”</w:t>
      </w:r>
    </w:p>
    <w:p w14:paraId="47FA543D">
      <w:pPr>
        <w:spacing w:line="360" w:lineRule="auto"/>
        <w:ind w:firstLine="420" w:firstLineChars="200"/>
        <w:rPr>
          <w:color w:val="auto"/>
          <w:highlight w:val="none"/>
        </w:rPr>
      </w:pPr>
      <w:r>
        <w:rPr>
          <w:rFonts w:hAnsi="宋体"/>
          <w:color w:val="auto"/>
          <w:highlight w:val="none"/>
        </w:rPr>
        <w:t>23.2</w:t>
      </w:r>
      <w:r>
        <w:rPr>
          <w:rFonts w:hint="eastAsia" w:hAnsi="宋体"/>
          <w:color w:val="auto"/>
          <w:highlight w:val="none"/>
        </w:rPr>
        <w:t>如</w:t>
      </w:r>
      <w:r>
        <w:rPr>
          <w:rFonts w:hint="eastAsia" w:hAnsi="宋体"/>
          <w:bCs/>
          <w:color w:val="auto"/>
          <w:highlight w:val="none"/>
        </w:rPr>
        <w:t>投标人成功解密投标文件，但未在“广西政府采购云”电子开标大厅参加开标的，视同认可开标过程和结果，</w:t>
      </w:r>
      <w:r>
        <w:rPr>
          <w:rFonts w:hint="eastAsia" w:hAnsi="宋体"/>
          <w:color w:val="auto"/>
          <w:highlight w:val="none"/>
        </w:rPr>
        <w:t>由此产生的后果由投标人自行负责。</w:t>
      </w:r>
      <w:r>
        <w:rPr>
          <w:rFonts w:hint="eastAsia"/>
          <w:color w:val="auto"/>
          <w:highlight w:val="none"/>
        </w:rPr>
        <w:t>投标人不足</w:t>
      </w:r>
      <w:r>
        <w:rPr>
          <w:color w:val="auto"/>
          <w:highlight w:val="none"/>
        </w:rPr>
        <w:t>3</w:t>
      </w:r>
      <w:r>
        <w:rPr>
          <w:rFonts w:hint="eastAsia"/>
          <w:color w:val="auto"/>
          <w:highlight w:val="none"/>
        </w:rPr>
        <w:t>家的，不得开标。</w:t>
      </w:r>
    </w:p>
    <w:p w14:paraId="5CE7E292">
      <w:pPr>
        <w:spacing w:line="360" w:lineRule="auto"/>
        <w:ind w:firstLine="480" w:firstLineChars="200"/>
        <w:rPr>
          <w:rFonts w:ascii="黑体" w:hAnsi="黑体" w:eastAsia="黑体"/>
          <w:color w:val="auto"/>
          <w:sz w:val="24"/>
          <w:highlight w:val="none"/>
        </w:rPr>
      </w:pPr>
      <w:r>
        <w:rPr>
          <w:rFonts w:hint="eastAsia" w:ascii="黑体" w:hAnsi="黑体" w:eastAsia="黑体"/>
          <w:color w:val="auto"/>
          <w:sz w:val="24"/>
          <w:highlight w:val="none"/>
        </w:rPr>
        <w:t>24.开标程序</w:t>
      </w:r>
    </w:p>
    <w:p w14:paraId="5907EBCA">
      <w:pPr>
        <w:autoSpaceDE w:val="0"/>
        <w:autoSpaceDN w:val="0"/>
        <w:adjustRightInd w:val="0"/>
        <w:spacing w:line="440" w:lineRule="exact"/>
        <w:ind w:firstLine="420" w:firstLineChars="200"/>
        <w:rPr>
          <w:rFonts w:ascii="宋体" w:hAnsi="宋体"/>
          <w:color w:val="auto"/>
          <w:kern w:val="0"/>
          <w:szCs w:val="21"/>
          <w:highlight w:val="none"/>
        </w:rPr>
      </w:pPr>
      <w:r>
        <w:rPr>
          <w:rFonts w:hint="eastAsia" w:ascii="宋体" w:hAnsi="宋体"/>
          <w:bCs/>
          <w:color w:val="auto"/>
          <w:szCs w:val="21"/>
          <w:highlight w:val="none"/>
        </w:rPr>
        <w:t>24.1</w:t>
      </w:r>
      <w:r>
        <w:rPr>
          <w:rFonts w:hint="eastAsia" w:ascii="宋体" w:hAnsi="宋体"/>
          <w:color w:val="auto"/>
          <w:kern w:val="0"/>
          <w:szCs w:val="21"/>
          <w:highlight w:val="none"/>
        </w:rPr>
        <w:t>开标形式：</w:t>
      </w:r>
    </w:p>
    <w:p w14:paraId="3E351E5C">
      <w:pPr>
        <w:autoSpaceDE w:val="0"/>
        <w:autoSpaceDN w:val="0"/>
        <w:adjustRightInd w:val="0"/>
        <w:spacing w:line="440" w:lineRule="exact"/>
        <w:ind w:firstLine="420" w:firstLineChars="200"/>
        <w:rPr>
          <w:rFonts w:ascii="宋体" w:hAnsi="宋体"/>
          <w:bCs/>
          <w:color w:val="auto"/>
          <w:szCs w:val="21"/>
          <w:highlight w:val="none"/>
        </w:rPr>
      </w:pPr>
      <w:r>
        <w:rPr>
          <w:rFonts w:hint="eastAsia" w:ascii="宋体" w:hAnsi="宋体"/>
          <w:color w:val="auto"/>
          <w:szCs w:val="21"/>
          <w:highlight w:val="none"/>
        </w:rPr>
        <w:t>（1）</w:t>
      </w:r>
      <w:r>
        <w:rPr>
          <w:rFonts w:hint="eastAsia" w:ascii="宋体" w:hAnsi="宋体"/>
          <w:bCs/>
          <w:color w:val="auto"/>
          <w:szCs w:val="21"/>
          <w:highlight w:val="none"/>
        </w:rPr>
        <w:t>开标的准备工作由采购代理机构负责落实，采购代理机构必须基于“广西政府采购云”平台选取评审专家，如采购代理机构未按规定选取专家的，视为本次开评标无效，应当重新采购；</w:t>
      </w:r>
    </w:p>
    <w:p w14:paraId="02FE802F">
      <w:pPr>
        <w:autoSpaceDE w:val="0"/>
        <w:autoSpaceDN w:val="0"/>
        <w:adjustRightInd w:val="0"/>
        <w:spacing w:line="440" w:lineRule="exact"/>
        <w:ind w:firstLine="420" w:firstLineChars="200"/>
        <w:rPr>
          <w:rFonts w:ascii="宋体" w:hAnsi="宋体"/>
          <w:bCs/>
          <w:color w:val="auto"/>
          <w:szCs w:val="21"/>
          <w:highlight w:val="none"/>
        </w:rPr>
      </w:pPr>
      <w:r>
        <w:rPr>
          <w:rFonts w:hint="eastAsia" w:ascii="宋体" w:hAnsi="宋体"/>
          <w:bCs/>
          <w:color w:val="auto"/>
          <w:szCs w:val="21"/>
          <w:highlight w:val="none"/>
        </w:rPr>
        <w:t>（2）采购代理机构将按照招标文件规定的时间通过“广西政府采购云”平台组织线上开标活动、开启投标文件，所有供应商均应当准时在线参加。投标人如不参加开标大会的，视同认可开标结果，事后不得对采购相关人员、开标过程和开标结果提出异议，同时投标人因未在线参加开标而导致投标文件无法按时解密等一切后果由投标人自己承担。</w:t>
      </w:r>
    </w:p>
    <w:p w14:paraId="7D095B26">
      <w:pPr>
        <w:autoSpaceDE w:val="0"/>
        <w:autoSpaceDN w:val="0"/>
        <w:adjustRightInd w:val="0"/>
        <w:spacing w:line="440" w:lineRule="exact"/>
        <w:ind w:firstLine="420" w:firstLineChars="200"/>
        <w:rPr>
          <w:rFonts w:ascii="宋体" w:hAnsi="宋体"/>
          <w:bCs/>
          <w:color w:val="auto"/>
          <w:szCs w:val="21"/>
          <w:highlight w:val="none"/>
        </w:rPr>
      </w:pPr>
      <w:r>
        <w:rPr>
          <w:rFonts w:hint="eastAsia" w:ascii="宋体" w:hAnsi="宋体"/>
          <w:bCs/>
          <w:color w:val="auto"/>
          <w:szCs w:val="21"/>
          <w:highlight w:val="none"/>
        </w:rPr>
        <w:t>24.2开标程序：</w:t>
      </w:r>
    </w:p>
    <w:p w14:paraId="1DD365B2">
      <w:pPr>
        <w:pStyle w:val="7"/>
        <w:snapToGrid w:val="0"/>
        <w:spacing w:line="440" w:lineRule="exact"/>
        <w:ind w:firstLine="422" w:firstLineChars="200"/>
        <w:rPr>
          <w:rFonts w:hAnsi="宋体"/>
          <w:color w:val="auto"/>
          <w:szCs w:val="21"/>
          <w:highlight w:val="none"/>
        </w:rPr>
      </w:pPr>
      <w:r>
        <w:rPr>
          <w:rFonts w:hint="eastAsia" w:hAnsi="宋体"/>
          <w:b/>
          <w:color w:val="auto"/>
          <w:szCs w:val="21"/>
          <w:highlight w:val="none"/>
        </w:rPr>
        <w:t>（1）解密电子投标文件。</w:t>
      </w:r>
      <w:r>
        <w:rPr>
          <w:rFonts w:hint="eastAsia" w:hAnsi="宋体" w:cs="方正仿宋_GB2312"/>
          <w:b/>
          <w:color w:val="auto"/>
          <w:szCs w:val="21"/>
          <w:highlight w:val="none"/>
        </w:rPr>
        <w:t>“</w:t>
      </w:r>
      <w:r>
        <w:rPr>
          <w:rFonts w:hint="eastAsia" w:hAnsi="宋体" w:cs="方正仿宋_GB2312"/>
          <w:color w:val="auto"/>
          <w:szCs w:val="21"/>
          <w:highlight w:val="none"/>
        </w:rPr>
        <w:t>广西政府采购云”平台按开标时间自动提取所有投标文件。采购代理机构依托“广西政府采购云”平台</w:t>
      </w:r>
      <w:r>
        <w:rPr>
          <w:rFonts w:hint="eastAsia" w:hAnsi="宋体"/>
          <w:color w:val="auto"/>
          <w:szCs w:val="21"/>
          <w:highlight w:val="none"/>
        </w:rPr>
        <w:t>向各投标人发出电子加密投标文件【开始解密】通知，由投标人按招标文件规定的时间</w:t>
      </w:r>
      <w:r>
        <w:rPr>
          <w:rFonts w:hint="eastAsia" w:hAnsi="宋体"/>
          <w:color w:val="auto"/>
          <w:szCs w:val="21"/>
          <w:highlight w:val="none"/>
          <w:lang w:eastAsia="zh-CN"/>
        </w:rPr>
        <w:t>【</w:t>
      </w:r>
      <w:r>
        <w:rPr>
          <w:rFonts w:hint="eastAsia" w:hAnsi="宋体"/>
          <w:color w:val="auto"/>
          <w:szCs w:val="21"/>
          <w:highlight w:val="none"/>
          <w:lang w:val="en-US" w:eastAsia="zh-CN"/>
        </w:rPr>
        <w:t>45分钟</w:t>
      </w:r>
      <w:r>
        <w:rPr>
          <w:rFonts w:hint="eastAsia" w:hAnsi="宋体"/>
          <w:color w:val="auto"/>
          <w:szCs w:val="21"/>
          <w:highlight w:val="none"/>
          <w:lang w:eastAsia="zh-CN"/>
        </w:rPr>
        <w:t>】</w:t>
      </w:r>
      <w:r>
        <w:rPr>
          <w:rFonts w:hint="eastAsia" w:hAnsi="宋体"/>
          <w:color w:val="auto"/>
          <w:szCs w:val="21"/>
          <w:highlight w:val="none"/>
        </w:rPr>
        <w:t>内自行进行投标文件解密。投标人的法定代表人或其委托代理人</w:t>
      </w:r>
      <w:r>
        <w:rPr>
          <w:rFonts w:hint="eastAsia" w:hAnsi="宋体"/>
          <w:b/>
          <w:color w:val="auto"/>
          <w:szCs w:val="21"/>
          <w:highlight w:val="none"/>
        </w:rPr>
        <w:t>须携带加密时所用的CA锁准时登录到“广西政府采购云”平台电子开标大厅签到并对电子投标文件解密</w:t>
      </w:r>
      <w:r>
        <w:rPr>
          <w:rFonts w:hint="eastAsia" w:hAnsi="宋体"/>
          <w:color w:val="auto"/>
          <w:szCs w:val="21"/>
          <w:highlight w:val="none"/>
        </w:rPr>
        <w:t>。开标后5分钟投标人还未进行解密的，代理机构要通知投标人。通知后，</w:t>
      </w:r>
      <w:r>
        <w:rPr>
          <w:rFonts w:hint="eastAsia" w:hAnsi="宋体" w:cs="方正仿宋_GB2312"/>
          <w:color w:val="auto"/>
          <w:szCs w:val="21"/>
          <w:highlight w:val="none"/>
        </w:rPr>
        <w:t>投标文件仍未按时解密，</w:t>
      </w:r>
      <w:r>
        <w:rPr>
          <w:rFonts w:hint="eastAsia" w:hAnsi="宋体"/>
          <w:color w:val="auto"/>
          <w:szCs w:val="21"/>
          <w:highlight w:val="none"/>
        </w:rPr>
        <w:t>或者投标人没预留联系方式或预留联系方式无效，导致代理机构无法联系到投标人进行解密的，</w:t>
      </w:r>
      <w:r>
        <w:rPr>
          <w:rFonts w:hint="eastAsia" w:hAnsi="宋体"/>
          <w:b/>
          <w:color w:val="auto"/>
          <w:szCs w:val="21"/>
          <w:highlight w:val="none"/>
        </w:rPr>
        <w:t>均视为无效投标。</w:t>
      </w:r>
    </w:p>
    <w:p w14:paraId="26BEDFCB">
      <w:pPr>
        <w:pStyle w:val="7"/>
        <w:snapToGrid w:val="0"/>
        <w:spacing w:line="440" w:lineRule="exact"/>
        <w:ind w:firstLine="420" w:firstLineChars="200"/>
        <w:rPr>
          <w:rFonts w:hAnsi="宋体"/>
          <w:color w:val="auto"/>
          <w:szCs w:val="21"/>
          <w:highlight w:val="none"/>
        </w:rPr>
      </w:pPr>
      <w:r>
        <w:rPr>
          <w:rFonts w:hint="eastAsia" w:hAnsi="宋体"/>
          <w:color w:val="auto"/>
          <w:szCs w:val="21"/>
          <w:highlight w:val="none"/>
        </w:rPr>
        <w:t>（解密</w:t>
      </w:r>
      <w:r>
        <w:rPr>
          <w:rFonts w:hint="eastAsia" w:hAnsi="宋体"/>
          <w:bCs/>
          <w:color w:val="auto"/>
          <w:szCs w:val="21"/>
          <w:highlight w:val="none"/>
        </w:rPr>
        <w:t>异常情况处理：详见本章</w:t>
      </w:r>
      <w:r>
        <w:rPr>
          <w:rFonts w:hint="eastAsia" w:hAnsi="宋体"/>
          <w:color w:val="auto"/>
          <w:highlight w:val="none"/>
        </w:rPr>
        <w:t>29.3 电子交易活动的中止。</w:t>
      </w:r>
      <w:r>
        <w:rPr>
          <w:rFonts w:hint="eastAsia" w:hAnsi="宋体"/>
          <w:color w:val="auto"/>
          <w:szCs w:val="21"/>
          <w:highlight w:val="none"/>
        </w:rPr>
        <w:t>）</w:t>
      </w:r>
    </w:p>
    <w:p w14:paraId="1972DE4D">
      <w:pPr>
        <w:spacing w:line="360" w:lineRule="auto"/>
        <w:ind w:firstLine="420" w:firstLineChars="200"/>
        <w:rPr>
          <w:rFonts w:ascii="宋体" w:hAnsi="宋体"/>
          <w:color w:val="auto"/>
          <w:szCs w:val="21"/>
          <w:highlight w:val="none"/>
        </w:rPr>
      </w:pPr>
      <w:r>
        <w:rPr>
          <w:rFonts w:hint="eastAsia" w:ascii="宋体" w:hAnsi="宋体"/>
          <w:color w:val="auto"/>
          <w:szCs w:val="21"/>
          <w:highlight w:val="none"/>
        </w:rPr>
        <w:t>（2）</w:t>
      </w:r>
      <w:r>
        <w:rPr>
          <w:rFonts w:hint="eastAsia" w:ascii="宋体" w:hAnsi="宋体"/>
          <w:b/>
          <w:color w:val="auto"/>
          <w:szCs w:val="21"/>
          <w:highlight w:val="none"/>
        </w:rPr>
        <w:t>电子唱标。</w:t>
      </w:r>
      <w:r>
        <w:rPr>
          <w:rFonts w:hint="eastAsia" w:ascii="宋体" w:hAnsi="宋体"/>
          <w:color w:val="auto"/>
          <w:szCs w:val="21"/>
          <w:highlight w:val="none"/>
        </w:rPr>
        <w:t>投标文件解密结束，各投标供应商报价均在“广西政府采购云”平台远程不见面开标大厅展示；</w:t>
      </w:r>
    </w:p>
    <w:p w14:paraId="331B0029">
      <w:pPr>
        <w:spacing w:line="360" w:lineRule="auto"/>
        <w:ind w:firstLine="420" w:firstLineChars="200"/>
        <w:rPr>
          <w:rFonts w:ascii="宋体" w:hAnsi="宋体"/>
          <w:color w:val="auto"/>
          <w:szCs w:val="21"/>
          <w:highlight w:val="none"/>
        </w:rPr>
      </w:pPr>
      <w:r>
        <w:rPr>
          <w:rFonts w:hint="eastAsia" w:ascii="宋体" w:hAnsi="宋体"/>
          <w:color w:val="auto"/>
          <w:szCs w:val="21"/>
          <w:highlight w:val="none"/>
        </w:rPr>
        <w:t>（3）</w:t>
      </w:r>
      <w:r>
        <w:rPr>
          <w:rFonts w:hint="eastAsia" w:ascii="宋体" w:hAnsi="宋体"/>
          <w:b/>
          <w:color w:val="auto"/>
          <w:szCs w:val="21"/>
          <w:highlight w:val="none"/>
        </w:rPr>
        <w:t>签署电子《政府采购活动现场确认声明书》。</w:t>
      </w:r>
      <w:r>
        <w:rPr>
          <w:rFonts w:hint="eastAsia" w:ascii="宋体" w:hAnsi="宋体"/>
          <w:color w:val="auto"/>
          <w:szCs w:val="21"/>
          <w:highlight w:val="none"/>
        </w:rPr>
        <w:t>通过邮件形式在远程不见面开标大厅发送各投标人签署电子《政府采购活动现场确认声明书》。</w:t>
      </w:r>
    </w:p>
    <w:p w14:paraId="74EF68CE">
      <w:pPr>
        <w:spacing w:line="360" w:lineRule="auto"/>
        <w:ind w:firstLine="420" w:firstLineChars="200"/>
        <w:rPr>
          <w:rFonts w:ascii="宋体" w:hAnsi="宋体"/>
          <w:bCs/>
          <w:color w:val="auto"/>
          <w:szCs w:val="21"/>
          <w:highlight w:val="none"/>
        </w:rPr>
      </w:pPr>
      <w:r>
        <w:rPr>
          <w:rFonts w:hint="eastAsia" w:ascii="宋体" w:hAnsi="宋体"/>
          <w:bCs/>
          <w:color w:val="auto"/>
          <w:szCs w:val="21"/>
          <w:highlight w:val="none"/>
        </w:rPr>
        <w:t>（4）开标过程由采购代理机构如实记录，并电子留痕，由参加电子开标的各投标人代表对电子开标记录在开标记录公布后15分钟内进行当场校核及勘误，并线上确认，未确认的视同认可开标结果。</w:t>
      </w:r>
    </w:p>
    <w:p w14:paraId="306C63EA">
      <w:pPr>
        <w:spacing w:line="360" w:lineRule="auto"/>
        <w:ind w:firstLine="420" w:firstLineChars="200"/>
        <w:rPr>
          <w:rFonts w:ascii="宋体" w:hAnsi="宋体"/>
          <w:bCs/>
          <w:color w:val="auto"/>
          <w:szCs w:val="21"/>
          <w:highlight w:val="none"/>
        </w:rPr>
      </w:pPr>
      <w:r>
        <w:rPr>
          <w:rFonts w:hint="eastAsia" w:ascii="宋体" w:hAnsi="宋体"/>
          <w:bCs/>
          <w:color w:val="auto"/>
          <w:szCs w:val="21"/>
          <w:highlight w:val="none"/>
        </w:rPr>
        <w:t>（5）投标人代表对开标过程和开标记录有疑义，以及认为采购人、采购代理机构相关工作人员有需要回避的情形的，应当场提出在线询问或者回避申请。采购人、采购代理机构对投标人代表提出的询问或者回避申请应当及时处理。</w:t>
      </w:r>
    </w:p>
    <w:p w14:paraId="56F80A0A">
      <w:pPr>
        <w:spacing w:line="360" w:lineRule="auto"/>
        <w:ind w:firstLine="420" w:firstLineChars="200"/>
        <w:rPr>
          <w:rFonts w:ascii="宋体" w:hAnsi="宋体"/>
          <w:bCs/>
          <w:color w:val="auto"/>
          <w:szCs w:val="21"/>
          <w:highlight w:val="none"/>
        </w:rPr>
      </w:pPr>
      <w:r>
        <w:rPr>
          <w:rFonts w:hint="eastAsia" w:ascii="宋体" w:hAnsi="宋体"/>
          <w:bCs/>
          <w:color w:val="auto"/>
          <w:szCs w:val="21"/>
          <w:highlight w:val="none"/>
        </w:rPr>
        <w:t>（6）开标结束。</w:t>
      </w:r>
    </w:p>
    <w:p w14:paraId="7C1F2DEA">
      <w:pPr>
        <w:pStyle w:val="7"/>
        <w:snapToGrid w:val="0"/>
        <w:spacing w:line="440" w:lineRule="exact"/>
        <w:ind w:firstLine="422" w:firstLineChars="200"/>
        <w:rPr>
          <w:rFonts w:hAnsi="宋体"/>
          <w:color w:val="auto"/>
          <w:szCs w:val="21"/>
          <w:highlight w:val="none"/>
        </w:rPr>
      </w:pPr>
      <w:r>
        <w:rPr>
          <w:rFonts w:hint="eastAsia" w:hAnsi="宋体"/>
          <w:b/>
          <w:bCs/>
          <w:color w:val="auto"/>
          <w:szCs w:val="21"/>
          <w:highlight w:val="none"/>
        </w:rPr>
        <w:t>特别说明：</w:t>
      </w:r>
      <w:r>
        <w:rPr>
          <w:rFonts w:hint="eastAsia" w:hAnsi="宋体"/>
          <w:color w:val="auto"/>
          <w:szCs w:val="21"/>
          <w:highlight w:val="none"/>
        </w:rPr>
        <w:t>如遇“广西政府采购云”平台电子化开标或评审程序调整的，按调整后执行。</w:t>
      </w:r>
    </w:p>
    <w:p w14:paraId="1B4E11CE">
      <w:pPr>
        <w:pStyle w:val="7"/>
        <w:snapToGrid w:val="0"/>
        <w:spacing w:line="400" w:lineRule="exact"/>
        <w:ind w:left="689" w:leftChars="228" w:hanging="210" w:hangingChars="100"/>
        <w:rPr>
          <w:rFonts w:hAnsi="宋体"/>
          <w:color w:val="auto"/>
          <w:highlight w:val="none"/>
        </w:rPr>
      </w:pPr>
    </w:p>
    <w:p w14:paraId="2D5BFB67">
      <w:pPr>
        <w:pStyle w:val="10"/>
        <w:keepNext w:val="0"/>
        <w:keepLines w:val="0"/>
        <w:spacing w:line="400" w:lineRule="exact"/>
        <w:jc w:val="center"/>
        <w:rPr>
          <w:color w:val="auto"/>
          <w:highlight w:val="none"/>
        </w:rPr>
      </w:pPr>
      <w:bookmarkStart w:id="106" w:name="_Toc187761558"/>
      <w:r>
        <w:rPr>
          <w:rFonts w:hint="eastAsia"/>
          <w:color w:val="auto"/>
          <w:highlight w:val="none"/>
        </w:rPr>
        <w:t>五、资格审查</w:t>
      </w:r>
      <w:bookmarkEnd w:id="106"/>
    </w:p>
    <w:p w14:paraId="30BB2DD2">
      <w:pPr>
        <w:pStyle w:val="12"/>
        <w:keepNext w:val="0"/>
        <w:keepLines w:val="0"/>
        <w:spacing w:before="0" w:after="0" w:line="360" w:lineRule="auto"/>
        <w:ind w:firstLine="482" w:firstLineChars="200"/>
        <w:rPr>
          <w:rFonts w:ascii="黑体" w:hAnsi="黑体" w:eastAsia="黑体"/>
          <w:color w:val="auto"/>
          <w:sz w:val="24"/>
          <w:highlight w:val="none"/>
        </w:rPr>
      </w:pPr>
      <w:r>
        <w:rPr>
          <w:rFonts w:hint="eastAsia" w:ascii="黑体" w:hAnsi="黑体" w:eastAsia="黑体"/>
          <w:color w:val="auto"/>
          <w:sz w:val="24"/>
          <w:highlight w:val="none"/>
        </w:rPr>
        <w:t>25.资格审查</w:t>
      </w:r>
    </w:p>
    <w:p w14:paraId="132AB81D">
      <w:pPr>
        <w:spacing w:line="360" w:lineRule="auto"/>
        <w:ind w:firstLine="422" w:firstLineChars="200"/>
        <w:rPr>
          <w:rFonts w:ascii="宋体" w:hAnsi="宋体"/>
          <w:b/>
          <w:bCs/>
          <w:color w:val="auto"/>
          <w:szCs w:val="20"/>
          <w:highlight w:val="none"/>
        </w:rPr>
      </w:pPr>
      <w:r>
        <w:rPr>
          <w:rFonts w:hint="eastAsia" w:ascii="宋体" w:hAnsi="宋体"/>
          <w:b/>
          <w:bCs/>
          <w:color w:val="auto"/>
          <w:szCs w:val="20"/>
          <w:highlight w:val="none"/>
        </w:rPr>
        <w:t xml:space="preserve"> 25.1开标结束后，采购人或采购机构依法通过电子投标文件对投标人的资格进行线上审查。</w:t>
      </w:r>
    </w:p>
    <w:p w14:paraId="6111E7EE">
      <w:pPr>
        <w:spacing w:line="360" w:lineRule="auto"/>
        <w:ind w:firstLine="422" w:firstLineChars="200"/>
        <w:rPr>
          <w:rFonts w:ascii="宋体" w:hAnsi="宋体"/>
          <w:b/>
          <w:bCs/>
          <w:color w:val="auto"/>
          <w:szCs w:val="20"/>
          <w:highlight w:val="none"/>
        </w:rPr>
      </w:pPr>
      <w:r>
        <w:rPr>
          <w:rFonts w:hint="eastAsia" w:ascii="宋体" w:hAnsi="宋体"/>
          <w:b/>
          <w:bCs/>
          <w:color w:val="auto"/>
          <w:szCs w:val="20"/>
          <w:highlight w:val="none"/>
        </w:rPr>
        <w:t xml:space="preserve"> 25.2采购人或采购机构依据法律法规和招标文件的规定，对投标人的基本资格条件、特定资格条件进行审查。</w:t>
      </w:r>
    </w:p>
    <w:p w14:paraId="75D650A3">
      <w:pPr>
        <w:spacing w:line="360" w:lineRule="auto"/>
        <w:ind w:firstLine="420" w:firstLineChars="200"/>
        <w:rPr>
          <w:rFonts w:ascii="宋体" w:hAnsi="宋体"/>
          <w:color w:val="auto"/>
          <w:highlight w:val="none"/>
        </w:rPr>
      </w:pPr>
      <w:r>
        <w:rPr>
          <w:rFonts w:hint="eastAsia" w:ascii="宋体" w:hAnsi="宋体"/>
          <w:color w:val="auto"/>
          <w:highlight w:val="none"/>
        </w:rPr>
        <w:t>25.3资格审查标准为本“招标文件”中“投标人须知前附表”13.1点载明对投标人资格要求的条件。本项目资格审查采用合格制，凡符合招标文件规定的投标人资格要求的投标人均通过资格审查。</w:t>
      </w:r>
    </w:p>
    <w:p w14:paraId="2FBFF9CC">
      <w:pPr>
        <w:spacing w:line="360" w:lineRule="auto"/>
        <w:ind w:firstLine="422" w:firstLineChars="200"/>
        <w:rPr>
          <w:rFonts w:ascii="宋体" w:hAnsi="宋体"/>
          <w:b/>
          <w:bCs/>
          <w:color w:val="auto"/>
          <w:szCs w:val="20"/>
          <w:highlight w:val="none"/>
        </w:rPr>
      </w:pPr>
      <w:bookmarkStart w:id="107" w:name="_25.3_投标人有下列情形之一的，资格审查不通过而导致其投标无效："/>
      <w:bookmarkEnd w:id="107"/>
      <w:r>
        <w:rPr>
          <w:rFonts w:hint="eastAsia" w:ascii="宋体" w:hAnsi="宋体"/>
          <w:b/>
          <w:bCs/>
          <w:color w:val="auto"/>
          <w:szCs w:val="20"/>
          <w:highlight w:val="none"/>
        </w:rPr>
        <w:t>25.4投标人有下列情形之一的，资格审查不通过，作无效投标处理：</w:t>
      </w:r>
    </w:p>
    <w:p w14:paraId="27FA569E">
      <w:pPr>
        <w:spacing w:line="360" w:lineRule="auto"/>
        <w:ind w:firstLine="420" w:firstLineChars="200"/>
        <w:rPr>
          <w:rFonts w:hAnsi="宋体"/>
          <w:color w:val="auto"/>
          <w:highlight w:val="none"/>
        </w:rPr>
      </w:pPr>
      <w:r>
        <w:rPr>
          <w:rFonts w:hint="eastAsia" w:hAnsi="宋体"/>
          <w:color w:val="auto"/>
          <w:highlight w:val="none"/>
        </w:rPr>
        <w:t>（</w:t>
      </w:r>
      <w:r>
        <w:rPr>
          <w:rFonts w:hAnsi="宋体"/>
          <w:color w:val="auto"/>
          <w:highlight w:val="none"/>
        </w:rPr>
        <w:t>1</w:t>
      </w:r>
      <w:r>
        <w:rPr>
          <w:rFonts w:hint="eastAsia" w:hAnsi="宋体"/>
          <w:color w:val="auto"/>
          <w:highlight w:val="none"/>
        </w:rPr>
        <w:t>）不具备招标文件中规定的资格要求的；（注：其中信用查询规则见“投标人须知前附表”，“广西政府采购云”平台已与“信用中国”平台做接口，审查专家可直接在线查询）</w:t>
      </w:r>
    </w:p>
    <w:p w14:paraId="76B704A7">
      <w:pPr>
        <w:spacing w:line="360" w:lineRule="auto"/>
        <w:ind w:firstLine="420" w:firstLineChars="200"/>
        <w:rPr>
          <w:rFonts w:hAnsi="宋体"/>
          <w:color w:val="auto"/>
          <w:highlight w:val="none"/>
        </w:rPr>
      </w:pPr>
      <w:r>
        <w:rPr>
          <w:rFonts w:hint="eastAsia" w:hAnsi="宋体"/>
          <w:color w:val="auto"/>
          <w:highlight w:val="none"/>
        </w:rPr>
        <w:t>（</w:t>
      </w:r>
      <w:r>
        <w:rPr>
          <w:rFonts w:hAnsi="宋体"/>
          <w:color w:val="auto"/>
          <w:highlight w:val="none"/>
        </w:rPr>
        <w:t>2</w:t>
      </w:r>
      <w:r>
        <w:rPr>
          <w:rFonts w:hint="eastAsia" w:hAnsi="宋体"/>
          <w:color w:val="auto"/>
          <w:highlight w:val="none"/>
        </w:rPr>
        <w:t>）投标文件未提供任一项“投标人须知前附表”资格证明文件规定的“必须提供”的文件资料的；</w:t>
      </w:r>
    </w:p>
    <w:p w14:paraId="634C6B42">
      <w:pPr>
        <w:spacing w:line="360" w:lineRule="auto"/>
        <w:ind w:firstLine="420" w:firstLineChars="200"/>
        <w:rPr>
          <w:rFonts w:hAnsi="宋体"/>
          <w:color w:val="auto"/>
          <w:highlight w:val="none"/>
        </w:rPr>
      </w:pPr>
      <w:r>
        <w:rPr>
          <w:rFonts w:hint="eastAsia" w:hAnsi="宋体"/>
          <w:color w:val="auto"/>
          <w:highlight w:val="none"/>
        </w:rPr>
        <w:t>（</w:t>
      </w:r>
      <w:r>
        <w:rPr>
          <w:rFonts w:hAnsi="宋体"/>
          <w:color w:val="auto"/>
          <w:highlight w:val="none"/>
        </w:rPr>
        <w:t>3</w:t>
      </w:r>
      <w:r>
        <w:rPr>
          <w:rFonts w:hint="eastAsia" w:hAnsi="宋体"/>
          <w:color w:val="auto"/>
          <w:highlight w:val="none"/>
        </w:rPr>
        <w:t>）投标文件提供的资格证明文件出现任一项不符合“投标人须知前附表”资格证明文件规定的“必须提供”的文件资料要求或者无效的。</w:t>
      </w:r>
    </w:p>
    <w:p w14:paraId="5AD65576">
      <w:pPr>
        <w:pStyle w:val="12"/>
        <w:keepNext w:val="0"/>
        <w:keepLines w:val="0"/>
        <w:spacing w:before="0" w:after="0" w:line="360" w:lineRule="auto"/>
        <w:ind w:firstLine="420" w:firstLineChars="200"/>
        <w:rPr>
          <w:rFonts w:ascii="宋体" w:hAnsi="宋体"/>
          <w:b w:val="0"/>
          <w:bCs w:val="0"/>
          <w:color w:val="auto"/>
          <w:sz w:val="21"/>
          <w:szCs w:val="20"/>
          <w:highlight w:val="none"/>
        </w:rPr>
      </w:pPr>
      <w:r>
        <w:rPr>
          <w:rFonts w:hint="eastAsia" w:ascii="宋体" w:hAnsi="宋体"/>
          <w:b w:val="0"/>
          <w:bCs w:val="0"/>
          <w:color w:val="auto"/>
          <w:sz w:val="21"/>
          <w:szCs w:val="20"/>
          <w:highlight w:val="none"/>
        </w:rPr>
        <w:t>25.5资格审查的合格投标人不足3家的，不得评标。</w:t>
      </w:r>
    </w:p>
    <w:p w14:paraId="57AC1A4F">
      <w:pPr>
        <w:pStyle w:val="10"/>
        <w:keepNext w:val="0"/>
        <w:keepLines w:val="0"/>
        <w:spacing w:line="360" w:lineRule="auto"/>
        <w:jc w:val="center"/>
        <w:rPr>
          <w:color w:val="auto"/>
          <w:highlight w:val="none"/>
        </w:rPr>
      </w:pPr>
      <w:bookmarkStart w:id="108" w:name="_Toc187761559"/>
      <w:r>
        <w:rPr>
          <w:rFonts w:hint="eastAsia"/>
          <w:color w:val="auto"/>
          <w:highlight w:val="none"/>
        </w:rPr>
        <w:t>六、评标</w:t>
      </w:r>
      <w:bookmarkEnd w:id="108"/>
    </w:p>
    <w:p w14:paraId="57163598">
      <w:pPr>
        <w:spacing w:line="360" w:lineRule="auto"/>
        <w:ind w:firstLine="480" w:firstLineChars="200"/>
        <w:rPr>
          <w:rFonts w:ascii="黑体" w:hAnsi="黑体" w:eastAsia="黑体"/>
          <w:color w:val="auto"/>
          <w:sz w:val="24"/>
          <w:highlight w:val="none"/>
        </w:rPr>
      </w:pPr>
      <w:bookmarkStart w:id="109" w:name="_26.组建评标委员会"/>
      <w:bookmarkEnd w:id="109"/>
      <w:r>
        <w:rPr>
          <w:rFonts w:hint="eastAsia" w:ascii="黑体" w:hAnsi="黑体" w:eastAsia="黑体"/>
          <w:color w:val="auto"/>
          <w:sz w:val="24"/>
          <w:highlight w:val="none"/>
        </w:rPr>
        <w:t>26.组建评标委员会</w:t>
      </w:r>
    </w:p>
    <w:p w14:paraId="51CB0285">
      <w:pPr>
        <w:spacing w:line="360" w:lineRule="auto"/>
        <w:ind w:firstLine="420" w:firstLineChars="200"/>
        <w:rPr>
          <w:rFonts w:hAnsi="宋体"/>
          <w:color w:val="auto"/>
          <w:highlight w:val="none"/>
        </w:rPr>
      </w:pPr>
      <w:r>
        <w:rPr>
          <w:rFonts w:hint="eastAsia" w:hAnsi="宋体"/>
          <w:color w:val="auto"/>
          <w:highlight w:val="none"/>
        </w:rPr>
        <w:t>评标委员会由采购人代表和评审专家组成，人数为</w:t>
      </w:r>
      <w:r>
        <w:rPr>
          <w:rFonts w:hAnsi="宋体"/>
          <w:color w:val="auto"/>
          <w:highlight w:val="none"/>
        </w:rPr>
        <w:t>5</w:t>
      </w:r>
      <w:r>
        <w:rPr>
          <w:rFonts w:hint="eastAsia" w:hAnsi="宋体"/>
          <w:color w:val="auto"/>
          <w:highlight w:val="none"/>
        </w:rPr>
        <w:t>人以上单数，其中评审专家不得少于成员总数的三分之二。</w:t>
      </w:r>
    </w:p>
    <w:p w14:paraId="54494AC6">
      <w:pPr>
        <w:spacing w:line="360" w:lineRule="auto"/>
        <w:ind w:firstLine="420" w:firstLineChars="200"/>
        <w:rPr>
          <w:rFonts w:hAnsi="宋体"/>
          <w:color w:val="auto"/>
          <w:highlight w:val="none"/>
        </w:rPr>
      </w:pPr>
      <w:r>
        <w:rPr>
          <w:rFonts w:hint="eastAsia" w:hAnsi="宋体"/>
          <w:color w:val="auto"/>
          <w:highlight w:val="none"/>
        </w:rPr>
        <w:t>参加过采购项目前期咨询论证的专家，不得参加该采购项目的评审活动。</w:t>
      </w:r>
    </w:p>
    <w:p w14:paraId="323014D5">
      <w:pPr>
        <w:spacing w:line="360" w:lineRule="auto"/>
        <w:ind w:firstLine="480" w:firstLineChars="200"/>
        <w:rPr>
          <w:rFonts w:ascii="黑体" w:hAnsi="黑体" w:eastAsia="黑体"/>
          <w:color w:val="auto"/>
          <w:sz w:val="24"/>
          <w:highlight w:val="none"/>
        </w:rPr>
      </w:pPr>
      <w:r>
        <w:rPr>
          <w:rFonts w:hint="eastAsia" w:ascii="黑体" w:hAnsi="黑体" w:eastAsia="黑体"/>
          <w:color w:val="auto"/>
          <w:sz w:val="24"/>
          <w:highlight w:val="none"/>
        </w:rPr>
        <w:t>27.评标的依据</w:t>
      </w:r>
    </w:p>
    <w:p w14:paraId="1F66D28A">
      <w:pPr>
        <w:spacing w:line="360" w:lineRule="auto"/>
        <w:ind w:firstLine="420" w:firstLineChars="200"/>
        <w:rPr>
          <w:rFonts w:hAnsi="宋体"/>
          <w:color w:val="auto"/>
          <w:highlight w:val="none"/>
        </w:rPr>
      </w:pPr>
      <w:r>
        <w:rPr>
          <w:rFonts w:hint="eastAsia" w:hAnsi="宋体"/>
          <w:color w:val="auto"/>
          <w:highlight w:val="none"/>
        </w:rPr>
        <w:t>评标委员会以招标文件为依据对投标文件进行评审，</w:t>
      </w:r>
      <w:r>
        <w:rPr>
          <w:rFonts w:hint="eastAsia" w:hAnsi="宋体" w:cs="宋体"/>
          <w:color w:val="auto"/>
          <w:highlight w:val="none"/>
        </w:rPr>
        <w:t>“第四章评标方法和评标标准”</w:t>
      </w:r>
      <w:r>
        <w:rPr>
          <w:rFonts w:hint="eastAsia" w:hAnsi="宋体"/>
          <w:color w:val="auto"/>
          <w:highlight w:val="none"/>
        </w:rPr>
        <w:t>没有规定的方法、评审因素和标准，不作为评标依据。</w:t>
      </w:r>
    </w:p>
    <w:p w14:paraId="70D0AE42">
      <w:pPr>
        <w:spacing w:line="360" w:lineRule="auto"/>
        <w:ind w:firstLine="480" w:firstLineChars="200"/>
        <w:rPr>
          <w:rFonts w:ascii="黑体" w:hAnsi="黑体" w:eastAsia="黑体"/>
          <w:color w:val="auto"/>
          <w:sz w:val="24"/>
          <w:highlight w:val="none"/>
        </w:rPr>
      </w:pPr>
      <w:r>
        <w:rPr>
          <w:rFonts w:hint="eastAsia" w:ascii="黑体" w:hAnsi="黑体" w:eastAsia="黑体"/>
          <w:color w:val="auto"/>
          <w:sz w:val="24"/>
          <w:highlight w:val="none"/>
        </w:rPr>
        <w:t>28.评标原则</w:t>
      </w:r>
    </w:p>
    <w:p w14:paraId="341A93ED">
      <w:pPr>
        <w:spacing w:line="360" w:lineRule="auto"/>
        <w:ind w:firstLine="420" w:firstLineChars="200"/>
        <w:rPr>
          <w:rFonts w:hAnsi="宋体"/>
          <w:color w:val="auto"/>
          <w:highlight w:val="none"/>
        </w:rPr>
      </w:pPr>
      <w:r>
        <w:rPr>
          <w:rFonts w:hAnsi="宋体"/>
          <w:color w:val="auto"/>
          <w:highlight w:val="none"/>
        </w:rPr>
        <w:t>28.1</w:t>
      </w:r>
      <w:r>
        <w:rPr>
          <w:rFonts w:hint="eastAsia" w:hAnsi="宋体"/>
          <w:color w:val="auto"/>
          <w:highlight w:val="none"/>
        </w:rPr>
        <w:t>评标原则。评标委员会评标时必须公平、公正、客观，不带任何倾向性和启发性；不得向外界透露任何与评标有关的内容；任何单位和个人不得干扰、影响评标的正常进行；评标委员会及有关工作人员不得私下与投标人接触，不得收受利害关系人的财物或者其他好处。</w:t>
      </w:r>
    </w:p>
    <w:p w14:paraId="34DD0834">
      <w:pPr>
        <w:spacing w:line="360" w:lineRule="auto"/>
        <w:ind w:firstLine="420" w:firstLineChars="200"/>
        <w:rPr>
          <w:rFonts w:hAnsi="宋体"/>
          <w:color w:val="auto"/>
          <w:highlight w:val="none"/>
        </w:rPr>
      </w:pPr>
      <w:r>
        <w:rPr>
          <w:rFonts w:hAnsi="宋体"/>
          <w:color w:val="auto"/>
          <w:highlight w:val="none"/>
        </w:rPr>
        <w:t>28.2</w:t>
      </w:r>
      <w:r>
        <w:rPr>
          <w:rFonts w:hint="eastAsia" w:hAnsi="宋体"/>
          <w:color w:val="auto"/>
          <w:highlight w:val="none"/>
        </w:rPr>
        <w:t>评委表决。在评标过程中出现法律法规和招标文件均没有明确规定的情形时，由评标委员会现场协商解决，协商不一致的，由全体评委投票表决，以得票率二分之一以上专家的意见为准并由采购代理机构作记录。</w:t>
      </w:r>
      <w:bookmarkStart w:id="110" w:name="_28.3评标方法。本项目将按须知前附表规定的评标办法进行评标，具体评标"/>
      <w:bookmarkEnd w:id="110"/>
    </w:p>
    <w:p w14:paraId="73EB299F">
      <w:pPr>
        <w:spacing w:line="360" w:lineRule="auto"/>
        <w:ind w:firstLine="420" w:firstLineChars="200"/>
        <w:rPr>
          <w:rFonts w:hAnsi="宋体"/>
          <w:color w:val="auto"/>
          <w:highlight w:val="none"/>
        </w:rPr>
      </w:pPr>
      <w:r>
        <w:rPr>
          <w:rFonts w:hAnsi="宋体"/>
          <w:color w:val="auto"/>
          <w:highlight w:val="none"/>
        </w:rPr>
        <w:t>28.3</w:t>
      </w:r>
      <w:r>
        <w:rPr>
          <w:rFonts w:hint="eastAsia" w:hAnsi="宋体"/>
          <w:color w:val="auto"/>
          <w:highlight w:val="none"/>
        </w:rPr>
        <w:t>评标的保密。采购人、采购代理机构应当采取必要措施，保证评标在严格保密（封闭式评标）的情况下进行。除采购人代表、评标现场组织人员外，采购人的其他工作人员以及与评标工作无关的人员不得进入评标现场。有关人员对评标情况以及在评标过程中获悉的国家秘密、商业秘密负有保密责任。</w:t>
      </w:r>
    </w:p>
    <w:p w14:paraId="7399203C">
      <w:pPr>
        <w:spacing w:line="360" w:lineRule="auto"/>
        <w:ind w:firstLine="420" w:firstLineChars="200"/>
        <w:rPr>
          <w:rFonts w:hAnsi="宋体"/>
          <w:color w:val="auto"/>
          <w:highlight w:val="none"/>
        </w:rPr>
      </w:pPr>
      <w:r>
        <w:rPr>
          <w:rFonts w:hAnsi="宋体"/>
          <w:color w:val="auto"/>
          <w:highlight w:val="none"/>
        </w:rPr>
        <w:t>28.4</w:t>
      </w:r>
      <w:r>
        <w:rPr>
          <w:rFonts w:hint="eastAsia" w:hAnsi="宋体"/>
          <w:color w:val="auto"/>
          <w:highlight w:val="none"/>
        </w:rPr>
        <w:t>评标过程的监控。本项目电子评标过程实行网上留痕、全程录音、录像监控，投标人在评标过程中所进行的试图影响评标结果的不公正活动，可能导致其投标按无效处理。</w:t>
      </w:r>
    </w:p>
    <w:p w14:paraId="205E7214">
      <w:pPr>
        <w:widowControl/>
        <w:spacing w:line="560" w:lineRule="exact"/>
        <w:ind w:firstLine="420" w:firstLineChars="200"/>
        <w:jc w:val="left"/>
        <w:textAlignment w:val="baseline"/>
        <w:rPr>
          <w:rFonts w:hAnsi="宋体"/>
          <w:color w:val="auto"/>
          <w:highlight w:val="none"/>
        </w:rPr>
      </w:pPr>
      <w:r>
        <w:rPr>
          <w:rFonts w:hAnsi="宋体"/>
          <w:color w:val="auto"/>
          <w:highlight w:val="none"/>
        </w:rPr>
        <w:t>28.5</w:t>
      </w:r>
      <w:r>
        <w:rPr>
          <w:rFonts w:hint="eastAsia" w:hAnsi="宋体"/>
          <w:color w:val="auto"/>
          <w:highlight w:val="none"/>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14:paraId="05CD37B8">
      <w:pPr>
        <w:spacing w:line="360" w:lineRule="auto"/>
        <w:ind w:firstLine="480" w:firstLineChars="200"/>
        <w:rPr>
          <w:rFonts w:ascii="黑体" w:hAnsi="黑体" w:eastAsia="黑体"/>
          <w:color w:val="auto"/>
          <w:sz w:val="24"/>
          <w:highlight w:val="none"/>
        </w:rPr>
      </w:pPr>
      <w:r>
        <w:rPr>
          <w:rFonts w:hint="eastAsia" w:ascii="黑体" w:hAnsi="黑体" w:eastAsia="黑体"/>
          <w:color w:val="auto"/>
          <w:sz w:val="24"/>
          <w:highlight w:val="none"/>
        </w:rPr>
        <w:t>29.评标方法及评标标准</w:t>
      </w:r>
    </w:p>
    <w:p w14:paraId="1EEA500E">
      <w:pPr>
        <w:spacing w:line="360" w:lineRule="auto"/>
        <w:ind w:firstLine="420" w:firstLineChars="200"/>
        <w:rPr>
          <w:rFonts w:hAnsi="宋体"/>
          <w:color w:val="auto"/>
          <w:highlight w:val="none"/>
        </w:rPr>
      </w:pPr>
      <w:r>
        <w:rPr>
          <w:rFonts w:hAnsi="宋体"/>
          <w:color w:val="auto"/>
          <w:highlight w:val="none"/>
        </w:rPr>
        <w:t>29.1</w:t>
      </w:r>
      <w:r>
        <w:rPr>
          <w:rFonts w:hint="eastAsia" w:hAnsi="宋体"/>
          <w:color w:val="auto"/>
          <w:highlight w:val="none"/>
        </w:rPr>
        <w:t>本项目的评标方法详见“投标人须知前附表”。</w:t>
      </w:r>
    </w:p>
    <w:p w14:paraId="10AFA87E">
      <w:pPr>
        <w:spacing w:line="360" w:lineRule="auto"/>
        <w:ind w:firstLine="420" w:firstLineChars="200"/>
        <w:rPr>
          <w:rFonts w:hAnsi="宋体"/>
          <w:color w:val="auto"/>
          <w:highlight w:val="none"/>
        </w:rPr>
      </w:pPr>
      <w:r>
        <w:rPr>
          <w:rFonts w:hAnsi="宋体"/>
          <w:color w:val="auto"/>
          <w:highlight w:val="none"/>
        </w:rPr>
        <w:t>29.2</w:t>
      </w:r>
      <w:r>
        <w:rPr>
          <w:rFonts w:hint="eastAsia" w:hAnsi="宋体"/>
          <w:color w:val="auto"/>
          <w:highlight w:val="none"/>
        </w:rPr>
        <w:t>评标委员会按照</w:t>
      </w:r>
      <w:r>
        <w:rPr>
          <w:rFonts w:hint="eastAsia" w:hAnsi="宋体" w:cs="宋体"/>
          <w:b/>
          <w:color w:val="auto"/>
          <w:highlight w:val="none"/>
        </w:rPr>
        <w:t>“第四章评标方法和评标标准”</w:t>
      </w:r>
      <w:r>
        <w:rPr>
          <w:rFonts w:hint="eastAsia" w:hAnsi="宋体"/>
          <w:color w:val="auto"/>
          <w:highlight w:val="none"/>
        </w:rPr>
        <w:t>规定的方法、评审因素、标准和程序对投标文件进行评审。</w:t>
      </w:r>
    </w:p>
    <w:p w14:paraId="6BDF904C">
      <w:pPr>
        <w:spacing w:line="360" w:lineRule="auto"/>
        <w:ind w:firstLine="420" w:firstLineChars="200"/>
        <w:rPr>
          <w:rFonts w:hAnsi="宋体"/>
          <w:color w:val="auto"/>
          <w:highlight w:val="none"/>
        </w:rPr>
      </w:pPr>
      <w:r>
        <w:rPr>
          <w:rFonts w:hAnsi="宋体"/>
          <w:color w:val="auto"/>
          <w:highlight w:val="none"/>
        </w:rPr>
        <w:t xml:space="preserve">29.3 </w:t>
      </w:r>
      <w:r>
        <w:rPr>
          <w:rFonts w:hint="eastAsia" w:hAnsi="宋体"/>
          <w:color w:val="auto"/>
          <w:highlight w:val="none"/>
        </w:rPr>
        <w:t>电子交易活动的中止。采购过程中出现以下情形，导致电子交易平台无法正常运行，或者无法保证电子交易的公平、公正和安全时，采购机构可中止电子交易活动：</w:t>
      </w:r>
    </w:p>
    <w:p w14:paraId="67CE2690">
      <w:pPr>
        <w:spacing w:line="360" w:lineRule="auto"/>
        <w:ind w:firstLine="420" w:firstLineChars="200"/>
        <w:rPr>
          <w:rFonts w:hAnsi="宋体"/>
          <w:color w:val="auto"/>
          <w:highlight w:val="none"/>
        </w:rPr>
      </w:pPr>
      <w:r>
        <w:rPr>
          <w:rFonts w:hint="eastAsia" w:hAnsi="宋体"/>
          <w:color w:val="auto"/>
          <w:highlight w:val="none"/>
        </w:rPr>
        <w:t>（</w:t>
      </w:r>
      <w:r>
        <w:rPr>
          <w:rFonts w:hAnsi="宋体"/>
          <w:color w:val="auto"/>
          <w:highlight w:val="none"/>
        </w:rPr>
        <w:t>1</w:t>
      </w:r>
      <w:r>
        <w:rPr>
          <w:rFonts w:hint="eastAsia" w:hAnsi="宋体"/>
          <w:color w:val="auto"/>
          <w:highlight w:val="none"/>
        </w:rPr>
        <w:t>）电子交易平台发生故障而无法登录访问的；</w:t>
      </w:r>
    </w:p>
    <w:p w14:paraId="1F2A049B">
      <w:pPr>
        <w:spacing w:line="360" w:lineRule="auto"/>
        <w:ind w:firstLine="420" w:firstLineChars="200"/>
        <w:rPr>
          <w:rFonts w:hAnsi="宋体"/>
          <w:color w:val="auto"/>
          <w:highlight w:val="none"/>
        </w:rPr>
      </w:pPr>
      <w:r>
        <w:rPr>
          <w:rFonts w:hint="eastAsia" w:hAnsi="宋体"/>
          <w:color w:val="auto"/>
          <w:highlight w:val="none"/>
        </w:rPr>
        <w:t>（</w:t>
      </w:r>
      <w:r>
        <w:rPr>
          <w:rFonts w:hAnsi="宋体"/>
          <w:color w:val="auto"/>
          <w:highlight w:val="none"/>
        </w:rPr>
        <w:t>2</w:t>
      </w:r>
      <w:r>
        <w:rPr>
          <w:rFonts w:hint="eastAsia" w:hAnsi="宋体"/>
          <w:color w:val="auto"/>
          <w:highlight w:val="none"/>
        </w:rPr>
        <w:t>）电子交易平台应用或数据库出现错误，不能进行正常操作的；</w:t>
      </w:r>
    </w:p>
    <w:p w14:paraId="25E75CF8">
      <w:pPr>
        <w:spacing w:line="360" w:lineRule="auto"/>
        <w:ind w:firstLine="420" w:firstLineChars="200"/>
        <w:rPr>
          <w:rFonts w:hAnsi="宋体"/>
          <w:color w:val="auto"/>
          <w:highlight w:val="none"/>
        </w:rPr>
      </w:pPr>
      <w:r>
        <w:rPr>
          <w:rFonts w:hint="eastAsia" w:hAnsi="宋体"/>
          <w:color w:val="auto"/>
          <w:highlight w:val="none"/>
        </w:rPr>
        <w:t>（</w:t>
      </w:r>
      <w:r>
        <w:rPr>
          <w:rFonts w:hAnsi="宋体"/>
          <w:color w:val="auto"/>
          <w:highlight w:val="none"/>
        </w:rPr>
        <w:t>3</w:t>
      </w:r>
      <w:r>
        <w:rPr>
          <w:rFonts w:hint="eastAsia" w:hAnsi="宋体"/>
          <w:color w:val="auto"/>
          <w:highlight w:val="none"/>
        </w:rPr>
        <w:t>）电子交易平台发现严重安全漏洞，有潜在泄密危险的；</w:t>
      </w:r>
    </w:p>
    <w:p w14:paraId="749CBB16">
      <w:pPr>
        <w:spacing w:line="360" w:lineRule="auto"/>
        <w:ind w:firstLine="420" w:firstLineChars="200"/>
        <w:rPr>
          <w:rFonts w:hAnsi="宋体"/>
          <w:color w:val="auto"/>
          <w:highlight w:val="none"/>
        </w:rPr>
      </w:pPr>
      <w:r>
        <w:rPr>
          <w:rFonts w:hint="eastAsia" w:hAnsi="宋体"/>
          <w:color w:val="auto"/>
          <w:highlight w:val="none"/>
        </w:rPr>
        <w:t>（</w:t>
      </w:r>
      <w:r>
        <w:rPr>
          <w:rFonts w:hAnsi="宋体"/>
          <w:color w:val="auto"/>
          <w:highlight w:val="none"/>
        </w:rPr>
        <w:t>4</w:t>
      </w:r>
      <w:r>
        <w:rPr>
          <w:rFonts w:hint="eastAsia" w:hAnsi="宋体"/>
          <w:color w:val="auto"/>
          <w:highlight w:val="none"/>
        </w:rPr>
        <w:t>）病毒发作导致不能进行正常操作的；</w:t>
      </w:r>
    </w:p>
    <w:p w14:paraId="7A88559D">
      <w:pPr>
        <w:spacing w:line="360" w:lineRule="auto"/>
        <w:ind w:firstLine="420" w:firstLineChars="200"/>
        <w:rPr>
          <w:rFonts w:hAnsi="宋体"/>
          <w:color w:val="auto"/>
          <w:highlight w:val="none"/>
        </w:rPr>
      </w:pPr>
      <w:r>
        <w:rPr>
          <w:rFonts w:hint="eastAsia" w:hAnsi="宋体"/>
          <w:color w:val="auto"/>
          <w:highlight w:val="none"/>
        </w:rPr>
        <w:t>（</w:t>
      </w:r>
      <w:r>
        <w:rPr>
          <w:rFonts w:hAnsi="宋体"/>
          <w:color w:val="auto"/>
          <w:highlight w:val="none"/>
        </w:rPr>
        <w:t>4</w:t>
      </w:r>
      <w:r>
        <w:rPr>
          <w:rFonts w:hint="eastAsia" w:hAnsi="宋体"/>
          <w:color w:val="auto"/>
          <w:highlight w:val="none"/>
        </w:rPr>
        <w:t>）其他无法保证电子交易的公平、公正和安全的情况。</w:t>
      </w:r>
    </w:p>
    <w:p w14:paraId="43C1D7A0">
      <w:pPr>
        <w:spacing w:line="360" w:lineRule="auto"/>
        <w:ind w:firstLine="420" w:firstLineChars="200"/>
        <w:rPr>
          <w:rFonts w:hAnsi="宋体"/>
          <w:color w:val="auto"/>
          <w:highlight w:val="none"/>
        </w:rPr>
      </w:pPr>
      <w:r>
        <w:rPr>
          <w:rFonts w:hAnsi="宋体"/>
          <w:color w:val="auto"/>
          <w:highlight w:val="none"/>
        </w:rPr>
        <w:t>29.4</w:t>
      </w:r>
      <w:r>
        <w:rPr>
          <w:rFonts w:hint="eastAsia" w:hAnsi="宋体"/>
          <w:color w:val="auto"/>
          <w:highlight w:val="none"/>
        </w:rPr>
        <w:t>出现以上情形，不影响采购公平、公正性的，采购组织机构可以待上述情形消除后继续组织电子交易活动；影响或可能影响采购公平、公正性的，经采购代理机构确认后，应当重新采购。采购代理机构必须对原有的资料及信息作出妥善保密处理，并报财政部门备案。</w:t>
      </w:r>
    </w:p>
    <w:p w14:paraId="1571BC5F">
      <w:pPr>
        <w:spacing w:line="360" w:lineRule="auto"/>
        <w:ind w:firstLine="420" w:firstLineChars="200"/>
        <w:rPr>
          <w:rFonts w:hAnsi="宋体"/>
          <w:color w:val="auto"/>
          <w:highlight w:val="none"/>
        </w:rPr>
      </w:pPr>
    </w:p>
    <w:p w14:paraId="7FB2F79E">
      <w:pPr>
        <w:pStyle w:val="7"/>
        <w:snapToGrid w:val="0"/>
        <w:spacing w:line="400" w:lineRule="exact"/>
        <w:ind w:firstLine="420" w:firstLineChars="200"/>
        <w:rPr>
          <w:rFonts w:hAnsi="宋体"/>
          <w:color w:val="auto"/>
          <w:highlight w:val="none"/>
        </w:rPr>
      </w:pPr>
    </w:p>
    <w:p w14:paraId="52C57B48">
      <w:pPr>
        <w:pStyle w:val="10"/>
        <w:keepNext w:val="0"/>
        <w:keepLines w:val="0"/>
        <w:spacing w:line="400" w:lineRule="exact"/>
        <w:jc w:val="center"/>
        <w:rPr>
          <w:color w:val="auto"/>
          <w:highlight w:val="none"/>
        </w:rPr>
      </w:pPr>
      <w:bookmarkStart w:id="111" w:name="_Toc254970546"/>
      <w:bookmarkStart w:id="112" w:name="_Toc254970687"/>
      <w:bookmarkStart w:id="113" w:name="_Toc187761560"/>
      <w:r>
        <w:rPr>
          <w:rFonts w:hint="eastAsia"/>
          <w:color w:val="auto"/>
          <w:highlight w:val="none"/>
        </w:rPr>
        <w:t>七、</w:t>
      </w:r>
      <w:bookmarkEnd w:id="111"/>
      <w:bookmarkEnd w:id="112"/>
      <w:r>
        <w:rPr>
          <w:rFonts w:hint="eastAsia"/>
          <w:color w:val="auto"/>
          <w:highlight w:val="none"/>
        </w:rPr>
        <w:t>中标和合同</w:t>
      </w:r>
      <w:bookmarkEnd w:id="113"/>
    </w:p>
    <w:p w14:paraId="6B9E4C6A">
      <w:pPr>
        <w:spacing w:line="360" w:lineRule="auto"/>
        <w:ind w:firstLine="480" w:firstLineChars="200"/>
        <w:rPr>
          <w:rFonts w:ascii="黑体" w:hAnsi="黑体" w:eastAsia="黑体"/>
          <w:color w:val="auto"/>
          <w:sz w:val="24"/>
          <w:highlight w:val="none"/>
        </w:rPr>
      </w:pPr>
      <w:r>
        <w:rPr>
          <w:rFonts w:hint="eastAsia" w:ascii="黑体" w:hAnsi="黑体" w:eastAsia="黑体"/>
          <w:color w:val="auto"/>
          <w:sz w:val="24"/>
          <w:highlight w:val="none"/>
        </w:rPr>
        <w:t>30.确定中标人</w:t>
      </w:r>
    </w:p>
    <w:p w14:paraId="1C3CAA45">
      <w:pPr>
        <w:spacing w:line="360" w:lineRule="auto"/>
        <w:ind w:firstLine="422" w:firstLineChars="200"/>
        <w:rPr>
          <w:rFonts w:ascii="宋体" w:hAnsi="宋体" w:cs="Courier New"/>
          <w:b/>
          <w:bCs/>
          <w:color w:val="auto"/>
          <w:szCs w:val="21"/>
          <w:highlight w:val="none"/>
        </w:rPr>
      </w:pPr>
      <w:r>
        <w:rPr>
          <w:rFonts w:hint="eastAsia" w:ascii="宋体" w:hAnsi="宋体" w:cs="Courier New"/>
          <w:b/>
          <w:bCs/>
          <w:color w:val="auto"/>
          <w:szCs w:val="21"/>
          <w:highlight w:val="none"/>
        </w:rPr>
        <w:t>30.1本项目授权评标委员会直接按第四章“评标方法及标准”的规定排列中标候选人顺序，并依照次序确定中标人。</w:t>
      </w:r>
    </w:p>
    <w:p w14:paraId="3984984E">
      <w:pPr>
        <w:spacing w:line="360" w:lineRule="auto"/>
        <w:ind w:firstLine="420" w:firstLineChars="200"/>
        <w:rPr>
          <w:rFonts w:ascii="宋体" w:hAnsi="宋体" w:cs="Courier New"/>
          <w:color w:val="auto"/>
          <w:szCs w:val="21"/>
          <w:highlight w:val="none"/>
        </w:rPr>
      </w:pPr>
      <w:r>
        <w:rPr>
          <w:rFonts w:hint="eastAsia" w:ascii="宋体" w:hAnsi="宋体" w:cs="Courier New"/>
          <w:color w:val="auto"/>
          <w:szCs w:val="21"/>
          <w:highlight w:val="none"/>
        </w:rPr>
        <w:t>30.2采购人、采购代理机构认为供应商对采购过程、中标结果提出的质疑成立且影响或者可能影响中标结果的，合格供应商符合法定数量时，可以从合格的中标候选人中另行确定中标人的，应当依法另行确定中标人；否则应当重新开展采购活动。</w:t>
      </w:r>
    </w:p>
    <w:p w14:paraId="3812FA78">
      <w:pPr>
        <w:spacing w:line="360" w:lineRule="auto"/>
        <w:ind w:firstLine="420" w:firstLineChars="200"/>
        <w:rPr>
          <w:rFonts w:ascii="宋体" w:hAnsi="宋体" w:cs="Courier New"/>
          <w:color w:val="auto"/>
          <w:szCs w:val="21"/>
          <w:highlight w:val="none"/>
        </w:rPr>
      </w:pPr>
      <w:r>
        <w:rPr>
          <w:rFonts w:hint="eastAsia" w:ascii="宋体" w:hAnsi="宋体" w:cs="Courier New"/>
          <w:color w:val="auto"/>
          <w:szCs w:val="21"/>
          <w:highlight w:val="none"/>
        </w:rPr>
        <w:t>30.3中标供应商无正当理由拒签合同的，根据《中华人民共和国政府采购法》第七十七条第一款规定处理。</w:t>
      </w:r>
    </w:p>
    <w:p w14:paraId="0E8CE77A">
      <w:pPr>
        <w:spacing w:line="360" w:lineRule="auto"/>
        <w:ind w:firstLine="420" w:firstLineChars="200"/>
        <w:rPr>
          <w:rFonts w:ascii="宋体" w:hAnsi="宋体" w:cs="Courier New"/>
          <w:color w:val="auto"/>
          <w:szCs w:val="21"/>
          <w:highlight w:val="none"/>
        </w:rPr>
      </w:pPr>
      <w:r>
        <w:rPr>
          <w:rFonts w:hint="eastAsia" w:ascii="宋体" w:hAnsi="宋体" w:cs="Courier New"/>
          <w:color w:val="auto"/>
          <w:szCs w:val="21"/>
          <w:highlight w:val="none"/>
        </w:rPr>
        <w:t>30.4根据《中华人民共和国民法典》</w:t>
      </w:r>
      <w:r>
        <w:rPr>
          <w:rFonts w:hint="eastAsia"/>
          <w:color w:val="auto"/>
          <w:sz w:val="19"/>
          <w:szCs w:val="19"/>
          <w:highlight w:val="none"/>
        </w:rPr>
        <w:t>第五百六十三条</w:t>
      </w:r>
      <w:r>
        <w:rPr>
          <w:rFonts w:hint="eastAsia" w:ascii="宋体" w:hAnsi="宋体" w:cs="Courier New"/>
          <w:color w:val="auto"/>
          <w:szCs w:val="21"/>
          <w:highlight w:val="none"/>
        </w:rPr>
        <w:t>，因不可抗力致使不能实现合同目的的，当事人可以解除合同。</w:t>
      </w:r>
    </w:p>
    <w:p w14:paraId="1E0A2ECE">
      <w:pPr>
        <w:spacing w:line="360" w:lineRule="auto"/>
        <w:ind w:firstLine="480" w:firstLineChars="200"/>
        <w:rPr>
          <w:rFonts w:ascii="黑体" w:hAnsi="黑体" w:eastAsia="黑体"/>
          <w:color w:val="auto"/>
          <w:sz w:val="24"/>
          <w:highlight w:val="none"/>
        </w:rPr>
      </w:pPr>
      <w:r>
        <w:rPr>
          <w:rFonts w:hint="eastAsia" w:ascii="黑体" w:hAnsi="黑体" w:eastAsia="黑体"/>
          <w:color w:val="auto"/>
          <w:sz w:val="24"/>
          <w:highlight w:val="none"/>
        </w:rPr>
        <w:t>31. 结果公告</w:t>
      </w:r>
    </w:p>
    <w:p w14:paraId="225C3722">
      <w:pPr>
        <w:spacing w:line="360" w:lineRule="auto"/>
        <w:ind w:firstLine="420" w:firstLineChars="200"/>
        <w:rPr>
          <w:rFonts w:hAnsi="宋体" w:cs="宋体"/>
          <w:color w:val="auto"/>
          <w:highlight w:val="none"/>
        </w:rPr>
      </w:pPr>
      <w:r>
        <w:rPr>
          <w:rFonts w:hAnsi="宋体"/>
          <w:color w:val="auto"/>
          <w:szCs w:val="21"/>
          <w:highlight w:val="none"/>
        </w:rPr>
        <w:t>31.1</w:t>
      </w:r>
      <w:r>
        <w:rPr>
          <w:rFonts w:hint="eastAsia" w:hAnsi="宋体" w:cs="宋体"/>
          <w:color w:val="auto"/>
          <w:highlight w:val="none"/>
        </w:rPr>
        <w:t>在中标供应商</w:t>
      </w:r>
      <w:r>
        <w:rPr>
          <w:rFonts w:hint="eastAsia" w:hAnsi="宋体" w:cs="Arial"/>
          <w:color w:val="auto"/>
          <w:highlight w:val="none"/>
        </w:rPr>
        <w:t>确定之日起</w:t>
      </w:r>
      <w:r>
        <w:rPr>
          <w:rFonts w:hAnsi="宋体" w:cs="宋体"/>
          <w:color w:val="auto"/>
          <w:highlight w:val="none"/>
        </w:rPr>
        <w:t>2</w:t>
      </w:r>
      <w:r>
        <w:rPr>
          <w:rFonts w:hint="eastAsia" w:hAnsi="宋体" w:cs="宋体"/>
          <w:color w:val="auto"/>
          <w:highlight w:val="none"/>
        </w:rPr>
        <w:t>个工作日内，由采购代理机构</w:t>
      </w:r>
      <w:r>
        <w:rPr>
          <w:rFonts w:hint="eastAsia" w:hAnsi="宋体"/>
          <w:b/>
          <w:color w:val="auto"/>
          <w:szCs w:val="21"/>
          <w:highlight w:val="none"/>
        </w:rPr>
        <w:t>在招标公告发布媒体上</w:t>
      </w:r>
      <w:r>
        <w:rPr>
          <w:rFonts w:hint="eastAsia" w:hAnsi="宋体" w:cs="宋体"/>
          <w:color w:val="auto"/>
          <w:highlight w:val="none"/>
        </w:rPr>
        <w:t>发布中标结果公告，中标结果公告期限为</w:t>
      </w:r>
      <w:r>
        <w:rPr>
          <w:rFonts w:hAnsi="宋体" w:cs="宋体"/>
          <w:color w:val="auto"/>
          <w:highlight w:val="none"/>
        </w:rPr>
        <w:t>1</w:t>
      </w:r>
      <w:r>
        <w:rPr>
          <w:rFonts w:hint="eastAsia" w:hAnsi="宋体" w:cs="宋体"/>
          <w:color w:val="auto"/>
          <w:highlight w:val="none"/>
        </w:rPr>
        <w:t>个工作日，发布中标结果公告的同时向中标供应商发出中标通知书。</w:t>
      </w:r>
      <w:r>
        <w:rPr>
          <w:rFonts w:hint="eastAsia" w:hAnsi="宋体"/>
          <w:b/>
          <w:color w:val="auto"/>
          <w:szCs w:val="21"/>
          <w:highlight w:val="none"/>
        </w:rPr>
        <w:t>采购代理机构发出中标通知书前，应当对中标人信用进行核实，对列入失信被执行人、重大税收违法失信主体、政府采购严重违法失信行为记录名单及其他不符合《中华人民共和国政府采购法》第二十二条规定条件的投标人，取消其中标资格，并确定排名第二的中标候选人为中标人。</w:t>
      </w:r>
      <w:r>
        <w:rPr>
          <w:rFonts w:hint="eastAsia" w:hAnsi="宋体"/>
          <w:color w:val="auto"/>
          <w:szCs w:val="21"/>
          <w:highlight w:val="none"/>
        </w:rPr>
        <w:t>排名第二的中标候选人因前款规定的同样原因被取消中标资格的，</w:t>
      </w:r>
      <w:r>
        <w:rPr>
          <w:rFonts w:hint="eastAsia" w:hAnsi="宋体" w:cs="Courier New"/>
          <w:color w:val="auto"/>
          <w:szCs w:val="21"/>
          <w:highlight w:val="none"/>
        </w:rPr>
        <w:t>授权的评标委员会</w:t>
      </w:r>
      <w:r>
        <w:rPr>
          <w:rFonts w:hint="eastAsia" w:hAnsi="宋体"/>
          <w:color w:val="auto"/>
          <w:szCs w:val="21"/>
          <w:highlight w:val="none"/>
        </w:rPr>
        <w:t>可以确定排名第三的中标候选人为中标人，以此类推。</w:t>
      </w:r>
    </w:p>
    <w:p w14:paraId="60D6F7D9">
      <w:pPr>
        <w:spacing w:line="360" w:lineRule="auto"/>
        <w:ind w:firstLine="420" w:firstLineChars="200"/>
        <w:rPr>
          <w:rFonts w:ascii="宋体" w:hAnsi="宋体"/>
          <w:color w:val="auto"/>
          <w:szCs w:val="21"/>
          <w:highlight w:val="none"/>
        </w:rPr>
      </w:pPr>
      <w:r>
        <w:rPr>
          <w:rFonts w:hint="eastAsia" w:ascii="宋体" w:hAnsi="宋体"/>
          <w:color w:val="auto"/>
          <w:szCs w:val="21"/>
          <w:highlight w:val="none"/>
        </w:rPr>
        <w:t>以上信息查询记录及相关证据与采购文件一并保存。</w:t>
      </w:r>
    </w:p>
    <w:p w14:paraId="4280B551">
      <w:pPr>
        <w:spacing w:line="360" w:lineRule="auto"/>
        <w:ind w:firstLine="420" w:firstLineChars="200"/>
        <w:rPr>
          <w:rFonts w:ascii="宋体" w:hAnsi="宋体" w:cs="Courier New"/>
          <w:color w:val="auto"/>
          <w:szCs w:val="21"/>
          <w:highlight w:val="none"/>
        </w:rPr>
      </w:pPr>
      <w:r>
        <w:rPr>
          <w:rFonts w:hint="eastAsia" w:ascii="宋体" w:hAnsi="宋体" w:cs="Courier New"/>
          <w:color w:val="auto"/>
          <w:szCs w:val="21"/>
          <w:highlight w:val="none"/>
        </w:rPr>
        <w:t>31.2中小企业在政府采购活动过程中，请根据企业的真实情况出具《中小企业声明函》。依法享受中小企业优惠政策的，采购人或者采购代理机构在公告中标结果时，同时公告其《中小企业声明函》，接受社会监督。</w:t>
      </w:r>
    </w:p>
    <w:p w14:paraId="69B2569F">
      <w:pPr>
        <w:spacing w:line="360" w:lineRule="auto"/>
        <w:ind w:firstLine="480" w:firstLineChars="200"/>
        <w:rPr>
          <w:rFonts w:ascii="黑体" w:hAnsi="黑体" w:eastAsia="黑体"/>
          <w:color w:val="auto"/>
          <w:sz w:val="24"/>
          <w:highlight w:val="none"/>
        </w:rPr>
      </w:pPr>
      <w:r>
        <w:rPr>
          <w:rFonts w:hint="eastAsia" w:ascii="黑体" w:hAnsi="黑体" w:eastAsia="黑体"/>
          <w:color w:val="auto"/>
          <w:sz w:val="24"/>
          <w:highlight w:val="none"/>
        </w:rPr>
        <w:t>32.发出中标通知书</w:t>
      </w:r>
    </w:p>
    <w:p w14:paraId="4E64DD13">
      <w:pPr>
        <w:spacing w:line="360" w:lineRule="auto"/>
        <w:ind w:firstLine="422" w:firstLineChars="200"/>
        <w:rPr>
          <w:rFonts w:ascii="宋体" w:hAnsi="宋体"/>
          <w:b/>
          <w:color w:val="auto"/>
          <w:szCs w:val="21"/>
          <w:highlight w:val="none"/>
        </w:rPr>
      </w:pPr>
      <w:r>
        <w:rPr>
          <w:rFonts w:hint="eastAsia" w:ascii="宋体" w:hAnsi="宋体"/>
          <w:b/>
          <w:color w:val="auto"/>
          <w:szCs w:val="21"/>
          <w:highlight w:val="none"/>
        </w:rPr>
        <w:t>32.1在发布中标公告的同时，采购代理机构向中标人通过“广西政府采购云”平台发出电子中标通知书。</w:t>
      </w:r>
    </w:p>
    <w:p w14:paraId="1D7587B7">
      <w:pPr>
        <w:spacing w:line="360" w:lineRule="auto"/>
        <w:ind w:firstLine="422" w:firstLineChars="200"/>
        <w:rPr>
          <w:rFonts w:ascii="宋体" w:hAnsi="宋体"/>
          <w:b/>
          <w:color w:val="auto"/>
          <w:szCs w:val="21"/>
          <w:highlight w:val="none"/>
        </w:rPr>
      </w:pPr>
      <w:r>
        <w:rPr>
          <w:rFonts w:hint="eastAsia" w:ascii="宋体" w:hAnsi="宋体"/>
          <w:b/>
          <w:color w:val="auto"/>
          <w:szCs w:val="21"/>
          <w:highlight w:val="none"/>
        </w:rPr>
        <w:t>32.2对未通过资格审查的投标人，采购人或采购机构应当告知其未通过的原因；采用综合评分办法评审的，采购人或采购机构还应当告知未中标人本人的评审得分与排序。</w:t>
      </w:r>
    </w:p>
    <w:p w14:paraId="12ECEF60">
      <w:pPr>
        <w:spacing w:line="360" w:lineRule="auto"/>
        <w:ind w:firstLine="480" w:firstLineChars="200"/>
        <w:rPr>
          <w:rFonts w:ascii="黑体" w:hAnsi="黑体" w:eastAsia="黑体"/>
          <w:color w:val="auto"/>
          <w:sz w:val="24"/>
          <w:highlight w:val="none"/>
        </w:rPr>
      </w:pPr>
      <w:r>
        <w:rPr>
          <w:rFonts w:hint="eastAsia" w:ascii="黑体" w:hAnsi="黑体" w:eastAsia="黑体"/>
          <w:color w:val="auto"/>
          <w:sz w:val="24"/>
          <w:highlight w:val="none"/>
        </w:rPr>
        <w:t>33. 无义务解释未中标原因</w:t>
      </w:r>
    </w:p>
    <w:p w14:paraId="1E1322FD">
      <w:pPr>
        <w:spacing w:line="360" w:lineRule="auto"/>
        <w:ind w:firstLine="422" w:firstLineChars="200"/>
        <w:rPr>
          <w:rFonts w:ascii="宋体" w:hAnsi="宋体"/>
          <w:b/>
          <w:color w:val="auto"/>
          <w:szCs w:val="21"/>
          <w:highlight w:val="none"/>
        </w:rPr>
      </w:pPr>
      <w:r>
        <w:rPr>
          <w:rFonts w:hint="eastAsia" w:ascii="宋体" w:hAnsi="宋体"/>
          <w:b/>
          <w:color w:val="auto"/>
          <w:szCs w:val="21"/>
          <w:highlight w:val="none"/>
        </w:rPr>
        <w:t>采购代理机构无义务向未中标的投标人解释未中标原因和退还投标文件。</w:t>
      </w:r>
    </w:p>
    <w:p w14:paraId="50E71F79">
      <w:pPr>
        <w:spacing w:line="360" w:lineRule="auto"/>
        <w:ind w:firstLine="480" w:firstLineChars="200"/>
        <w:rPr>
          <w:rFonts w:ascii="黑体" w:hAnsi="黑体" w:eastAsia="黑体"/>
          <w:color w:val="auto"/>
          <w:sz w:val="24"/>
          <w:highlight w:val="none"/>
        </w:rPr>
      </w:pPr>
      <w:r>
        <w:rPr>
          <w:rFonts w:hint="eastAsia" w:ascii="黑体" w:hAnsi="黑体" w:eastAsia="黑体"/>
          <w:color w:val="auto"/>
          <w:sz w:val="24"/>
          <w:highlight w:val="none"/>
        </w:rPr>
        <w:t>34.合同授予标准</w:t>
      </w:r>
    </w:p>
    <w:p w14:paraId="24175626">
      <w:pPr>
        <w:spacing w:line="360" w:lineRule="auto"/>
        <w:ind w:firstLine="420" w:firstLineChars="200"/>
        <w:rPr>
          <w:rFonts w:ascii="宋体" w:hAnsi="宋体"/>
          <w:color w:val="auto"/>
          <w:szCs w:val="21"/>
          <w:highlight w:val="none"/>
        </w:rPr>
      </w:pPr>
      <w:r>
        <w:rPr>
          <w:rFonts w:hint="eastAsia" w:ascii="宋体" w:hAnsi="宋体" w:cs="Courier New"/>
          <w:color w:val="auto"/>
          <w:szCs w:val="21"/>
          <w:highlight w:val="none"/>
        </w:rPr>
        <w:t>合同将授予被确定实质上响应招标文件要求，具备履行合同能力的中标人（招标文件另有约定多名中标人的除外）。</w:t>
      </w:r>
    </w:p>
    <w:p w14:paraId="7E7708A8">
      <w:pPr>
        <w:spacing w:line="360" w:lineRule="auto"/>
        <w:ind w:firstLine="480" w:firstLineChars="200"/>
        <w:rPr>
          <w:rFonts w:ascii="黑体" w:hAnsi="黑体" w:eastAsia="黑体"/>
          <w:color w:val="auto"/>
          <w:sz w:val="24"/>
          <w:highlight w:val="none"/>
        </w:rPr>
      </w:pPr>
      <w:r>
        <w:rPr>
          <w:rFonts w:hint="eastAsia" w:ascii="黑体" w:hAnsi="黑体" w:eastAsia="黑体"/>
          <w:color w:val="auto"/>
          <w:sz w:val="24"/>
          <w:highlight w:val="none"/>
        </w:rPr>
        <w:t>35.履约保证金</w:t>
      </w:r>
    </w:p>
    <w:p w14:paraId="2D453B32">
      <w:pPr>
        <w:spacing w:line="360" w:lineRule="auto"/>
        <w:ind w:firstLine="420" w:firstLineChars="200"/>
        <w:rPr>
          <w:rFonts w:ascii="宋体" w:hAnsi="宋体" w:cs="方正仿宋_GB2312"/>
          <w:color w:val="auto"/>
          <w:szCs w:val="21"/>
          <w:highlight w:val="none"/>
        </w:rPr>
      </w:pPr>
      <w:bookmarkStart w:id="114" w:name="_39.1中标人须于签订合同前按本须知前附表规定的金额转账或电汇到指定账"/>
      <w:bookmarkEnd w:id="114"/>
      <w:r>
        <w:rPr>
          <w:rFonts w:hint="eastAsia" w:ascii="宋体" w:hAnsi="宋体" w:cs="方正仿宋_GB2312"/>
          <w:color w:val="auto"/>
          <w:szCs w:val="21"/>
          <w:highlight w:val="none"/>
        </w:rPr>
        <w:t>见“投标人须知前附表”。</w:t>
      </w:r>
    </w:p>
    <w:p w14:paraId="0CA0124B">
      <w:pPr>
        <w:spacing w:line="360" w:lineRule="auto"/>
        <w:ind w:firstLine="480" w:firstLineChars="200"/>
        <w:rPr>
          <w:rFonts w:ascii="黑体" w:hAnsi="黑体" w:eastAsia="黑体"/>
          <w:color w:val="auto"/>
          <w:sz w:val="24"/>
          <w:highlight w:val="none"/>
        </w:rPr>
      </w:pPr>
      <w:r>
        <w:rPr>
          <w:rFonts w:hint="eastAsia" w:ascii="黑体" w:hAnsi="黑体" w:eastAsia="黑体"/>
          <w:color w:val="auto"/>
          <w:sz w:val="24"/>
          <w:highlight w:val="none"/>
        </w:rPr>
        <w:t>36.签订合同</w:t>
      </w:r>
    </w:p>
    <w:p w14:paraId="1874187A">
      <w:pPr>
        <w:pStyle w:val="77"/>
        <w:snapToGrid w:val="0"/>
        <w:spacing w:before="0"/>
        <w:ind w:firstLine="422"/>
        <w:rPr>
          <w:rFonts w:ascii="宋体" w:hAnsi="宋体"/>
          <w:color w:val="auto"/>
          <w:kern w:val="0"/>
          <w:sz w:val="21"/>
          <w:szCs w:val="21"/>
          <w:highlight w:val="none"/>
          <w:lang w:val="zh-CN"/>
        </w:rPr>
      </w:pPr>
      <w:bookmarkStart w:id="115" w:name="_40.1投标人接到中标通知书后，按须知前附表规定向采购人出示相关资格证"/>
      <w:bookmarkEnd w:id="115"/>
      <w:r>
        <w:rPr>
          <w:rFonts w:hint="eastAsia" w:ascii="宋体" w:hAnsi="宋体"/>
          <w:b/>
          <w:color w:val="auto"/>
          <w:sz w:val="21"/>
          <w:szCs w:val="21"/>
          <w:highlight w:val="none"/>
        </w:rPr>
        <w:t xml:space="preserve"> 36.1中标人领取电子中标通知书后，</w:t>
      </w:r>
      <w:r>
        <w:rPr>
          <w:rFonts w:hint="eastAsia" w:ascii="宋体" w:hAnsi="宋体"/>
          <w:color w:val="auto"/>
          <w:kern w:val="0"/>
          <w:sz w:val="21"/>
          <w:szCs w:val="21"/>
          <w:highlight w:val="none"/>
          <w:lang w:val="zh-CN"/>
        </w:rPr>
        <w:t>按规定的日期、时间、地点，由法定代表人或其授权代表与采购人代表签订电子采购合同。如中标人为联合体的，由联合体成员各方法定代表人或其授权代表与采购人代表签订合同，签订携带资料详见“投标人须知前附表”。</w:t>
      </w:r>
    </w:p>
    <w:p w14:paraId="7FE4747B">
      <w:pPr>
        <w:pStyle w:val="77"/>
        <w:snapToGrid w:val="0"/>
        <w:spacing w:before="0"/>
        <w:ind w:firstLine="420"/>
        <w:rPr>
          <w:rFonts w:ascii="宋体" w:hAnsi="宋体"/>
          <w:color w:val="auto"/>
          <w:kern w:val="0"/>
          <w:sz w:val="21"/>
          <w:szCs w:val="21"/>
          <w:highlight w:val="none"/>
          <w:lang w:val="zh-CN"/>
        </w:rPr>
      </w:pPr>
      <w:r>
        <w:rPr>
          <w:rFonts w:hint="eastAsia" w:ascii="宋体" w:hAnsi="宋体"/>
          <w:color w:val="auto"/>
          <w:kern w:val="0"/>
          <w:sz w:val="21"/>
          <w:szCs w:val="21"/>
          <w:highlight w:val="none"/>
          <w:lang w:val="zh-CN"/>
        </w:rPr>
        <w:t>36.2</w:t>
      </w:r>
      <w:r>
        <w:rPr>
          <w:rFonts w:hint="eastAsia" w:ascii="宋体" w:hAnsi="宋体" w:cs="方正仿宋_GB2312"/>
          <w:color w:val="auto"/>
          <w:sz w:val="21"/>
          <w:szCs w:val="21"/>
          <w:highlight w:val="none"/>
        </w:rPr>
        <w:t>采购合同由采购人与中标供应商根据招标文件、投标文件等内容通过政府采购电子交易平台在线签订，自动备案。</w:t>
      </w:r>
    </w:p>
    <w:p w14:paraId="067B7F6D">
      <w:pPr>
        <w:pStyle w:val="77"/>
        <w:snapToGrid w:val="0"/>
        <w:spacing w:before="0"/>
        <w:ind w:firstLine="420"/>
        <w:rPr>
          <w:rFonts w:ascii="宋体" w:hAnsi="宋体" w:cs="方正仿宋_GB2312"/>
          <w:color w:val="auto"/>
          <w:sz w:val="21"/>
          <w:szCs w:val="21"/>
          <w:highlight w:val="none"/>
        </w:rPr>
      </w:pPr>
      <w:r>
        <w:rPr>
          <w:rFonts w:hint="eastAsia" w:ascii="宋体" w:hAnsi="宋体"/>
          <w:color w:val="auto"/>
          <w:sz w:val="21"/>
          <w:szCs w:val="21"/>
          <w:highlight w:val="none"/>
        </w:rPr>
        <w:t>36.3签订合同时间：按中标通知书规定的时间与采购人签订合同（最长不能超过25日）。</w:t>
      </w:r>
    </w:p>
    <w:p w14:paraId="17A50B04">
      <w:pPr>
        <w:spacing w:line="360" w:lineRule="auto"/>
        <w:ind w:firstLine="420" w:firstLineChars="200"/>
        <w:rPr>
          <w:rFonts w:ascii="宋体" w:hAnsi="宋体"/>
          <w:color w:val="auto"/>
          <w:szCs w:val="21"/>
          <w:highlight w:val="none"/>
        </w:rPr>
      </w:pPr>
      <w:r>
        <w:rPr>
          <w:rFonts w:hint="eastAsia" w:ascii="宋体" w:hAnsi="宋体"/>
          <w:color w:val="auto"/>
          <w:szCs w:val="21"/>
          <w:highlight w:val="none"/>
        </w:rPr>
        <w:t>36.4中标人拒绝与采购人签订合同的，采购人可以按照评审报告推荐的中标候选人名单排序，确定下一候选人为中标人，也可以重新开展政府采购活动。如采购人无正当理由拒签合同的，给中标供应商造成损失的，中标供应商可追究采购人承担相应的法律责任。</w:t>
      </w:r>
    </w:p>
    <w:p w14:paraId="470E8FFF">
      <w:pPr>
        <w:spacing w:line="360" w:lineRule="auto"/>
        <w:ind w:firstLine="420" w:firstLineChars="200"/>
        <w:rPr>
          <w:rFonts w:ascii="宋体" w:hAnsi="宋体"/>
          <w:color w:val="auto"/>
          <w:szCs w:val="21"/>
          <w:highlight w:val="none"/>
        </w:rPr>
      </w:pPr>
      <w:r>
        <w:rPr>
          <w:rFonts w:hint="eastAsia" w:ascii="宋体" w:hAnsi="宋体"/>
          <w:color w:val="auto"/>
          <w:szCs w:val="21"/>
          <w:highlight w:val="none"/>
        </w:rPr>
        <w:t>36.5政府采购合同是政府采购项目验收的依据，中标供应商和采购人应当按照采购合同约定的各自的权利和义务全面履行合同。任何一方当事人在履行合同过程中均不得擅自变更、中止或终止合同。政府采购合同继续履行将损害国家利益和社会公共利益的，双方当事人应当变更、中止或终止合同。有过错的一方应当承担赔偿责任，双方都有过错的，各自承担相应的责任。</w:t>
      </w:r>
    </w:p>
    <w:p w14:paraId="31F32BB3">
      <w:pPr>
        <w:spacing w:line="360" w:lineRule="auto"/>
        <w:ind w:firstLine="420" w:firstLineChars="200"/>
        <w:rPr>
          <w:rFonts w:ascii="宋体" w:hAnsi="宋体"/>
          <w:color w:val="auto"/>
          <w:szCs w:val="21"/>
          <w:highlight w:val="none"/>
        </w:rPr>
      </w:pPr>
      <w:r>
        <w:rPr>
          <w:rFonts w:hint="eastAsia" w:ascii="宋体" w:hAnsi="宋体"/>
          <w:color w:val="auto"/>
          <w:szCs w:val="21"/>
          <w:highlight w:val="none"/>
        </w:rPr>
        <w:t>36.6采购人或中标供应商不得单方面向合同另一方提出任何招标文件没有约定的条件或不合理的要求，作为签订合同的条件；也不得协商另行订立背离招标文件和合同实质性内容的协议。</w:t>
      </w:r>
    </w:p>
    <w:p w14:paraId="6FDDE0D8">
      <w:pPr>
        <w:spacing w:line="360" w:lineRule="auto"/>
        <w:ind w:firstLine="420" w:firstLineChars="200"/>
        <w:rPr>
          <w:rFonts w:ascii="宋体" w:hAnsi="宋体"/>
          <w:color w:val="auto"/>
          <w:szCs w:val="21"/>
          <w:highlight w:val="none"/>
        </w:rPr>
      </w:pPr>
      <w:r>
        <w:rPr>
          <w:rFonts w:hint="eastAsia" w:ascii="宋体" w:hAnsi="宋体"/>
          <w:color w:val="auto"/>
          <w:szCs w:val="21"/>
          <w:highlight w:val="none"/>
        </w:rPr>
        <w:t>36.7</w:t>
      </w:r>
      <w:r>
        <w:rPr>
          <w:rFonts w:hint="eastAsia" w:ascii="宋体" w:hAnsi="宋体" w:cs="方正仿宋_GB2312"/>
          <w:color w:val="auto"/>
          <w:szCs w:val="21"/>
          <w:highlight w:val="none"/>
        </w:rPr>
        <w:t>如签订合同并生效后，供应商无故拒绝或延期，除按照合同条款处理外，将承担相应的法律责任。</w:t>
      </w:r>
    </w:p>
    <w:p w14:paraId="1708822D">
      <w:pPr>
        <w:spacing w:line="360" w:lineRule="auto"/>
        <w:ind w:firstLine="422" w:firstLineChars="200"/>
        <w:rPr>
          <w:rFonts w:ascii="宋体" w:hAnsi="宋体"/>
          <w:b/>
          <w:color w:val="auto"/>
          <w:szCs w:val="21"/>
          <w:highlight w:val="none"/>
        </w:rPr>
      </w:pPr>
      <w:r>
        <w:rPr>
          <w:rFonts w:hint="eastAsia" w:ascii="宋体" w:hAnsi="宋体"/>
          <w:b/>
          <w:color w:val="auto"/>
          <w:szCs w:val="21"/>
          <w:highlight w:val="none"/>
        </w:rPr>
        <w:t>36.8采购人需追加与合同标的相同的货物或者服务的，在不改变原合同条款且已报财政部门批准落实资金的前提下，可从原中标供应商处添购， 所签订的补充添置合同的采购资金总额不超过原采购合同金额的10%。</w:t>
      </w:r>
    </w:p>
    <w:p w14:paraId="2C59B71C">
      <w:pPr>
        <w:spacing w:line="360" w:lineRule="auto"/>
        <w:ind w:firstLine="480" w:firstLineChars="200"/>
        <w:rPr>
          <w:rFonts w:ascii="黑体" w:hAnsi="黑体" w:eastAsia="黑体"/>
          <w:color w:val="auto"/>
          <w:sz w:val="24"/>
          <w:highlight w:val="none"/>
        </w:rPr>
      </w:pPr>
      <w:bookmarkStart w:id="116" w:name="_41.政府采购合同公告"/>
      <w:bookmarkEnd w:id="116"/>
      <w:r>
        <w:rPr>
          <w:rFonts w:hint="eastAsia" w:ascii="黑体" w:hAnsi="黑体" w:eastAsia="黑体"/>
          <w:color w:val="auto"/>
          <w:sz w:val="24"/>
          <w:highlight w:val="none"/>
        </w:rPr>
        <w:t>37.政府采购合同公告</w:t>
      </w:r>
    </w:p>
    <w:p w14:paraId="18EC6D22">
      <w:pPr>
        <w:spacing w:line="360" w:lineRule="auto"/>
        <w:ind w:firstLine="420" w:firstLineChars="200"/>
        <w:rPr>
          <w:rFonts w:ascii="宋体" w:hAnsi="宋体"/>
          <w:color w:val="auto"/>
          <w:highlight w:val="none"/>
        </w:rPr>
      </w:pPr>
      <w:r>
        <w:rPr>
          <w:rFonts w:hint="eastAsia" w:hAnsi="宋体"/>
          <w:color w:val="auto"/>
          <w:highlight w:val="none"/>
        </w:rPr>
        <w:t>采购人或者受托采购代理机构应当自政府采购合同签订之日起</w:t>
      </w:r>
      <w:r>
        <w:rPr>
          <w:rFonts w:hAnsi="宋体"/>
          <w:color w:val="auto"/>
          <w:highlight w:val="none"/>
        </w:rPr>
        <w:t>2</w:t>
      </w:r>
      <w:r>
        <w:rPr>
          <w:rFonts w:hint="eastAsia" w:hAnsi="宋体"/>
          <w:color w:val="auto"/>
          <w:highlight w:val="none"/>
        </w:rPr>
        <w:t>个工作日内，将政府采购合同</w:t>
      </w:r>
      <w:r>
        <w:rPr>
          <w:rFonts w:hint="eastAsia" w:ascii="宋体" w:hAnsi="宋体"/>
          <w:bCs/>
          <w:color w:val="auto"/>
          <w:highlight w:val="none"/>
        </w:rPr>
        <w:t>在以下媒体上发布</w:t>
      </w:r>
      <w:r>
        <w:rPr>
          <w:rFonts w:hint="eastAsia" w:ascii="宋体" w:hAnsi="宋体" w:cs="宋体"/>
          <w:color w:val="auto"/>
          <w:kern w:val="0"/>
          <w:szCs w:val="21"/>
          <w:highlight w:val="none"/>
        </w:rPr>
        <w:t xml:space="preserve"> “广西政府采购网”（http://zfcg.gxzf.gov.cn）</w:t>
      </w:r>
      <w:r>
        <w:rPr>
          <w:rFonts w:hint="eastAsia" w:hAnsi="宋体"/>
          <w:color w:val="auto"/>
          <w:highlight w:val="none"/>
        </w:rPr>
        <w:t>上公告，但政府采购合同中涉及国家秘密、商业秘密的内容除外。</w:t>
      </w:r>
    </w:p>
    <w:p w14:paraId="0DD5A556">
      <w:pPr>
        <w:spacing w:line="360" w:lineRule="auto"/>
        <w:ind w:firstLine="480" w:firstLineChars="200"/>
        <w:rPr>
          <w:rFonts w:ascii="黑体" w:hAnsi="黑体" w:eastAsia="黑体"/>
          <w:color w:val="auto"/>
          <w:sz w:val="24"/>
          <w:highlight w:val="none"/>
        </w:rPr>
      </w:pPr>
      <w:r>
        <w:rPr>
          <w:rFonts w:hint="eastAsia" w:ascii="黑体" w:hAnsi="黑体" w:eastAsia="黑体"/>
          <w:color w:val="auto"/>
          <w:sz w:val="24"/>
          <w:highlight w:val="none"/>
        </w:rPr>
        <w:t>38. 询问、质疑和投诉</w:t>
      </w:r>
    </w:p>
    <w:p w14:paraId="2E027928">
      <w:pPr>
        <w:spacing w:line="360" w:lineRule="auto"/>
        <w:ind w:firstLine="422" w:firstLineChars="200"/>
        <w:rPr>
          <w:rFonts w:hAnsi="宋体"/>
          <w:b/>
          <w:color w:val="auto"/>
          <w:szCs w:val="21"/>
          <w:highlight w:val="none"/>
        </w:rPr>
      </w:pPr>
      <w:r>
        <w:rPr>
          <w:rFonts w:hAnsi="宋体"/>
          <w:b/>
          <w:color w:val="auto"/>
          <w:szCs w:val="21"/>
          <w:highlight w:val="none"/>
        </w:rPr>
        <w:t>38.1</w:t>
      </w:r>
      <w:r>
        <w:rPr>
          <w:rFonts w:hint="eastAsia" w:hAnsi="宋体"/>
          <w:b/>
          <w:color w:val="auto"/>
          <w:szCs w:val="21"/>
          <w:highlight w:val="none"/>
        </w:rPr>
        <w:t>询问</w:t>
      </w:r>
    </w:p>
    <w:p w14:paraId="0DB72B95">
      <w:pPr>
        <w:spacing w:line="360" w:lineRule="auto"/>
        <w:ind w:firstLine="420" w:firstLineChars="200"/>
        <w:rPr>
          <w:rFonts w:hAnsi="宋体"/>
          <w:bCs/>
          <w:color w:val="auto"/>
          <w:szCs w:val="21"/>
          <w:highlight w:val="none"/>
        </w:rPr>
      </w:pPr>
      <w:r>
        <w:rPr>
          <w:rFonts w:hAnsi="宋体"/>
          <w:bCs/>
          <w:color w:val="auto"/>
          <w:szCs w:val="21"/>
          <w:highlight w:val="none"/>
        </w:rPr>
        <w:t>38.1.1</w:t>
      </w:r>
      <w:r>
        <w:rPr>
          <w:rFonts w:hint="eastAsia" w:hAnsi="宋体"/>
          <w:bCs/>
          <w:color w:val="auto"/>
          <w:szCs w:val="21"/>
          <w:highlight w:val="none"/>
        </w:rPr>
        <w:t>供应商在开标前对政府采购活动事项有疑问的，可以向采购人或采购代理机构项目负责人提出询问。</w:t>
      </w:r>
    </w:p>
    <w:p w14:paraId="40520E95">
      <w:pPr>
        <w:spacing w:line="360" w:lineRule="auto"/>
        <w:ind w:firstLine="420" w:firstLineChars="200"/>
        <w:rPr>
          <w:rFonts w:hAnsi="宋体"/>
          <w:bCs/>
          <w:color w:val="auto"/>
          <w:szCs w:val="21"/>
          <w:highlight w:val="none"/>
        </w:rPr>
      </w:pPr>
      <w:r>
        <w:rPr>
          <w:rFonts w:hAnsi="宋体"/>
          <w:bCs/>
          <w:color w:val="auto"/>
          <w:szCs w:val="21"/>
          <w:highlight w:val="none"/>
        </w:rPr>
        <w:t>38.1.2</w:t>
      </w:r>
      <w:r>
        <w:rPr>
          <w:rFonts w:hint="eastAsia" w:hAnsi="宋体"/>
          <w:bCs/>
          <w:color w:val="auto"/>
          <w:szCs w:val="21"/>
          <w:highlight w:val="none"/>
        </w:rPr>
        <w:t>采购人或采购人委托的采购代理机构自受理询问之日起</w:t>
      </w:r>
      <w:r>
        <w:rPr>
          <w:rFonts w:hAnsi="宋体"/>
          <w:bCs/>
          <w:color w:val="auto"/>
          <w:szCs w:val="21"/>
          <w:highlight w:val="none"/>
        </w:rPr>
        <w:t>3</w:t>
      </w:r>
      <w:r>
        <w:rPr>
          <w:rFonts w:hint="eastAsia" w:hAnsi="宋体"/>
          <w:bCs/>
          <w:color w:val="auto"/>
          <w:szCs w:val="21"/>
          <w:highlight w:val="none"/>
        </w:rPr>
        <w:t>个工作日内对供应商依法提出的询问作出答复，</w:t>
      </w:r>
      <w:r>
        <w:rPr>
          <w:rFonts w:hint="eastAsia"/>
          <w:color w:val="auto"/>
          <w:highlight w:val="none"/>
        </w:rPr>
        <w:t>但答复内容不得涉及商业秘密</w:t>
      </w:r>
      <w:r>
        <w:rPr>
          <w:rFonts w:hint="eastAsia" w:hAnsi="宋体"/>
          <w:bCs/>
          <w:color w:val="auto"/>
          <w:szCs w:val="21"/>
          <w:highlight w:val="none"/>
        </w:rPr>
        <w:t>。</w:t>
      </w:r>
    </w:p>
    <w:p w14:paraId="52847554">
      <w:pPr>
        <w:spacing w:line="360" w:lineRule="auto"/>
        <w:ind w:firstLine="420" w:firstLineChars="200"/>
        <w:rPr>
          <w:rFonts w:hAnsi="宋体"/>
          <w:bCs/>
          <w:color w:val="auto"/>
          <w:szCs w:val="21"/>
          <w:highlight w:val="none"/>
        </w:rPr>
      </w:pPr>
      <w:r>
        <w:rPr>
          <w:rFonts w:hAnsi="宋体"/>
          <w:bCs/>
          <w:color w:val="auto"/>
          <w:szCs w:val="21"/>
          <w:highlight w:val="none"/>
        </w:rPr>
        <w:t xml:space="preserve">38.1.3 </w:t>
      </w:r>
      <w:r>
        <w:rPr>
          <w:rFonts w:hint="eastAsia" w:hAnsi="宋体"/>
          <w:bCs/>
          <w:color w:val="auto"/>
          <w:szCs w:val="21"/>
          <w:highlight w:val="none"/>
        </w:rPr>
        <w:t>询问事项可能影响中标、成交结果的，采购人应当暂停签订合同，已经签订合同的，应当中止履行合同。</w:t>
      </w:r>
    </w:p>
    <w:p w14:paraId="56CF836B">
      <w:pPr>
        <w:spacing w:line="360" w:lineRule="auto"/>
        <w:ind w:firstLine="420" w:firstLineChars="200"/>
        <w:rPr>
          <w:rFonts w:ascii="宋体" w:hAnsi="宋体"/>
          <w:color w:val="auto"/>
          <w:szCs w:val="21"/>
          <w:highlight w:val="none"/>
        </w:rPr>
      </w:pPr>
      <w:r>
        <w:rPr>
          <w:rFonts w:hint="eastAsia" w:ascii="宋体" w:hAnsi="宋体"/>
          <w:color w:val="auto"/>
          <w:szCs w:val="21"/>
          <w:highlight w:val="none"/>
        </w:rPr>
        <w:t>38.2质疑</w:t>
      </w:r>
    </w:p>
    <w:p w14:paraId="128FCAB1">
      <w:pPr>
        <w:spacing w:line="360" w:lineRule="auto"/>
        <w:ind w:firstLine="420" w:firstLineChars="200"/>
        <w:rPr>
          <w:rFonts w:ascii="宋体" w:hAnsi="宋体"/>
          <w:b/>
          <w:color w:val="auto"/>
          <w:szCs w:val="21"/>
          <w:highlight w:val="none"/>
        </w:rPr>
      </w:pPr>
      <w:r>
        <w:rPr>
          <w:rFonts w:hint="eastAsia" w:ascii="宋体" w:hAnsi="宋体"/>
          <w:color w:val="auto"/>
          <w:szCs w:val="21"/>
          <w:highlight w:val="none"/>
        </w:rPr>
        <w:t>38.2.1</w:t>
      </w:r>
      <w:r>
        <w:rPr>
          <w:rFonts w:hint="eastAsia" w:ascii="宋体" w:hAnsi="宋体"/>
          <w:b/>
          <w:color w:val="auto"/>
          <w:szCs w:val="21"/>
          <w:highlight w:val="none"/>
        </w:rPr>
        <w:t xml:space="preserve">供应商认为招标文件、采购过程或者中标结果使自己的合法权益受到损害的，必须在知道或者应知其权益受到损害之日起7个工作日内，以书面形式向采购人、采购代理机构提出质疑，质疑有效期结束后，采购人或采购代理机构不再受理该项目质疑。采购人、采购代理机构接收质疑函的方式、联系部门、联系电话和通讯地址等信息详见“投标人须知前附表”。具体质疑起算时间及处理方式如下： </w:t>
      </w:r>
    </w:p>
    <w:p w14:paraId="16382A8D">
      <w:pPr>
        <w:spacing w:line="360" w:lineRule="auto"/>
        <w:ind w:firstLine="420" w:firstLineChars="200"/>
        <w:rPr>
          <w:rFonts w:hAnsi="宋体"/>
          <w:bCs/>
          <w:color w:val="auto"/>
          <w:highlight w:val="none"/>
        </w:rPr>
      </w:pPr>
      <w:r>
        <w:rPr>
          <w:rFonts w:hint="eastAsia" w:hAnsi="宋体"/>
          <w:bCs/>
          <w:color w:val="auto"/>
          <w:highlight w:val="none"/>
        </w:rPr>
        <w:t>（</w:t>
      </w:r>
      <w:r>
        <w:rPr>
          <w:rFonts w:hAnsi="宋体"/>
          <w:bCs/>
          <w:color w:val="auto"/>
          <w:highlight w:val="none"/>
        </w:rPr>
        <w:t>1</w:t>
      </w:r>
      <w:r>
        <w:rPr>
          <w:rFonts w:hint="eastAsia" w:hAnsi="宋体"/>
          <w:bCs/>
          <w:color w:val="auto"/>
          <w:highlight w:val="none"/>
        </w:rPr>
        <w:t>）潜在供应商依法获取公开招标文件后，认为采购文件使自己的权益受到损害的，应当在公开招标文件公告期限届满之日起</w:t>
      </w:r>
      <w:r>
        <w:rPr>
          <w:rFonts w:hAnsi="宋体"/>
          <w:bCs/>
          <w:color w:val="auto"/>
          <w:highlight w:val="none"/>
        </w:rPr>
        <w:t>7</w:t>
      </w:r>
      <w:r>
        <w:rPr>
          <w:rFonts w:hint="eastAsia" w:hAnsi="宋体"/>
          <w:bCs/>
          <w:color w:val="auto"/>
          <w:highlight w:val="none"/>
        </w:rPr>
        <w:t>个工作日内提出质疑。</w:t>
      </w:r>
      <w:r>
        <w:rPr>
          <w:rFonts w:hint="eastAsia"/>
          <w:color w:val="auto"/>
          <w:highlight w:val="none"/>
        </w:rPr>
        <w:t>委托代理协议无特殊约定的，</w:t>
      </w:r>
      <w:r>
        <w:rPr>
          <w:rFonts w:hint="eastAsia" w:hAnsi="宋体"/>
          <w:bCs/>
          <w:color w:val="auto"/>
          <w:highlight w:val="none"/>
        </w:rPr>
        <w:t>对公开招标文件中采购需求（含资格要求、采购预算和评分办法）的质疑由采购人受理并负责答复；对公开招标文件中的采购执行程序的质疑由采购代理机构受理并负责答复。</w:t>
      </w:r>
    </w:p>
    <w:p w14:paraId="14032D3F">
      <w:pPr>
        <w:spacing w:line="360" w:lineRule="auto"/>
        <w:ind w:firstLine="420" w:firstLineChars="200"/>
        <w:rPr>
          <w:rFonts w:hAnsi="宋体"/>
          <w:bCs/>
          <w:color w:val="auto"/>
          <w:highlight w:val="none"/>
        </w:rPr>
      </w:pPr>
      <w:r>
        <w:rPr>
          <w:rFonts w:hint="eastAsia" w:hAnsi="宋体"/>
          <w:bCs/>
          <w:color w:val="auto"/>
          <w:highlight w:val="none"/>
        </w:rPr>
        <w:t>（</w:t>
      </w:r>
      <w:r>
        <w:rPr>
          <w:rFonts w:hAnsi="宋体"/>
          <w:bCs/>
          <w:color w:val="auto"/>
          <w:highlight w:val="none"/>
        </w:rPr>
        <w:t>2</w:t>
      </w:r>
      <w:r>
        <w:rPr>
          <w:rFonts w:hint="eastAsia" w:hAnsi="宋体"/>
          <w:bCs/>
          <w:color w:val="auto"/>
          <w:highlight w:val="none"/>
        </w:rPr>
        <w:t>）供应商认为采购过程使自己的权益受到损害的，应当在各采购程序环节结束之日起</w:t>
      </w:r>
      <w:r>
        <w:rPr>
          <w:rFonts w:hAnsi="宋体"/>
          <w:bCs/>
          <w:color w:val="auto"/>
          <w:highlight w:val="none"/>
        </w:rPr>
        <w:t>7</w:t>
      </w:r>
      <w:r>
        <w:rPr>
          <w:rFonts w:hint="eastAsia" w:hAnsi="宋体"/>
          <w:bCs/>
          <w:color w:val="auto"/>
          <w:highlight w:val="none"/>
        </w:rPr>
        <w:t>个工作日内提出质疑。对采购过程中资格审查、符合性审查等具体评审情况的质疑应向采购人或代理机构提出，由采购人或代理机构受理并负责答复；对采购过程中采购执行程序的质疑由采购代理机构受理并负责答复。</w:t>
      </w:r>
    </w:p>
    <w:p w14:paraId="4188BDEB">
      <w:pPr>
        <w:spacing w:line="360" w:lineRule="auto"/>
        <w:ind w:firstLine="420" w:firstLineChars="200"/>
        <w:rPr>
          <w:rFonts w:hAnsi="宋体"/>
          <w:bCs/>
          <w:color w:val="auto"/>
          <w:highlight w:val="none"/>
        </w:rPr>
      </w:pPr>
      <w:r>
        <w:rPr>
          <w:rFonts w:hint="eastAsia" w:hAnsi="宋体"/>
          <w:bCs/>
          <w:color w:val="auto"/>
          <w:highlight w:val="none"/>
        </w:rPr>
        <w:t>（</w:t>
      </w:r>
      <w:r>
        <w:rPr>
          <w:rFonts w:hAnsi="宋体"/>
          <w:bCs/>
          <w:color w:val="auto"/>
          <w:highlight w:val="none"/>
        </w:rPr>
        <w:t>3</w:t>
      </w:r>
      <w:r>
        <w:rPr>
          <w:rFonts w:hint="eastAsia" w:hAnsi="宋体"/>
          <w:bCs/>
          <w:color w:val="auto"/>
          <w:highlight w:val="none"/>
        </w:rPr>
        <w:t>）供应商认为中标或者成交结果使自己的权益受到损害的，应当在中标或者成交结果公告期限届满之日起</w:t>
      </w:r>
      <w:r>
        <w:rPr>
          <w:rFonts w:hAnsi="宋体"/>
          <w:bCs/>
          <w:color w:val="auto"/>
          <w:highlight w:val="none"/>
        </w:rPr>
        <w:t>7</w:t>
      </w:r>
      <w:r>
        <w:rPr>
          <w:rFonts w:hint="eastAsia" w:hAnsi="宋体"/>
          <w:bCs/>
          <w:color w:val="auto"/>
          <w:highlight w:val="none"/>
        </w:rPr>
        <w:t>个工作日内提出质疑，由采购人受理并负责答复。</w:t>
      </w:r>
    </w:p>
    <w:p w14:paraId="1AD91604">
      <w:pPr>
        <w:spacing w:line="360" w:lineRule="auto"/>
        <w:ind w:firstLine="422" w:firstLineChars="200"/>
        <w:rPr>
          <w:rFonts w:hAnsi="宋体"/>
          <w:bCs/>
          <w:color w:val="auto"/>
          <w:szCs w:val="21"/>
          <w:highlight w:val="none"/>
        </w:rPr>
      </w:pPr>
      <w:r>
        <w:rPr>
          <w:rFonts w:hAnsi="宋体"/>
          <w:b/>
          <w:bCs/>
          <w:color w:val="auto"/>
          <w:szCs w:val="21"/>
          <w:highlight w:val="none"/>
        </w:rPr>
        <w:t>38.2.2</w:t>
      </w:r>
      <w:r>
        <w:rPr>
          <w:rFonts w:hint="eastAsia" w:hAnsi="宋体"/>
          <w:bCs/>
          <w:color w:val="auto"/>
          <w:szCs w:val="21"/>
          <w:highlight w:val="none"/>
        </w:rPr>
        <w:t>供应商质疑实行实名制，其质疑应当有具体的质疑事项及事实根据，质疑应当坚持依法依规、诚实信用原则，不得进行虚假、恶意质疑。</w:t>
      </w:r>
    </w:p>
    <w:p w14:paraId="339E02C9">
      <w:pPr>
        <w:spacing w:line="360" w:lineRule="auto"/>
        <w:ind w:firstLine="422" w:firstLineChars="200"/>
        <w:rPr>
          <w:rFonts w:hAnsi="宋体"/>
          <w:bCs/>
          <w:color w:val="auto"/>
          <w:highlight w:val="none"/>
        </w:rPr>
      </w:pPr>
      <w:r>
        <w:rPr>
          <w:rFonts w:hAnsi="宋体"/>
          <w:b/>
          <w:bCs/>
          <w:color w:val="auto"/>
          <w:highlight w:val="none"/>
        </w:rPr>
        <w:t>38.2.3</w:t>
      </w:r>
      <w:r>
        <w:rPr>
          <w:rFonts w:hint="eastAsia" w:hAnsi="宋体"/>
          <w:bCs/>
          <w:color w:val="auto"/>
          <w:highlight w:val="none"/>
        </w:rPr>
        <w:t>质疑供应商可以委托代理人办理质疑事务。委托代理人应熟悉相关业务情况。代理人办理质疑事务时，除提交质疑书外，还应当提交质疑供应商的授权委托书和委托代理人身份证明复印件</w:t>
      </w:r>
      <w:r>
        <w:rPr>
          <w:rFonts w:hint="eastAsia" w:hAnsi="宋体"/>
          <w:color w:val="auto"/>
          <w:highlight w:val="none"/>
        </w:rPr>
        <w:t>。</w:t>
      </w:r>
    </w:p>
    <w:p w14:paraId="3DAE63CF">
      <w:pPr>
        <w:spacing w:line="360" w:lineRule="auto"/>
        <w:ind w:firstLine="422" w:firstLineChars="200"/>
        <w:rPr>
          <w:rFonts w:hAnsi="宋体"/>
          <w:b/>
          <w:bCs/>
          <w:color w:val="auto"/>
          <w:highlight w:val="none"/>
        </w:rPr>
      </w:pPr>
      <w:r>
        <w:rPr>
          <w:rFonts w:hAnsi="宋体"/>
          <w:b/>
          <w:bCs/>
          <w:color w:val="auto"/>
          <w:highlight w:val="none"/>
        </w:rPr>
        <w:t xml:space="preserve">38.2.4 </w:t>
      </w:r>
      <w:r>
        <w:rPr>
          <w:rFonts w:hint="eastAsia" w:hAnsi="宋体"/>
          <w:b/>
          <w:bCs/>
          <w:color w:val="auto"/>
          <w:highlight w:val="none"/>
        </w:rPr>
        <w:t>质疑供应商提起质疑应当符合下列条件：</w:t>
      </w:r>
    </w:p>
    <w:p w14:paraId="0A32FAD1">
      <w:pPr>
        <w:spacing w:line="360" w:lineRule="auto"/>
        <w:ind w:firstLine="420" w:firstLineChars="200"/>
        <w:rPr>
          <w:rFonts w:hAnsi="宋体"/>
          <w:bCs/>
          <w:color w:val="auto"/>
          <w:highlight w:val="none"/>
        </w:rPr>
      </w:pPr>
      <w:r>
        <w:rPr>
          <w:rFonts w:hint="eastAsia" w:hAnsi="宋体"/>
          <w:bCs/>
          <w:color w:val="auto"/>
          <w:highlight w:val="none"/>
        </w:rPr>
        <w:t>（</w:t>
      </w:r>
      <w:r>
        <w:rPr>
          <w:rFonts w:hAnsi="宋体"/>
          <w:bCs/>
          <w:color w:val="auto"/>
          <w:highlight w:val="none"/>
        </w:rPr>
        <w:t>1</w:t>
      </w:r>
      <w:r>
        <w:rPr>
          <w:rFonts w:hint="eastAsia" w:hAnsi="宋体"/>
          <w:bCs/>
          <w:color w:val="auto"/>
          <w:highlight w:val="none"/>
        </w:rPr>
        <w:t>）质疑供应商是参与所质疑</w:t>
      </w:r>
      <w:r>
        <w:rPr>
          <w:rFonts w:hint="eastAsia" w:hAnsi="宋体"/>
          <w:bCs/>
          <w:color w:val="auto"/>
          <w:szCs w:val="21"/>
          <w:highlight w:val="none"/>
        </w:rPr>
        <w:t>项目</w:t>
      </w:r>
      <w:r>
        <w:rPr>
          <w:rFonts w:hint="eastAsia" w:hAnsi="宋体"/>
          <w:bCs/>
          <w:color w:val="auto"/>
          <w:highlight w:val="none"/>
        </w:rPr>
        <w:t>采购活动的供应商（潜在供应商已依法获取可质疑的采购文件的，可以对该采购文件质疑）；</w:t>
      </w:r>
    </w:p>
    <w:p w14:paraId="4F56E686">
      <w:pPr>
        <w:spacing w:line="360" w:lineRule="auto"/>
        <w:ind w:firstLine="420" w:firstLineChars="200"/>
        <w:rPr>
          <w:rFonts w:hAnsi="宋体"/>
          <w:bCs/>
          <w:color w:val="auto"/>
          <w:highlight w:val="none"/>
        </w:rPr>
      </w:pPr>
      <w:r>
        <w:rPr>
          <w:rFonts w:hint="eastAsia" w:hAnsi="宋体"/>
          <w:bCs/>
          <w:color w:val="auto"/>
          <w:highlight w:val="none"/>
        </w:rPr>
        <w:t>（</w:t>
      </w:r>
      <w:r>
        <w:rPr>
          <w:rFonts w:hAnsi="宋体"/>
          <w:bCs/>
          <w:color w:val="auto"/>
          <w:highlight w:val="none"/>
        </w:rPr>
        <w:t>2</w:t>
      </w:r>
      <w:r>
        <w:rPr>
          <w:rFonts w:hint="eastAsia" w:hAnsi="宋体"/>
          <w:bCs/>
          <w:color w:val="auto"/>
          <w:highlight w:val="none"/>
        </w:rPr>
        <w:t>）质疑函内容符合本章第</w:t>
      </w:r>
      <w:r>
        <w:rPr>
          <w:rFonts w:hAnsi="宋体"/>
          <w:bCs/>
          <w:color w:val="auto"/>
          <w:highlight w:val="none"/>
        </w:rPr>
        <w:t>38.2.5</w:t>
      </w:r>
      <w:r>
        <w:rPr>
          <w:rFonts w:hint="eastAsia" w:hAnsi="宋体"/>
          <w:bCs/>
          <w:color w:val="auto"/>
          <w:highlight w:val="none"/>
        </w:rPr>
        <w:t>项的规定；</w:t>
      </w:r>
    </w:p>
    <w:p w14:paraId="75077018">
      <w:pPr>
        <w:spacing w:line="360" w:lineRule="auto"/>
        <w:ind w:firstLine="420" w:firstLineChars="200"/>
        <w:rPr>
          <w:rFonts w:hAnsi="宋体"/>
          <w:bCs/>
          <w:color w:val="auto"/>
          <w:highlight w:val="none"/>
        </w:rPr>
      </w:pPr>
      <w:r>
        <w:rPr>
          <w:rFonts w:hint="eastAsia" w:hAnsi="宋体"/>
          <w:bCs/>
          <w:color w:val="auto"/>
          <w:highlight w:val="none"/>
        </w:rPr>
        <w:t>（</w:t>
      </w:r>
      <w:r>
        <w:rPr>
          <w:rFonts w:hAnsi="宋体"/>
          <w:bCs/>
          <w:color w:val="auto"/>
          <w:highlight w:val="none"/>
        </w:rPr>
        <w:t>3</w:t>
      </w:r>
      <w:r>
        <w:rPr>
          <w:rFonts w:hint="eastAsia" w:hAnsi="宋体"/>
          <w:bCs/>
          <w:color w:val="auto"/>
          <w:highlight w:val="none"/>
        </w:rPr>
        <w:t>）在质疑有效期限内提起质疑；</w:t>
      </w:r>
    </w:p>
    <w:p w14:paraId="616432C1">
      <w:pPr>
        <w:spacing w:line="360" w:lineRule="auto"/>
        <w:ind w:firstLine="420" w:firstLineChars="200"/>
        <w:rPr>
          <w:rFonts w:hAnsi="宋体"/>
          <w:bCs/>
          <w:color w:val="auto"/>
          <w:highlight w:val="none"/>
        </w:rPr>
      </w:pPr>
      <w:r>
        <w:rPr>
          <w:rFonts w:hint="eastAsia" w:hAnsi="宋体"/>
          <w:bCs/>
          <w:color w:val="auto"/>
          <w:highlight w:val="none"/>
        </w:rPr>
        <w:t>（</w:t>
      </w:r>
      <w:r>
        <w:rPr>
          <w:rFonts w:hAnsi="宋体"/>
          <w:bCs/>
          <w:color w:val="auto"/>
          <w:highlight w:val="none"/>
        </w:rPr>
        <w:t>4</w:t>
      </w:r>
      <w:r>
        <w:rPr>
          <w:rFonts w:hint="eastAsia" w:hAnsi="宋体"/>
          <w:bCs/>
          <w:color w:val="auto"/>
          <w:highlight w:val="none"/>
        </w:rPr>
        <w:t>）属于所质疑的采购人或采购人委托的采购代理机构组织的采购活动；</w:t>
      </w:r>
    </w:p>
    <w:p w14:paraId="5245AC4D">
      <w:pPr>
        <w:spacing w:line="360" w:lineRule="auto"/>
        <w:ind w:firstLine="420" w:firstLineChars="200"/>
        <w:rPr>
          <w:rFonts w:hAnsi="宋体"/>
          <w:bCs/>
          <w:color w:val="auto"/>
          <w:highlight w:val="none"/>
        </w:rPr>
      </w:pPr>
      <w:r>
        <w:rPr>
          <w:rFonts w:hint="eastAsia" w:hAnsi="宋体"/>
          <w:bCs/>
          <w:color w:val="auto"/>
          <w:highlight w:val="none"/>
        </w:rPr>
        <w:t>（</w:t>
      </w:r>
      <w:r>
        <w:rPr>
          <w:rFonts w:hAnsi="宋体"/>
          <w:bCs/>
          <w:color w:val="auto"/>
          <w:highlight w:val="none"/>
        </w:rPr>
        <w:t>5</w:t>
      </w:r>
      <w:r>
        <w:rPr>
          <w:rFonts w:hint="eastAsia" w:hAnsi="宋体"/>
          <w:bCs/>
          <w:color w:val="auto"/>
          <w:highlight w:val="none"/>
        </w:rPr>
        <w:t>）同一质疑事项未经采购人或采购人委托的采购代理机构质疑处理；</w:t>
      </w:r>
    </w:p>
    <w:p w14:paraId="1BCAE688">
      <w:pPr>
        <w:spacing w:line="360" w:lineRule="auto"/>
        <w:ind w:firstLine="420" w:firstLineChars="200"/>
        <w:rPr>
          <w:rFonts w:hAnsi="宋体"/>
          <w:bCs/>
          <w:color w:val="auto"/>
          <w:highlight w:val="none"/>
        </w:rPr>
      </w:pPr>
      <w:r>
        <w:rPr>
          <w:rFonts w:hint="eastAsia" w:hAnsi="宋体"/>
          <w:bCs/>
          <w:color w:val="auto"/>
          <w:highlight w:val="none"/>
        </w:rPr>
        <w:t>（</w:t>
      </w:r>
      <w:r>
        <w:rPr>
          <w:rFonts w:hAnsi="宋体"/>
          <w:bCs/>
          <w:color w:val="auto"/>
          <w:highlight w:val="none"/>
        </w:rPr>
        <w:t>6</w:t>
      </w:r>
      <w:r>
        <w:rPr>
          <w:rFonts w:hint="eastAsia" w:hAnsi="宋体"/>
          <w:bCs/>
          <w:color w:val="auto"/>
          <w:highlight w:val="none"/>
        </w:rPr>
        <w:t>）供应商对同一采购程序环节的质疑应当在质疑有效期内一次性提出；</w:t>
      </w:r>
    </w:p>
    <w:p w14:paraId="5ED88FE4">
      <w:pPr>
        <w:spacing w:line="360" w:lineRule="auto"/>
        <w:ind w:firstLine="420" w:firstLineChars="200"/>
        <w:rPr>
          <w:rFonts w:hAnsi="宋体"/>
          <w:bCs/>
          <w:color w:val="auto"/>
          <w:highlight w:val="none"/>
        </w:rPr>
      </w:pPr>
      <w:r>
        <w:rPr>
          <w:rFonts w:hint="eastAsia" w:hAnsi="宋体"/>
          <w:bCs/>
          <w:color w:val="auto"/>
          <w:highlight w:val="none"/>
        </w:rPr>
        <w:t>（</w:t>
      </w:r>
      <w:r>
        <w:rPr>
          <w:rFonts w:hAnsi="宋体"/>
          <w:bCs/>
          <w:color w:val="auto"/>
          <w:highlight w:val="none"/>
        </w:rPr>
        <w:t>7</w:t>
      </w:r>
      <w:r>
        <w:rPr>
          <w:rFonts w:hint="eastAsia" w:hAnsi="宋体"/>
          <w:bCs/>
          <w:color w:val="auto"/>
          <w:highlight w:val="none"/>
        </w:rPr>
        <w:t>）供应商提交质疑应当提交必要的证明材料，证明材料应以合法手段取得；</w:t>
      </w:r>
    </w:p>
    <w:p w14:paraId="2DE7BA35">
      <w:pPr>
        <w:spacing w:line="360" w:lineRule="auto"/>
        <w:ind w:firstLine="420" w:firstLineChars="200"/>
        <w:rPr>
          <w:color w:val="auto"/>
          <w:highlight w:val="none"/>
        </w:rPr>
      </w:pPr>
      <w:r>
        <w:rPr>
          <w:rFonts w:hint="eastAsia" w:hAnsi="宋体"/>
          <w:bCs/>
          <w:color w:val="auto"/>
          <w:highlight w:val="none"/>
        </w:rPr>
        <w:t>（</w:t>
      </w:r>
      <w:r>
        <w:rPr>
          <w:rFonts w:hAnsi="宋体"/>
          <w:bCs/>
          <w:color w:val="auto"/>
          <w:highlight w:val="none"/>
        </w:rPr>
        <w:t>8</w:t>
      </w:r>
      <w:r>
        <w:rPr>
          <w:rFonts w:hint="eastAsia" w:hAnsi="宋体"/>
          <w:bCs/>
          <w:color w:val="auto"/>
          <w:highlight w:val="none"/>
        </w:rPr>
        <w:t>）财政部门规定的其他条件。</w:t>
      </w:r>
    </w:p>
    <w:p w14:paraId="0DC47067">
      <w:pPr>
        <w:spacing w:line="360" w:lineRule="auto"/>
        <w:ind w:firstLine="420" w:firstLineChars="200"/>
        <w:rPr>
          <w:rFonts w:ascii="宋体" w:hAnsi="宋体"/>
          <w:b/>
          <w:color w:val="auto"/>
          <w:szCs w:val="21"/>
          <w:highlight w:val="none"/>
        </w:rPr>
      </w:pPr>
      <w:bookmarkStart w:id="117" w:name="_9.2质疑、投诉应当采用书面形式，质疑函、投诉书均应明确阐述招标文件、"/>
      <w:bookmarkEnd w:id="117"/>
      <w:r>
        <w:rPr>
          <w:rFonts w:hint="eastAsia" w:ascii="宋体" w:hAnsi="宋体"/>
          <w:color w:val="auto"/>
          <w:szCs w:val="21"/>
          <w:highlight w:val="none"/>
        </w:rPr>
        <w:t xml:space="preserve"> 38.2.5 </w:t>
      </w:r>
      <w:r>
        <w:rPr>
          <w:rFonts w:hint="eastAsia" w:hAnsi="宋体"/>
          <w:bCs/>
          <w:color w:val="auto"/>
          <w:highlight w:val="none"/>
        </w:rPr>
        <w:t>供应商提出质疑应当提交质疑函和必要的证明材料，针对同一采购程序环节的质疑必须在法定质疑期内一次性提出。质疑函应当包括下列内容（质疑函格式后附）：</w:t>
      </w:r>
    </w:p>
    <w:p w14:paraId="3F24AC81">
      <w:pPr>
        <w:spacing w:line="360" w:lineRule="auto"/>
        <w:ind w:firstLine="420" w:firstLineChars="200"/>
        <w:rPr>
          <w:rFonts w:hAnsi="宋体"/>
          <w:bCs/>
          <w:color w:val="auto"/>
          <w:highlight w:val="none"/>
        </w:rPr>
      </w:pPr>
      <w:r>
        <w:rPr>
          <w:rFonts w:hint="eastAsia" w:hAnsi="宋体"/>
          <w:bCs/>
          <w:color w:val="auto"/>
          <w:highlight w:val="none"/>
        </w:rPr>
        <w:t>（</w:t>
      </w:r>
      <w:r>
        <w:rPr>
          <w:rFonts w:hAnsi="宋体"/>
          <w:bCs/>
          <w:color w:val="auto"/>
          <w:highlight w:val="none"/>
        </w:rPr>
        <w:t>1</w:t>
      </w:r>
      <w:r>
        <w:rPr>
          <w:rFonts w:hint="eastAsia" w:hAnsi="宋体"/>
          <w:bCs/>
          <w:color w:val="auto"/>
          <w:highlight w:val="none"/>
        </w:rPr>
        <w:t>）供应商的姓名或者名称、地址、邮编、联系人及联系电话；</w:t>
      </w:r>
    </w:p>
    <w:p w14:paraId="40270DA0">
      <w:pPr>
        <w:spacing w:line="360" w:lineRule="auto"/>
        <w:ind w:firstLine="420" w:firstLineChars="200"/>
        <w:rPr>
          <w:rFonts w:hAnsi="宋体"/>
          <w:bCs/>
          <w:color w:val="auto"/>
          <w:highlight w:val="none"/>
        </w:rPr>
      </w:pPr>
      <w:r>
        <w:rPr>
          <w:rFonts w:hint="eastAsia" w:hAnsi="宋体"/>
          <w:bCs/>
          <w:color w:val="auto"/>
          <w:highlight w:val="none"/>
        </w:rPr>
        <w:t>（</w:t>
      </w:r>
      <w:r>
        <w:rPr>
          <w:rFonts w:hAnsi="宋体"/>
          <w:bCs/>
          <w:color w:val="auto"/>
          <w:highlight w:val="none"/>
        </w:rPr>
        <w:t>2</w:t>
      </w:r>
      <w:r>
        <w:rPr>
          <w:rFonts w:hint="eastAsia" w:hAnsi="宋体"/>
          <w:bCs/>
          <w:color w:val="auto"/>
          <w:highlight w:val="none"/>
        </w:rPr>
        <w:t>）质疑项目的名称、编号；</w:t>
      </w:r>
    </w:p>
    <w:p w14:paraId="7E03E552">
      <w:pPr>
        <w:spacing w:line="360" w:lineRule="auto"/>
        <w:ind w:firstLine="420" w:firstLineChars="200"/>
        <w:rPr>
          <w:rFonts w:hAnsi="宋体"/>
          <w:bCs/>
          <w:color w:val="auto"/>
          <w:highlight w:val="none"/>
        </w:rPr>
      </w:pPr>
      <w:r>
        <w:rPr>
          <w:rFonts w:hint="eastAsia" w:hAnsi="宋体"/>
          <w:bCs/>
          <w:color w:val="auto"/>
          <w:highlight w:val="none"/>
        </w:rPr>
        <w:t>（</w:t>
      </w:r>
      <w:r>
        <w:rPr>
          <w:rFonts w:hAnsi="宋体"/>
          <w:bCs/>
          <w:color w:val="auto"/>
          <w:highlight w:val="none"/>
        </w:rPr>
        <w:t>3</w:t>
      </w:r>
      <w:r>
        <w:rPr>
          <w:rFonts w:hint="eastAsia" w:hAnsi="宋体"/>
          <w:bCs/>
          <w:color w:val="auto"/>
          <w:highlight w:val="none"/>
        </w:rPr>
        <w:t>）具体、明确的质疑事项和与质疑事项相关的请求；</w:t>
      </w:r>
    </w:p>
    <w:p w14:paraId="02BCD6CA">
      <w:pPr>
        <w:spacing w:line="360" w:lineRule="auto"/>
        <w:ind w:firstLine="420" w:firstLineChars="200"/>
        <w:rPr>
          <w:rFonts w:hAnsi="宋体"/>
          <w:bCs/>
          <w:color w:val="auto"/>
          <w:highlight w:val="none"/>
        </w:rPr>
      </w:pPr>
      <w:r>
        <w:rPr>
          <w:rFonts w:hint="eastAsia" w:hAnsi="宋体"/>
          <w:bCs/>
          <w:color w:val="auto"/>
          <w:highlight w:val="none"/>
        </w:rPr>
        <w:t>（</w:t>
      </w:r>
      <w:r>
        <w:rPr>
          <w:rFonts w:hAnsi="宋体"/>
          <w:bCs/>
          <w:color w:val="auto"/>
          <w:highlight w:val="none"/>
        </w:rPr>
        <w:t>4</w:t>
      </w:r>
      <w:r>
        <w:rPr>
          <w:rFonts w:hint="eastAsia" w:hAnsi="宋体"/>
          <w:bCs/>
          <w:color w:val="auto"/>
          <w:highlight w:val="none"/>
        </w:rPr>
        <w:t>）事实依据（列明权益受到损害的事实和理由）；</w:t>
      </w:r>
    </w:p>
    <w:p w14:paraId="373245BB">
      <w:pPr>
        <w:spacing w:line="360" w:lineRule="auto"/>
        <w:ind w:firstLine="420" w:firstLineChars="200"/>
        <w:rPr>
          <w:rFonts w:hAnsi="宋体"/>
          <w:bCs/>
          <w:color w:val="auto"/>
          <w:highlight w:val="none"/>
        </w:rPr>
      </w:pPr>
      <w:r>
        <w:rPr>
          <w:rFonts w:hint="eastAsia" w:hAnsi="宋体"/>
          <w:bCs/>
          <w:color w:val="auto"/>
          <w:highlight w:val="none"/>
        </w:rPr>
        <w:t>（</w:t>
      </w:r>
      <w:r>
        <w:rPr>
          <w:rFonts w:hAnsi="宋体"/>
          <w:bCs/>
          <w:color w:val="auto"/>
          <w:highlight w:val="none"/>
        </w:rPr>
        <w:t>5</w:t>
      </w:r>
      <w:r>
        <w:rPr>
          <w:rFonts w:hint="eastAsia" w:hAnsi="宋体"/>
          <w:bCs/>
          <w:color w:val="auto"/>
          <w:highlight w:val="none"/>
        </w:rPr>
        <w:t>）必要的法律依据；</w:t>
      </w:r>
    </w:p>
    <w:p w14:paraId="18954758">
      <w:pPr>
        <w:spacing w:line="360" w:lineRule="auto"/>
        <w:ind w:firstLine="420" w:firstLineChars="200"/>
        <w:rPr>
          <w:rFonts w:hAnsi="宋体"/>
          <w:bCs/>
          <w:color w:val="auto"/>
          <w:highlight w:val="none"/>
        </w:rPr>
      </w:pPr>
      <w:r>
        <w:rPr>
          <w:rFonts w:hint="eastAsia" w:hAnsi="宋体"/>
          <w:bCs/>
          <w:color w:val="auto"/>
          <w:highlight w:val="none"/>
        </w:rPr>
        <w:t>（</w:t>
      </w:r>
      <w:r>
        <w:rPr>
          <w:rFonts w:hAnsi="宋体"/>
          <w:bCs/>
          <w:color w:val="auto"/>
          <w:highlight w:val="none"/>
        </w:rPr>
        <w:t>6</w:t>
      </w:r>
      <w:r>
        <w:rPr>
          <w:rFonts w:hint="eastAsia" w:hAnsi="宋体"/>
          <w:bCs/>
          <w:color w:val="auto"/>
          <w:highlight w:val="none"/>
        </w:rPr>
        <w:t>）提出质疑的日期。</w:t>
      </w:r>
    </w:p>
    <w:p w14:paraId="423CB9F6">
      <w:pPr>
        <w:spacing w:line="360" w:lineRule="auto"/>
        <w:ind w:firstLine="420" w:firstLineChars="200"/>
        <w:rPr>
          <w:rFonts w:hAnsi="宋体"/>
          <w:bCs/>
          <w:color w:val="auto"/>
          <w:highlight w:val="none"/>
        </w:rPr>
      </w:pPr>
      <w:r>
        <w:rPr>
          <w:rFonts w:hint="eastAsia" w:hAnsi="宋体"/>
          <w:bCs/>
          <w:color w:val="auto"/>
          <w:highlight w:val="none"/>
        </w:rPr>
        <w:t>供应商为自然人的，应当由本人签字；供应商为法人或者其他组织的，应当由法定代表人、主要负责人，或者其委托代理人签字或者盖章，并加盖公章。</w:t>
      </w:r>
    </w:p>
    <w:p w14:paraId="474ECE01">
      <w:pPr>
        <w:spacing w:line="360" w:lineRule="auto"/>
        <w:ind w:firstLine="422" w:firstLineChars="200"/>
        <w:rPr>
          <w:rFonts w:ascii="宋体" w:hAnsi="宋体"/>
          <w:b/>
          <w:color w:val="auto"/>
          <w:szCs w:val="20"/>
          <w:highlight w:val="none"/>
        </w:rPr>
      </w:pPr>
      <w:r>
        <w:rPr>
          <w:rFonts w:hint="eastAsia" w:ascii="宋体" w:hAnsi="宋体"/>
          <w:b/>
          <w:color w:val="auto"/>
          <w:szCs w:val="20"/>
          <w:highlight w:val="none"/>
        </w:rPr>
        <w:t>38.2.6采购人或采购人委托的采购代理机构在收到质疑函后7个工作日内作出答复，并以书面形式通知质疑供应商及其他有关供应商。对不符合质疑条件的质疑，答复不予受理，并说明理由；对符合质疑条件的质疑，对质疑事项作出答复</w:t>
      </w:r>
    </w:p>
    <w:p w14:paraId="41B8C21A">
      <w:pPr>
        <w:spacing w:line="360" w:lineRule="auto"/>
        <w:ind w:firstLine="420" w:firstLineChars="200"/>
        <w:rPr>
          <w:rFonts w:ascii="宋体" w:hAnsi="宋体"/>
          <w:bCs/>
          <w:color w:val="auto"/>
          <w:szCs w:val="21"/>
          <w:highlight w:val="none"/>
        </w:rPr>
      </w:pPr>
      <w:r>
        <w:rPr>
          <w:rFonts w:hint="eastAsia" w:ascii="宋体" w:hAnsi="宋体"/>
          <w:color w:val="auto"/>
          <w:szCs w:val="21"/>
          <w:highlight w:val="none"/>
        </w:rPr>
        <w:t>3</w:t>
      </w:r>
      <w:r>
        <w:rPr>
          <w:rFonts w:hint="eastAsia" w:ascii="宋体" w:hAnsi="宋体"/>
          <w:bCs/>
          <w:color w:val="auto"/>
          <w:szCs w:val="21"/>
          <w:highlight w:val="none"/>
        </w:rPr>
        <w:t>8.2.7采购人、采购代理机构认为供应商质疑不成立，或者成立但未对中标结果构成影响的，继续开展采购活动；认为供应商质疑成立且影响或者可能影响中标结果的，按照下列情况处理：</w:t>
      </w:r>
    </w:p>
    <w:p w14:paraId="7349AB5C">
      <w:pPr>
        <w:spacing w:line="360" w:lineRule="auto"/>
        <w:ind w:firstLine="420" w:firstLineChars="200"/>
        <w:rPr>
          <w:rFonts w:hAnsi="宋体"/>
          <w:bCs/>
          <w:color w:val="auto"/>
          <w:highlight w:val="none"/>
        </w:rPr>
      </w:pPr>
      <w:r>
        <w:rPr>
          <w:rFonts w:hint="eastAsia" w:hAnsi="宋体"/>
          <w:bCs/>
          <w:color w:val="auto"/>
          <w:highlight w:val="none"/>
        </w:rPr>
        <w:t>　　（一）对招标文件提出的质疑，依法通过澄清或者修改可以继续开展采购活动的，澄清或者修改招标文件后继续开展采购活动；否则应当修改招标文件后重新开展采购活动。</w:t>
      </w:r>
    </w:p>
    <w:p w14:paraId="7D8159F5">
      <w:pPr>
        <w:spacing w:line="360" w:lineRule="auto"/>
        <w:ind w:firstLine="420" w:firstLineChars="200"/>
        <w:rPr>
          <w:rFonts w:hAnsi="宋体"/>
          <w:bCs/>
          <w:color w:val="auto"/>
          <w:highlight w:val="none"/>
        </w:rPr>
      </w:pPr>
      <w:r>
        <w:rPr>
          <w:rFonts w:hint="eastAsia" w:hAnsi="宋体"/>
          <w:bCs/>
          <w:color w:val="auto"/>
          <w:highlight w:val="none"/>
        </w:rPr>
        <w:t>　　（二）对采购过程、中标结果提出的质疑，合格供应商符合法定数量时，可以从合格的中标候选人中另行确定中标供应商的，应当依法另行确定中标供应商；否则应当重新开展采购活动。</w:t>
      </w:r>
    </w:p>
    <w:p w14:paraId="19D962E6">
      <w:pPr>
        <w:spacing w:line="360" w:lineRule="auto"/>
        <w:ind w:firstLine="420" w:firstLineChars="200"/>
        <w:rPr>
          <w:rFonts w:hAnsi="宋体"/>
          <w:bCs/>
          <w:color w:val="auto"/>
          <w:highlight w:val="none"/>
        </w:rPr>
      </w:pPr>
      <w:r>
        <w:rPr>
          <w:rFonts w:hint="eastAsia" w:hAnsi="宋体"/>
          <w:bCs/>
          <w:color w:val="auto"/>
          <w:highlight w:val="none"/>
        </w:rPr>
        <w:t>质疑答复导致中标结果改变的，采购人或者采购代理机构应当将有关情况书面报告本级财政部门。</w:t>
      </w:r>
    </w:p>
    <w:p w14:paraId="07217264">
      <w:pPr>
        <w:spacing w:line="360" w:lineRule="auto"/>
        <w:ind w:firstLine="422" w:firstLineChars="200"/>
        <w:rPr>
          <w:rFonts w:hAnsi="宋体"/>
          <w:b/>
          <w:color w:val="auto"/>
          <w:highlight w:val="none"/>
        </w:rPr>
      </w:pPr>
      <w:r>
        <w:rPr>
          <w:rFonts w:hAnsi="宋体"/>
          <w:b/>
          <w:color w:val="auto"/>
          <w:highlight w:val="none"/>
        </w:rPr>
        <w:t>38.3</w:t>
      </w:r>
      <w:r>
        <w:rPr>
          <w:rFonts w:hint="eastAsia" w:hAnsi="宋体"/>
          <w:b/>
          <w:color w:val="auto"/>
          <w:highlight w:val="none"/>
        </w:rPr>
        <w:t>投诉</w:t>
      </w:r>
    </w:p>
    <w:p w14:paraId="07C28AD4">
      <w:pPr>
        <w:spacing w:line="360" w:lineRule="auto"/>
        <w:ind w:firstLine="422" w:firstLineChars="200"/>
        <w:rPr>
          <w:rFonts w:hAnsi="宋体"/>
          <w:bCs/>
          <w:color w:val="auto"/>
          <w:highlight w:val="none"/>
        </w:rPr>
      </w:pPr>
      <w:r>
        <w:rPr>
          <w:rFonts w:hAnsi="宋体"/>
          <w:b/>
          <w:color w:val="auto"/>
          <w:highlight w:val="none"/>
        </w:rPr>
        <w:t>38.3</w:t>
      </w:r>
      <w:r>
        <w:rPr>
          <w:rFonts w:hAnsi="宋体"/>
          <w:bCs/>
          <w:color w:val="auto"/>
          <w:highlight w:val="none"/>
        </w:rPr>
        <w:t>.</w:t>
      </w:r>
      <w:r>
        <w:rPr>
          <w:rFonts w:hAnsi="宋体"/>
          <w:b/>
          <w:bCs/>
          <w:color w:val="auto"/>
          <w:highlight w:val="none"/>
        </w:rPr>
        <w:t xml:space="preserve">1 </w:t>
      </w:r>
      <w:r>
        <w:rPr>
          <w:rFonts w:hint="eastAsia" w:hAnsi="宋体"/>
          <w:bCs/>
          <w:color w:val="auto"/>
          <w:highlight w:val="none"/>
        </w:rPr>
        <w:t>供应商认为采购文件、采购过程、中标和成交结果使自己的合法权益受到损害的，应当首先依法向采购人或采购人委托的</w:t>
      </w:r>
      <w:r>
        <w:rPr>
          <w:rFonts w:hint="eastAsia" w:hAnsi="宋体"/>
          <w:color w:val="auto"/>
          <w:highlight w:val="none"/>
        </w:rPr>
        <w:t>采购代理机构</w:t>
      </w:r>
      <w:r>
        <w:rPr>
          <w:rFonts w:hint="eastAsia" w:hAnsi="宋体"/>
          <w:bCs/>
          <w:color w:val="auto"/>
          <w:highlight w:val="none"/>
        </w:rPr>
        <w:t>提出质疑。对采购人、</w:t>
      </w:r>
      <w:r>
        <w:rPr>
          <w:rFonts w:hint="eastAsia" w:hAnsi="宋体"/>
          <w:color w:val="auto"/>
          <w:highlight w:val="none"/>
        </w:rPr>
        <w:t>采购代理机构</w:t>
      </w:r>
      <w:r>
        <w:rPr>
          <w:rFonts w:hint="eastAsia" w:hAnsi="宋体"/>
          <w:bCs/>
          <w:color w:val="auto"/>
          <w:highlight w:val="none"/>
        </w:rPr>
        <w:t>的答复不满意，或者采购人、</w:t>
      </w:r>
      <w:r>
        <w:rPr>
          <w:rFonts w:hint="eastAsia" w:hAnsi="宋体"/>
          <w:color w:val="auto"/>
          <w:highlight w:val="none"/>
        </w:rPr>
        <w:t>采购代理机构</w:t>
      </w:r>
      <w:r>
        <w:rPr>
          <w:rFonts w:hint="eastAsia" w:hAnsi="宋体"/>
          <w:bCs/>
          <w:color w:val="auto"/>
          <w:highlight w:val="none"/>
        </w:rPr>
        <w:t>未在规定期限内作出答复的，供应商可以在答复期满后</w:t>
      </w:r>
      <w:r>
        <w:rPr>
          <w:rFonts w:hAnsi="宋体"/>
          <w:bCs/>
          <w:color w:val="auto"/>
          <w:highlight w:val="none"/>
        </w:rPr>
        <w:t>15</w:t>
      </w:r>
      <w:r>
        <w:rPr>
          <w:rFonts w:hint="eastAsia" w:hAnsi="宋体"/>
          <w:bCs/>
          <w:color w:val="auto"/>
          <w:highlight w:val="none"/>
        </w:rPr>
        <w:t>个工作日内向南宁市政府采购监督管理部门提起投诉，投诉方式见“投标人须知前附表”。</w:t>
      </w:r>
    </w:p>
    <w:p w14:paraId="0B344186">
      <w:pPr>
        <w:spacing w:line="360" w:lineRule="auto"/>
        <w:ind w:firstLine="422" w:firstLineChars="200"/>
        <w:rPr>
          <w:rFonts w:hAnsi="宋体"/>
          <w:bCs/>
          <w:color w:val="auto"/>
          <w:highlight w:val="none"/>
        </w:rPr>
      </w:pPr>
      <w:r>
        <w:rPr>
          <w:rFonts w:hAnsi="宋体"/>
          <w:b/>
          <w:color w:val="auto"/>
          <w:highlight w:val="none"/>
        </w:rPr>
        <w:t>38.3</w:t>
      </w:r>
      <w:r>
        <w:rPr>
          <w:b/>
          <w:color w:val="auto"/>
          <w:highlight w:val="none"/>
        </w:rPr>
        <w:t xml:space="preserve">.2 </w:t>
      </w:r>
      <w:r>
        <w:rPr>
          <w:rFonts w:hint="eastAsia"/>
          <w:color w:val="auto"/>
          <w:highlight w:val="none"/>
        </w:rPr>
        <w:t>投诉人投诉时，应当提交投诉书，并按照被投诉采购人、</w:t>
      </w:r>
      <w:r>
        <w:rPr>
          <w:rFonts w:hint="eastAsia" w:hAnsi="宋体"/>
          <w:color w:val="auto"/>
          <w:highlight w:val="none"/>
        </w:rPr>
        <w:t>采购代理机构</w:t>
      </w:r>
      <w:r>
        <w:rPr>
          <w:rFonts w:hint="eastAsia"/>
          <w:color w:val="auto"/>
          <w:highlight w:val="none"/>
        </w:rPr>
        <w:t>和与投诉事项有关的供应商数量提供投诉书的副本。投诉书</w:t>
      </w:r>
      <w:r>
        <w:rPr>
          <w:rFonts w:hint="eastAsia"/>
          <w:color w:val="auto"/>
          <w:szCs w:val="21"/>
          <w:highlight w:val="none"/>
        </w:rPr>
        <w:t>应当包括下列主要内容</w:t>
      </w:r>
      <w:r>
        <w:rPr>
          <w:rFonts w:hint="eastAsia"/>
          <w:color w:val="auto"/>
          <w:highlight w:val="none"/>
        </w:rPr>
        <w:t>（如材料中有外文资料应同时附上对应的中文译本）</w:t>
      </w:r>
      <w:r>
        <w:rPr>
          <w:rFonts w:hint="eastAsia" w:hAnsi="宋体"/>
          <w:bCs/>
          <w:color w:val="auto"/>
          <w:highlight w:val="none"/>
        </w:rPr>
        <w:t>（投诉书格式后附）</w:t>
      </w:r>
      <w:r>
        <w:rPr>
          <w:rFonts w:hint="eastAsia"/>
          <w:color w:val="auto"/>
          <w:szCs w:val="21"/>
          <w:highlight w:val="none"/>
        </w:rPr>
        <w:t>：</w:t>
      </w:r>
    </w:p>
    <w:p w14:paraId="397BDE72">
      <w:pPr>
        <w:spacing w:line="360" w:lineRule="auto"/>
        <w:ind w:firstLine="420" w:firstLineChars="200"/>
        <w:rPr>
          <w:color w:val="auto"/>
          <w:highlight w:val="none"/>
        </w:rPr>
      </w:pPr>
      <w:r>
        <w:rPr>
          <w:rFonts w:hint="eastAsia" w:hAnsi="宋体"/>
          <w:color w:val="auto"/>
          <w:highlight w:val="none"/>
        </w:rPr>
        <w:t>（</w:t>
      </w:r>
      <w:r>
        <w:rPr>
          <w:rFonts w:hAnsi="宋体"/>
          <w:color w:val="auto"/>
          <w:highlight w:val="none"/>
        </w:rPr>
        <w:t>1</w:t>
      </w:r>
      <w:r>
        <w:rPr>
          <w:rFonts w:hint="eastAsia" w:hAnsi="宋体"/>
          <w:color w:val="auto"/>
          <w:highlight w:val="none"/>
        </w:rPr>
        <w:t>）投诉人和被投诉人的名称、地址、邮编、联系人及联系电话等；</w:t>
      </w:r>
    </w:p>
    <w:p w14:paraId="485E8558">
      <w:pPr>
        <w:spacing w:line="360" w:lineRule="auto"/>
        <w:ind w:firstLine="420" w:firstLineChars="200"/>
        <w:rPr>
          <w:color w:val="auto"/>
          <w:highlight w:val="none"/>
        </w:rPr>
      </w:pPr>
      <w:r>
        <w:rPr>
          <w:rFonts w:hint="eastAsia" w:hAnsi="宋体"/>
          <w:color w:val="auto"/>
          <w:highlight w:val="none"/>
        </w:rPr>
        <w:t>（</w:t>
      </w:r>
      <w:r>
        <w:rPr>
          <w:rFonts w:hAnsi="宋体"/>
          <w:color w:val="auto"/>
          <w:highlight w:val="none"/>
        </w:rPr>
        <w:t>2</w:t>
      </w:r>
      <w:r>
        <w:rPr>
          <w:rFonts w:hint="eastAsia" w:hAnsi="宋体"/>
          <w:color w:val="auto"/>
          <w:highlight w:val="none"/>
        </w:rPr>
        <w:t>）质疑和质疑答复情况及相关证明材料；</w:t>
      </w:r>
    </w:p>
    <w:p w14:paraId="09FAA55D">
      <w:pPr>
        <w:spacing w:line="360" w:lineRule="auto"/>
        <w:ind w:firstLine="420" w:firstLineChars="200"/>
        <w:rPr>
          <w:rFonts w:hAnsi="宋体"/>
          <w:color w:val="auto"/>
          <w:highlight w:val="none"/>
        </w:rPr>
      </w:pPr>
      <w:r>
        <w:rPr>
          <w:rFonts w:hint="eastAsia" w:hAnsi="宋体"/>
          <w:color w:val="auto"/>
          <w:highlight w:val="none"/>
        </w:rPr>
        <w:t>（</w:t>
      </w:r>
      <w:r>
        <w:rPr>
          <w:rFonts w:hAnsi="宋体"/>
          <w:color w:val="auto"/>
          <w:highlight w:val="none"/>
        </w:rPr>
        <w:t>3</w:t>
      </w:r>
      <w:r>
        <w:rPr>
          <w:rFonts w:hint="eastAsia" w:hAnsi="宋体"/>
          <w:color w:val="auto"/>
          <w:highlight w:val="none"/>
        </w:rPr>
        <w:t>）具体、明确的投诉事项和与投诉事项相关的投诉请求；</w:t>
      </w:r>
    </w:p>
    <w:p w14:paraId="6DAF89E0">
      <w:pPr>
        <w:spacing w:line="360" w:lineRule="auto"/>
        <w:ind w:firstLine="420" w:firstLineChars="200"/>
        <w:rPr>
          <w:rFonts w:hAnsi="宋体"/>
          <w:color w:val="auto"/>
          <w:highlight w:val="none"/>
        </w:rPr>
      </w:pPr>
      <w:r>
        <w:rPr>
          <w:rFonts w:hint="eastAsia" w:hAnsi="宋体"/>
          <w:color w:val="auto"/>
          <w:highlight w:val="none"/>
        </w:rPr>
        <w:t>（</w:t>
      </w:r>
      <w:r>
        <w:rPr>
          <w:rFonts w:hAnsi="宋体"/>
          <w:color w:val="auto"/>
          <w:highlight w:val="none"/>
        </w:rPr>
        <w:t>4</w:t>
      </w:r>
      <w:r>
        <w:rPr>
          <w:rFonts w:hint="eastAsia" w:hAnsi="宋体"/>
          <w:color w:val="auto"/>
          <w:highlight w:val="none"/>
        </w:rPr>
        <w:t>）事实依据；</w:t>
      </w:r>
    </w:p>
    <w:p w14:paraId="7B1390FA">
      <w:pPr>
        <w:spacing w:line="360" w:lineRule="auto"/>
        <w:ind w:firstLine="420" w:firstLineChars="200"/>
        <w:rPr>
          <w:color w:val="auto"/>
          <w:highlight w:val="none"/>
        </w:rPr>
      </w:pPr>
      <w:r>
        <w:rPr>
          <w:rFonts w:hint="eastAsia" w:hAnsi="宋体"/>
          <w:color w:val="auto"/>
          <w:highlight w:val="none"/>
        </w:rPr>
        <w:t>（</w:t>
      </w:r>
      <w:r>
        <w:rPr>
          <w:rFonts w:hAnsi="宋体"/>
          <w:color w:val="auto"/>
          <w:highlight w:val="none"/>
        </w:rPr>
        <w:t>5</w:t>
      </w:r>
      <w:r>
        <w:rPr>
          <w:rFonts w:hint="eastAsia" w:hAnsi="宋体"/>
          <w:color w:val="auto"/>
          <w:highlight w:val="none"/>
        </w:rPr>
        <w:t>）法律依据；</w:t>
      </w:r>
    </w:p>
    <w:p w14:paraId="0484155B">
      <w:pPr>
        <w:spacing w:line="360" w:lineRule="auto"/>
        <w:ind w:firstLine="420" w:firstLineChars="200"/>
        <w:rPr>
          <w:rFonts w:hAnsi="宋体"/>
          <w:color w:val="auto"/>
          <w:highlight w:val="none"/>
        </w:rPr>
      </w:pPr>
      <w:r>
        <w:rPr>
          <w:rFonts w:hint="eastAsia" w:hAnsi="宋体"/>
          <w:color w:val="auto"/>
          <w:highlight w:val="none"/>
        </w:rPr>
        <w:t>（</w:t>
      </w:r>
      <w:r>
        <w:rPr>
          <w:rFonts w:hAnsi="宋体"/>
          <w:color w:val="auto"/>
          <w:highlight w:val="none"/>
        </w:rPr>
        <w:t>6</w:t>
      </w:r>
      <w:r>
        <w:rPr>
          <w:rFonts w:hint="eastAsia" w:hAnsi="宋体"/>
          <w:color w:val="auto"/>
          <w:highlight w:val="none"/>
        </w:rPr>
        <w:t>）提起投诉的日期。</w:t>
      </w:r>
    </w:p>
    <w:p w14:paraId="0CCE4C47">
      <w:pPr>
        <w:spacing w:line="360" w:lineRule="auto"/>
        <w:ind w:firstLine="420" w:firstLineChars="200"/>
        <w:rPr>
          <w:rFonts w:hAnsi="宋体"/>
          <w:color w:val="auto"/>
          <w:highlight w:val="none"/>
        </w:rPr>
      </w:pPr>
      <w:r>
        <w:rPr>
          <w:rFonts w:hint="eastAsia" w:hAnsi="宋体"/>
          <w:color w:val="auto"/>
          <w:highlight w:val="none"/>
        </w:rPr>
        <w:t>（</w:t>
      </w:r>
      <w:r>
        <w:rPr>
          <w:rFonts w:hAnsi="宋体"/>
          <w:color w:val="auto"/>
          <w:highlight w:val="none"/>
        </w:rPr>
        <w:t>7</w:t>
      </w:r>
      <w:r>
        <w:rPr>
          <w:rFonts w:hint="eastAsia" w:hAnsi="宋体"/>
          <w:color w:val="auto"/>
          <w:highlight w:val="none"/>
        </w:rPr>
        <w:t>）附件材料：营业执照副本内页复印件（要求证件有效并清晰反映企业法人经营范围；近期连续三个月依法缴纳税收和在职职工社会保障资金证明材料（复印件）。</w:t>
      </w:r>
      <w:r>
        <w:rPr>
          <w:rFonts w:hAnsi="宋体"/>
          <w:color w:val="auto"/>
          <w:highlight w:val="none"/>
        </w:rPr>
        <w:tab/>
      </w:r>
    </w:p>
    <w:p w14:paraId="59D4D0C4">
      <w:pPr>
        <w:spacing w:line="360" w:lineRule="auto"/>
        <w:ind w:firstLine="422" w:firstLineChars="200"/>
        <w:rPr>
          <w:rFonts w:hAnsi="宋体"/>
          <w:bCs/>
          <w:color w:val="auto"/>
          <w:highlight w:val="none"/>
        </w:rPr>
      </w:pPr>
      <w:r>
        <w:rPr>
          <w:rFonts w:hAnsi="宋体"/>
          <w:b/>
          <w:color w:val="auto"/>
          <w:highlight w:val="none"/>
        </w:rPr>
        <w:t>38.3</w:t>
      </w:r>
      <w:r>
        <w:rPr>
          <w:b/>
          <w:color w:val="auto"/>
          <w:highlight w:val="none"/>
        </w:rPr>
        <w:t xml:space="preserve">.3  </w:t>
      </w:r>
      <w:r>
        <w:rPr>
          <w:rFonts w:hint="eastAsia"/>
          <w:color w:val="auto"/>
          <w:highlight w:val="none"/>
        </w:rPr>
        <w:t>投诉人可以委托代理人办理投诉事务。</w:t>
      </w:r>
      <w:r>
        <w:rPr>
          <w:rFonts w:hint="eastAsia" w:hAnsi="宋体"/>
          <w:bCs/>
          <w:color w:val="auto"/>
          <w:highlight w:val="none"/>
        </w:rPr>
        <w:t>委托代理人应熟悉相关业务情况。</w:t>
      </w:r>
      <w:r>
        <w:rPr>
          <w:rFonts w:hint="eastAsia"/>
          <w:color w:val="auto"/>
          <w:highlight w:val="none"/>
        </w:rPr>
        <w:t>代理人办理投诉事务时，除提交投诉书外，还应当提交投诉人的授权委托书和</w:t>
      </w:r>
      <w:r>
        <w:rPr>
          <w:rFonts w:hint="eastAsia" w:hAnsi="宋体"/>
          <w:color w:val="auto"/>
          <w:highlight w:val="none"/>
        </w:rPr>
        <w:t>委托代理人身份证明复印件。</w:t>
      </w:r>
    </w:p>
    <w:p w14:paraId="2C76EFD3">
      <w:pPr>
        <w:spacing w:line="360" w:lineRule="auto"/>
        <w:ind w:firstLine="422" w:firstLineChars="200"/>
        <w:rPr>
          <w:rFonts w:hAnsi="宋体"/>
          <w:color w:val="auto"/>
          <w:highlight w:val="none"/>
        </w:rPr>
      </w:pPr>
      <w:r>
        <w:rPr>
          <w:rFonts w:hAnsi="宋体"/>
          <w:b/>
          <w:color w:val="auto"/>
          <w:highlight w:val="none"/>
        </w:rPr>
        <w:t>38.3</w:t>
      </w:r>
      <w:r>
        <w:rPr>
          <w:b/>
          <w:color w:val="auto"/>
          <w:highlight w:val="none"/>
        </w:rPr>
        <w:t>.4</w:t>
      </w:r>
      <w:r>
        <w:rPr>
          <w:rFonts w:hint="eastAsia"/>
          <w:color w:val="auto"/>
          <w:highlight w:val="none"/>
        </w:rPr>
        <w:t>投诉人提起投诉应当符合下列条件：</w:t>
      </w:r>
    </w:p>
    <w:p w14:paraId="28155B5C">
      <w:pPr>
        <w:spacing w:line="360" w:lineRule="auto"/>
        <w:ind w:firstLine="420" w:firstLineChars="200"/>
        <w:rPr>
          <w:rFonts w:ascii="宋体" w:hAnsi="宋体"/>
          <w:color w:val="auto"/>
          <w:highlight w:val="none"/>
        </w:rPr>
      </w:pPr>
      <w:r>
        <w:rPr>
          <w:rFonts w:hint="eastAsia" w:ascii="宋体" w:hAnsi="宋体"/>
          <w:color w:val="auto"/>
          <w:highlight w:val="none"/>
        </w:rPr>
        <w:t>（1）投诉人是参与所投诉政府采购活动的供应商；</w:t>
      </w:r>
    </w:p>
    <w:p w14:paraId="2AE9FD41">
      <w:pPr>
        <w:spacing w:line="360" w:lineRule="auto"/>
        <w:ind w:firstLine="420" w:firstLineChars="200"/>
        <w:rPr>
          <w:rFonts w:ascii="宋体" w:hAnsi="宋体"/>
          <w:color w:val="auto"/>
          <w:highlight w:val="none"/>
        </w:rPr>
      </w:pPr>
      <w:r>
        <w:rPr>
          <w:rFonts w:hint="eastAsia" w:ascii="宋体" w:hAnsi="宋体"/>
          <w:color w:val="auto"/>
          <w:highlight w:val="none"/>
        </w:rPr>
        <w:t>（2）提起投诉前已依法进行质疑；</w:t>
      </w:r>
    </w:p>
    <w:p w14:paraId="3E81A515">
      <w:pPr>
        <w:spacing w:line="360" w:lineRule="auto"/>
        <w:ind w:firstLine="420" w:firstLineChars="200"/>
        <w:rPr>
          <w:rFonts w:ascii="宋体" w:hAnsi="宋体"/>
          <w:color w:val="auto"/>
          <w:highlight w:val="none"/>
        </w:rPr>
      </w:pPr>
      <w:r>
        <w:rPr>
          <w:rFonts w:hint="eastAsia" w:ascii="宋体" w:hAnsi="宋体"/>
          <w:color w:val="auto"/>
          <w:highlight w:val="none"/>
        </w:rPr>
        <w:t>（3）投诉书内容符合本章第38.3.2项的规定；</w:t>
      </w:r>
    </w:p>
    <w:p w14:paraId="55DCC00E">
      <w:pPr>
        <w:spacing w:line="360" w:lineRule="auto"/>
        <w:ind w:firstLine="420" w:firstLineChars="200"/>
        <w:rPr>
          <w:rFonts w:ascii="宋体" w:hAnsi="宋体"/>
          <w:color w:val="auto"/>
          <w:highlight w:val="none"/>
        </w:rPr>
      </w:pPr>
      <w:r>
        <w:rPr>
          <w:rFonts w:hint="eastAsia" w:ascii="宋体" w:hAnsi="宋体"/>
          <w:color w:val="auto"/>
          <w:highlight w:val="none"/>
        </w:rPr>
        <w:t>（4）在投诉有效期限内提起投诉；</w:t>
      </w:r>
    </w:p>
    <w:p w14:paraId="6CF72226">
      <w:pPr>
        <w:spacing w:line="360" w:lineRule="auto"/>
        <w:ind w:firstLine="420" w:firstLineChars="200"/>
        <w:rPr>
          <w:rFonts w:ascii="宋体" w:hAnsi="宋体"/>
          <w:color w:val="auto"/>
          <w:highlight w:val="none"/>
        </w:rPr>
      </w:pPr>
      <w:r>
        <w:rPr>
          <w:rFonts w:hint="eastAsia" w:ascii="宋体" w:hAnsi="宋体"/>
          <w:color w:val="auto"/>
          <w:highlight w:val="none"/>
        </w:rPr>
        <w:t>（5）属于南宁市政府采购监督管理部门管辖；</w:t>
      </w:r>
    </w:p>
    <w:p w14:paraId="3B5A413C">
      <w:pPr>
        <w:spacing w:line="360" w:lineRule="auto"/>
        <w:ind w:firstLine="420" w:firstLineChars="200"/>
        <w:rPr>
          <w:rFonts w:ascii="宋体" w:hAnsi="宋体"/>
          <w:color w:val="auto"/>
          <w:highlight w:val="none"/>
        </w:rPr>
      </w:pPr>
      <w:r>
        <w:rPr>
          <w:rFonts w:hint="eastAsia" w:ascii="宋体" w:hAnsi="宋体"/>
          <w:color w:val="auto"/>
          <w:highlight w:val="none"/>
        </w:rPr>
        <w:t>（6）同一投诉事项未经</w:t>
      </w:r>
      <w:r>
        <w:rPr>
          <w:rFonts w:hint="eastAsia" w:ascii="宋体" w:hAnsi="宋体"/>
          <w:bCs/>
          <w:color w:val="auto"/>
          <w:highlight w:val="none"/>
        </w:rPr>
        <w:t>南宁市政府采购监督管理部门</w:t>
      </w:r>
      <w:r>
        <w:rPr>
          <w:rFonts w:hint="eastAsia" w:ascii="宋体" w:hAnsi="宋体"/>
          <w:color w:val="auto"/>
          <w:highlight w:val="none"/>
        </w:rPr>
        <w:t>投诉处理；</w:t>
      </w:r>
    </w:p>
    <w:p w14:paraId="1B579E46">
      <w:pPr>
        <w:spacing w:line="360" w:lineRule="auto"/>
        <w:ind w:firstLine="420" w:firstLineChars="200"/>
        <w:rPr>
          <w:rFonts w:ascii="宋体"/>
          <w:color w:val="auto"/>
          <w:highlight w:val="none"/>
        </w:rPr>
      </w:pPr>
      <w:r>
        <w:rPr>
          <w:rFonts w:hint="eastAsia" w:ascii="宋体"/>
          <w:color w:val="auto"/>
          <w:highlight w:val="none"/>
        </w:rPr>
        <w:t>（7）国务院财政部门规定的其他条件。</w:t>
      </w:r>
    </w:p>
    <w:p w14:paraId="6D9F69F7">
      <w:pPr>
        <w:spacing w:line="360" w:lineRule="auto"/>
        <w:ind w:firstLine="422" w:firstLineChars="200"/>
        <w:rPr>
          <w:color w:val="auto"/>
          <w:highlight w:val="none"/>
        </w:rPr>
      </w:pPr>
      <w:r>
        <w:rPr>
          <w:rFonts w:hAnsi="宋体"/>
          <w:b/>
          <w:color w:val="auto"/>
          <w:highlight w:val="none"/>
        </w:rPr>
        <w:t>38.3</w:t>
      </w:r>
      <w:r>
        <w:rPr>
          <w:rFonts w:hint="eastAsia" w:ascii="宋体"/>
          <w:b/>
          <w:color w:val="auto"/>
          <w:highlight w:val="none"/>
        </w:rPr>
        <w:t>.5</w:t>
      </w:r>
      <w:r>
        <w:rPr>
          <w:rFonts w:hint="eastAsia" w:ascii="宋体"/>
          <w:color w:val="auto"/>
          <w:highlight w:val="none"/>
        </w:rPr>
        <w:t xml:space="preserve">  南宁市政府采购监督管理部门</w:t>
      </w:r>
      <w:r>
        <w:rPr>
          <w:rFonts w:hint="eastAsia"/>
          <w:color w:val="auto"/>
          <w:highlight w:val="none"/>
        </w:rPr>
        <w:t>自受理投诉之日起</w:t>
      </w:r>
      <w:r>
        <w:rPr>
          <w:color w:val="auto"/>
          <w:highlight w:val="none"/>
        </w:rPr>
        <w:t>30</w:t>
      </w:r>
      <w:r>
        <w:rPr>
          <w:rFonts w:hint="eastAsia"/>
          <w:color w:val="auto"/>
          <w:highlight w:val="none"/>
        </w:rPr>
        <w:t>个工作日内，对投诉事项作出处理决定，并以书面形式通知投诉人、被投诉人及其他与投诉处理结果有利害关系的政府采购当</w:t>
      </w:r>
      <w:r>
        <w:rPr>
          <w:rFonts w:hint="eastAsia" w:ascii="宋体"/>
          <w:color w:val="auto"/>
          <w:highlight w:val="none"/>
        </w:rPr>
        <w:t>事人</w:t>
      </w:r>
      <w:r>
        <w:rPr>
          <w:rFonts w:hint="eastAsia"/>
          <w:color w:val="auto"/>
          <w:highlight w:val="none"/>
        </w:rPr>
        <w:t>。并将投诉结果在</w:t>
      </w:r>
      <w:r>
        <w:rPr>
          <w:rFonts w:hint="eastAsia" w:ascii="宋体" w:hAnsi="宋体" w:cs="宋体"/>
          <w:color w:val="auto"/>
          <w:kern w:val="0"/>
          <w:szCs w:val="21"/>
          <w:highlight w:val="none"/>
        </w:rPr>
        <w:t>“广西政府采购网”（http://zfcg.gxzf.gov.cn）</w:t>
      </w:r>
      <w:r>
        <w:rPr>
          <w:rFonts w:hint="eastAsia"/>
          <w:color w:val="auto"/>
          <w:highlight w:val="none"/>
        </w:rPr>
        <w:t>发布。</w:t>
      </w:r>
    </w:p>
    <w:p w14:paraId="04D63149">
      <w:pPr>
        <w:spacing w:line="360" w:lineRule="auto"/>
        <w:ind w:firstLine="422" w:firstLineChars="200"/>
        <w:rPr>
          <w:rFonts w:ascii="宋体"/>
          <w:color w:val="auto"/>
          <w:highlight w:val="none"/>
        </w:rPr>
      </w:pPr>
      <w:r>
        <w:rPr>
          <w:rFonts w:hAnsi="宋体"/>
          <w:b/>
          <w:color w:val="auto"/>
          <w:highlight w:val="none"/>
        </w:rPr>
        <w:t>38.3</w:t>
      </w:r>
      <w:r>
        <w:rPr>
          <w:rFonts w:hint="eastAsia" w:ascii="宋体"/>
          <w:b/>
          <w:color w:val="auto"/>
          <w:highlight w:val="none"/>
        </w:rPr>
        <w:t>.6</w:t>
      </w:r>
      <w:r>
        <w:rPr>
          <w:rFonts w:hint="eastAsia" w:ascii="宋体"/>
          <w:color w:val="auto"/>
          <w:highlight w:val="none"/>
        </w:rPr>
        <w:t xml:space="preserve">  南宁市政府采购监督管理部门在处理投诉事项期间，可以视具体情况暂停采购活动。</w:t>
      </w:r>
    </w:p>
    <w:p w14:paraId="66516200">
      <w:pPr>
        <w:snapToGrid w:val="0"/>
        <w:spacing w:line="360" w:lineRule="auto"/>
        <w:ind w:left="120" w:leftChars="57" w:firstLine="482" w:firstLineChars="150"/>
        <w:jc w:val="center"/>
        <w:outlineLvl w:val="2"/>
        <w:rPr>
          <w:b/>
          <w:bCs/>
          <w:color w:val="auto"/>
          <w:sz w:val="32"/>
          <w:szCs w:val="32"/>
          <w:highlight w:val="none"/>
        </w:rPr>
      </w:pPr>
      <w:bookmarkStart w:id="118" w:name="_Toc187761561"/>
      <w:r>
        <w:rPr>
          <w:rFonts w:hint="eastAsia"/>
          <w:b/>
          <w:bCs/>
          <w:color w:val="auto"/>
          <w:sz w:val="32"/>
          <w:szCs w:val="32"/>
          <w:highlight w:val="none"/>
        </w:rPr>
        <w:t>八、验收</w:t>
      </w:r>
      <w:bookmarkEnd w:id="118"/>
    </w:p>
    <w:p w14:paraId="66C4E000">
      <w:pPr>
        <w:spacing w:line="360" w:lineRule="auto"/>
        <w:ind w:firstLine="422" w:firstLineChars="200"/>
        <w:rPr>
          <w:rFonts w:hAnsi="宋体"/>
          <w:b/>
          <w:color w:val="auto"/>
          <w:highlight w:val="none"/>
        </w:rPr>
      </w:pPr>
      <w:r>
        <w:rPr>
          <w:rFonts w:hAnsi="宋体"/>
          <w:b/>
          <w:color w:val="auto"/>
          <w:highlight w:val="none"/>
        </w:rPr>
        <w:t>39.</w:t>
      </w:r>
      <w:r>
        <w:rPr>
          <w:rFonts w:hint="eastAsia" w:hAnsi="宋体"/>
          <w:b/>
          <w:color w:val="auto"/>
          <w:highlight w:val="none"/>
        </w:rPr>
        <w:t>验收</w:t>
      </w:r>
    </w:p>
    <w:p w14:paraId="7D27EF93">
      <w:pPr>
        <w:tabs>
          <w:tab w:val="left" w:pos="0"/>
        </w:tabs>
        <w:spacing w:line="360" w:lineRule="auto"/>
        <w:ind w:firstLine="480"/>
        <w:rPr>
          <w:rFonts w:hAnsi="宋体"/>
          <w:color w:val="auto"/>
          <w:highlight w:val="none"/>
        </w:rPr>
      </w:pPr>
      <w:r>
        <w:rPr>
          <w:rFonts w:hAnsi="宋体"/>
          <w:color w:val="auto"/>
          <w:highlight w:val="none"/>
        </w:rPr>
        <w:t>39.1</w:t>
      </w:r>
      <w:r>
        <w:rPr>
          <w:rFonts w:hint="eastAsia" w:hAnsi="宋体"/>
          <w:color w:val="auto"/>
          <w:highlight w:val="none"/>
        </w:rPr>
        <w:t>采购人组织对供应商履约的验收。大型或者复杂的政府采购项目，应当邀请国家认可的质量检测机构参加验收工作。验收方成员应当在验收书上签字，并承担相应的法律责任。如果发现与合同中要求不符，供应商须承担由此发生的一切损失和费用，并接受相应的处理。</w:t>
      </w:r>
    </w:p>
    <w:p w14:paraId="0AA54EE2">
      <w:pPr>
        <w:tabs>
          <w:tab w:val="left" w:pos="0"/>
        </w:tabs>
        <w:spacing w:line="360" w:lineRule="auto"/>
        <w:ind w:firstLine="480"/>
        <w:rPr>
          <w:rFonts w:hAnsi="宋体"/>
          <w:color w:val="auto"/>
          <w:highlight w:val="none"/>
        </w:rPr>
      </w:pPr>
      <w:r>
        <w:rPr>
          <w:rFonts w:hAnsi="宋体"/>
          <w:color w:val="auto"/>
          <w:highlight w:val="none"/>
        </w:rPr>
        <w:t>39.2</w:t>
      </w:r>
      <w:r>
        <w:rPr>
          <w:rFonts w:hint="eastAsia" w:hAnsi="宋体"/>
          <w:color w:val="auto"/>
          <w:highlight w:val="none"/>
        </w:rPr>
        <w:t>采购人可以邀请参加本项目的其他投标人或者第三方机构参与验收。参与验收的投标人或者第三方机构的意见作为验收书的参考资料一并存档。</w:t>
      </w:r>
    </w:p>
    <w:p w14:paraId="39C2E6F3">
      <w:pPr>
        <w:tabs>
          <w:tab w:val="left" w:pos="0"/>
        </w:tabs>
        <w:spacing w:line="360" w:lineRule="auto"/>
        <w:ind w:firstLine="480"/>
        <w:rPr>
          <w:rFonts w:hAnsi="宋体"/>
          <w:color w:val="auto"/>
          <w:highlight w:val="none"/>
        </w:rPr>
      </w:pPr>
      <w:r>
        <w:rPr>
          <w:rFonts w:hAnsi="宋体"/>
          <w:color w:val="auto"/>
          <w:highlight w:val="none"/>
        </w:rPr>
        <w:t>39.3</w:t>
      </w:r>
      <w:r>
        <w:rPr>
          <w:rFonts w:hint="eastAsia" w:hAnsi="宋体"/>
          <w:color w:val="auto"/>
          <w:highlight w:val="none"/>
        </w:rPr>
        <w:t>严格按照采购合同开展履约验收。采购人成立验收小组，按照采购合同的约定对供应商履约情况进行验收。验收时，按照采购合同的约定对每一项技术、服务、安全标准的履约情况进行确认。验收结束后，应当出具验收书，列明各项标准的验收情况及项目总体评价，由验收双方共同签署。验收结果与采购合同约定的资金支付及履约保证金返还条件挂钩。履约验收的各项资料应当存档备查。</w:t>
      </w:r>
    </w:p>
    <w:p w14:paraId="1DD4F1A7">
      <w:pPr>
        <w:tabs>
          <w:tab w:val="left" w:pos="0"/>
        </w:tabs>
        <w:spacing w:line="360" w:lineRule="auto"/>
        <w:ind w:firstLine="480"/>
        <w:rPr>
          <w:rFonts w:hAnsi="宋体"/>
          <w:color w:val="auto"/>
          <w:highlight w:val="none"/>
        </w:rPr>
      </w:pPr>
      <w:r>
        <w:rPr>
          <w:rFonts w:hAnsi="宋体"/>
          <w:color w:val="auto"/>
          <w:highlight w:val="none"/>
        </w:rPr>
        <w:t>39.4</w:t>
      </w:r>
      <w:r>
        <w:rPr>
          <w:rFonts w:hint="eastAsia" w:hAnsi="宋体"/>
          <w:color w:val="auto"/>
          <w:highlight w:val="none"/>
        </w:rPr>
        <w:t>验收合格的项目，采购人将根据采购合同的约定及时向供应商支付采购资金。验收不合格的项目，采购人将依法及时处理。采购合同的履行、违约责任和解决争议的方式等适用《中华人民共和国民法典》。供应商在履约过程中有政府采购法律法规规定的违法违规情形的，采购人应当及时报告本级财政部门。</w:t>
      </w:r>
    </w:p>
    <w:p w14:paraId="1EE904FE">
      <w:pPr>
        <w:pStyle w:val="7"/>
        <w:snapToGrid w:val="0"/>
        <w:spacing w:line="400" w:lineRule="exact"/>
        <w:rPr>
          <w:rFonts w:hAnsi="宋体"/>
          <w:color w:val="auto"/>
          <w:highlight w:val="none"/>
        </w:rPr>
      </w:pPr>
    </w:p>
    <w:p w14:paraId="737223E2">
      <w:pPr>
        <w:pStyle w:val="10"/>
        <w:keepNext w:val="0"/>
        <w:keepLines w:val="0"/>
        <w:spacing w:line="360" w:lineRule="auto"/>
        <w:jc w:val="center"/>
        <w:rPr>
          <w:color w:val="auto"/>
          <w:highlight w:val="none"/>
        </w:rPr>
      </w:pPr>
      <w:bookmarkStart w:id="119" w:name="_八、其他事项"/>
      <w:bookmarkEnd w:id="119"/>
      <w:bookmarkStart w:id="120" w:name="_Toc187761562"/>
      <w:r>
        <w:rPr>
          <w:rFonts w:hint="eastAsia"/>
          <w:color w:val="auto"/>
          <w:highlight w:val="none"/>
        </w:rPr>
        <w:t>九、其他事项</w:t>
      </w:r>
      <w:bookmarkEnd w:id="120"/>
    </w:p>
    <w:p w14:paraId="4A34AC99">
      <w:pPr>
        <w:spacing w:line="360" w:lineRule="auto"/>
        <w:ind w:firstLine="480" w:firstLineChars="200"/>
        <w:rPr>
          <w:rFonts w:ascii="黑体" w:hAnsi="黑体" w:eastAsia="黑体"/>
          <w:color w:val="auto"/>
          <w:sz w:val="24"/>
          <w:highlight w:val="none"/>
        </w:rPr>
      </w:pPr>
      <w:bookmarkStart w:id="121" w:name="_42.代理服务费"/>
      <w:bookmarkEnd w:id="121"/>
      <w:r>
        <w:rPr>
          <w:rFonts w:hint="eastAsia" w:ascii="黑体" w:hAnsi="黑体" w:eastAsia="黑体"/>
          <w:color w:val="auto"/>
          <w:sz w:val="24"/>
          <w:highlight w:val="none"/>
        </w:rPr>
        <w:t>40.代理服务费</w:t>
      </w:r>
    </w:p>
    <w:p w14:paraId="2BE28830">
      <w:pPr>
        <w:spacing w:line="360" w:lineRule="auto"/>
        <w:ind w:firstLine="422" w:firstLineChars="200"/>
        <w:rPr>
          <w:rFonts w:ascii="宋体" w:hAnsi="宋体"/>
          <w:b/>
          <w:color w:val="auto"/>
          <w:szCs w:val="21"/>
          <w:highlight w:val="none"/>
        </w:rPr>
      </w:pPr>
      <w:r>
        <w:rPr>
          <w:rFonts w:hint="eastAsia" w:ascii="宋体" w:hAnsi="宋体"/>
          <w:b/>
          <w:color w:val="auto"/>
          <w:szCs w:val="21"/>
          <w:highlight w:val="none"/>
        </w:rPr>
        <w:t>代理服务收费标准及缴费账户详见“投标人须知前附表”，投标人为联合体的，可以由联合体中的一方或者多方共同交纳代理服务费。</w:t>
      </w:r>
    </w:p>
    <w:p w14:paraId="7C197A5B">
      <w:pPr>
        <w:spacing w:line="360" w:lineRule="auto"/>
        <w:ind w:firstLine="480" w:firstLineChars="200"/>
        <w:rPr>
          <w:rFonts w:ascii="黑体" w:hAnsi="黑体" w:eastAsia="黑体"/>
          <w:color w:val="auto"/>
          <w:sz w:val="24"/>
          <w:highlight w:val="none"/>
        </w:rPr>
      </w:pPr>
      <w:r>
        <w:rPr>
          <w:rFonts w:hint="eastAsia" w:ascii="黑体" w:hAnsi="黑体" w:eastAsia="黑体"/>
          <w:color w:val="auto"/>
          <w:sz w:val="24"/>
          <w:highlight w:val="none"/>
        </w:rPr>
        <w:t>41. 需要补充的其他内容</w:t>
      </w:r>
    </w:p>
    <w:p w14:paraId="544B9BF0">
      <w:pPr>
        <w:spacing w:line="360" w:lineRule="auto"/>
        <w:ind w:firstLine="420" w:firstLineChars="200"/>
        <w:rPr>
          <w:rFonts w:hAnsi="宋体"/>
          <w:color w:val="auto"/>
          <w:highlight w:val="none"/>
        </w:rPr>
      </w:pPr>
      <w:r>
        <w:rPr>
          <w:rFonts w:hAnsi="宋体"/>
          <w:color w:val="auto"/>
          <w:highlight w:val="none"/>
        </w:rPr>
        <w:t>41.1</w:t>
      </w:r>
      <w:r>
        <w:rPr>
          <w:rFonts w:hint="eastAsia" w:hAnsi="宋体" w:cs="宋体"/>
          <w:color w:val="auto"/>
          <w:highlight w:val="none"/>
        </w:rPr>
        <w:t>本招标文件解释规则详见</w:t>
      </w:r>
      <w:r>
        <w:rPr>
          <w:rFonts w:hint="eastAsia" w:hAnsi="宋体"/>
          <w:color w:val="auto"/>
          <w:highlight w:val="none"/>
        </w:rPr>
        <w:t>“投标人须知前附表”。</w:t>
      </w:r>
    </w:p>
    <w:p w14:paraId="4A4FCF9D">
      <w:pPr>
        <w:spacing w:line="360" w:lineRule="auto"/>
        <w:ind w:firstLine="420" w:firstLineChars="200"/>
        <w:rPr>
          <w:rFonts w:hAnsi="宋体"/>
          <w:color w:val="auto"/>
          <w:highlight w:val="none"/>
        </w:rPr>
      </w:pPr>
      <w:r>
        <w:rPr>
          <w:rFonts w:hAnsi="宋体" w:cs="宋体"/>
          <w:color w:val="auto"/>
          <w:highlight w:val="none"/>
        </w:rPr>
        <w:t xml:space="preserve">41.2 </w:t>
      </w:r>
      <w:r>
        <w:rPr>
          <w:rFonts w:hint="eastAsia" w:hAnsi="宋体"/>
          <w:color w:val="auto"/>
          <w:highlight w:val="none"/>
        </w:rPr>
        <w:t>其他事项详见“投标人须知前附表”。</w:t>
      </w:r>
    </w:p>
    <w:p w14:paraId="36AEC325">
      <w:pPr>
        <w:spacing w:line="360" w:lineRule="auto"/>
        <w:ind w:firstLine="420" w:firstLineChars="200"/>
        <w:rPr>
          <w:rFonts w:hAnsi="宋体"/>
          <w:color w:val="auto"/>
          <w:highlight w:val="none"/>
        </w:rPr>
      </w:pPr>
      <w:r>
        <w:rPr>
          <w:rFonts w:hAnsi="宋体"/>
          <w:color w:val="auto"/>
          <w:highlight w:val="none"/>
        </w:rPr>
        <w:t>41.3</w:t>
      </w:r>
      <w:r>
        <w:rPr>
          <w:rFonts w:hint="eastAsia" w:hAnsi="宋体"/>
          <w:color w:val="auto"/>
          <w:highlight w:val="none"/>
        </w:rPr>
        <w:t>本文件所称中小企业，是指在中华人民共和国境内依法设立，依据国务院批准的中小企业划分标准确定的中型企业、小型企业和微型企业，但与大企业的负责人为同一人，或者与大企业存在直接控股、管理关系的除外。符合中小企业划分标准的个体工商户，在政府采购活动中视同中小企业。在政府采购活动中，供应商提供的服务的人员为中小企业依照《中华人民共和国劳动合同法》订立劳动合同的从业人员，</w:t>
      </w:r>
      <w:r>
        <w:rPr>
          <w:rFonts w:hint="eastAsia"/>
          <w:color w:val="auto"/>
          <w:highlight w:val="none"/>
        </w:rPr>
        <w:t>不对其中涉及的货物的制造商和工程承建商作出要求的，</w:t>
      </w:r>
      <w:r>
        <w:rPr>
          <w:rFonts w:hint="eastAsia" w:hAnsi="宋体"/>
          <w:color w:val="auto"/>
          <w:highlight w:val="none"/>
        </w:rPr>
        <w:t>享受本文件规定的中小企业扶持政策。</w:t>
      </w:r>
    </w:p>
    <w:p w14:paraId="285F6266">
      <w:pPr>
        <w:spacing w:line="360" w:lineRule="auto"/>
        <w:ind w:firstLine="420" w:firstLineChars="200"/>
        <w:rPr>
          <w:rFonts w:hAnsi="宋体"/>
          <w:color w:val="auto"/>
          <w:highlight w:val="none"/>
        </w:rPr>
      </w:pPr>
      <w:r>
        <w:rPr>
          <w:rFonts w:hint="eastAsia" w:hAnsi="宋体"/>
          <w:color w:val="auto"/>
          <w:highlight w:val="none"/>
        </w:rPr>
        <w:t>以联合体形式参加政府采购活动，联合体各方均为中小企业的，联合体视同中小企业。其中，联合体各方均为小微企业的，联合体视同小微企业。</w:t>
      </w:r>
    </w:p>
    <w:p w14:paraId="3DC7FD10">
      <w:pPr>
        <w:spacing w:line="360" w:lineRule="auto"/>
        <w:ind w:firstLine="420" w:firstLineChars="200"/>
        <w:rPr>
          <w:rFonts w:hAnsi="宋体"/>
          <w:color w:val="auto"/>
          <w:highlight w:val="none"/>
        </w:rPr>
      </w:pPr>
      <w:r>
        <w:rPr>
          <w:rFonts w:hint="eastAsia" w:hAnsi="宋体"/>
          <w:color w:val="auto"/>
          <w:highlight w:val="none"/>
        </w:rPr>
        <w:t>依据本文件规定享受扶持政策获得政府采购合同的，小微企业不得将合同分包给大中型企业，中型企业不得将合同分包给大型企业。</w:t>
      </w:r>
    </w:p>
    <w:p w14:paraId="454A6224">
      <w:pPr>
        <w:spacing w:line="360" w:lineRule="auto"/>
        <w:ind w:firstLine="480" w:firstLineChars="200"/>
        <w:rPr>
          <w:rFonts w:ascii="黑体" w:hAnsi="黑体" w:eastAsia="黑体"/>
          <w:color w:val="auto"/>
          <w:sz w:val="24"/>
          <w:highlight w:val="none"/>
        </w:rPr>
      </w:pPr>
      <w:r>
        <w:rPr>
          <w:rFonts w:hint="eastAsia" w:ascii="黑体" w:hAnsi="黑体" w:eastAsia="黑体"/>
          <w:color w:val="auto"/>
          <w:sz w:val="24"/>
          <w:highlight w:val="none"/>
        </w:rPr>
        <w:t>42. 政采贷相关说明</w:t>
      </w:r>
    </w:p>
    <w:p w14:paraId="79279D4E">
      <w:pPr>
        <w:spacing w:line="360" w:lineRule="auto"/>
        <w:ind w:firstLine="420" w:firstLineChars="200"/>
        <w:jc w:val="left"/>
        <w:rPr>
          <w:rFonts w:hAnsi="宋体"/>
          <w:color w:val="auto"/>
          <w:highlight w:val="none"/>
        </w:rPr>
      </w:pPr>
      <w:r>
        <w:rPr>
          <w:rFonts w:hint="eastAsia" w:hAnsi="宋体"/>
          <w:color w:val="auto"/>
          <w:highlight w:val="none"/>
        </w:rPr>
        <w:t>为优化政府采购营商环境，缓解供应商资金难题，南宁市政府采购试行政府采购信用融资制度，中标供应商如有融资需求，可凭政府采购合同通过以下方式申请政府采购信用融资贷款：</w:t>
      </w:r>
    </w:p>
    <w:p w14:paraId="1134063C">
      <w:pPr>
        <w:numPr>
          <w:ilvl w:val="0"/>
          <w:numId w:val="2"/>
        </w:numPr>
        <w:spacing w:line="360" w:lineRule="auto"/>
        <w:ind w:firstLine="420" w:firstLineChars="200"/>
        <w:jc w:val="left"/>
        <w:rPr>
          <w:rFonts w:hAnsi="宋体"/>
          <w:color w:val="auto"/>
          <w:highlight w:val="none"/>
        </w:rPr>
      </w:pPr>
      <w:r>
        <w:rPr>
          <w:rFonts w:hint="eastAsia" w:hAnsi="宋体"/>
          <w:color w:val="auto"/>
          <w:highlight w:val="none"/>
        </w:rPr>
        <w:t>线下渠道：在“南宁市公共资源交易中心”官网（网址：</w:t>
      </w:r>
      <w:r>
        <w:rPr>
          <w:rFonts w:hAnsi="宋体"/>
          <w:color w:val="auto"/>
          <w:highlight w:val="none"/>
        </w:rPr>
        <w:t>http://www.nnggzy.org.cn</w:t>
      </w:r>
      <w:r>
        <w:rPr>
          <w:rFonts w:hint="eastAsia" w:hAnsi="宋体"/>
          <w:color w:val="auto"/>
          <w:highlight w:val="none"/>
        </w:rPr>
        <w:t>）“交易信息</w:t>
      </w:r>
      <w:r>
        <w:rPr>
          <w:rFonts w:hAnsi="宋体"/>
          <w:color w:val="auto"/>
          <w:highlight w:val="none"/>
        </w:rPr>
        <w:t>-</w:t>
      </w:r>
      <w:r>
        <w:rPr>
          <w:rFonts w:hint="eastAsia" w:hAnsi="宋体"/>
          <w:color w:val="auto"/>
          <w:highlight w:val="none"/>
        </w:rPr>
        <w:t>政府采购</w:t>
      </w:r>
      <w:r>
        <w:rPr>
          <w:rFonts w:hAnsi="宋体"/>
          <w:color w:val="auto"/>
          <w:highlight w:val="none"/>
        </w:rPr>
        <w:t>-</w:t>
      </w:r>
      <w:r>
        <w:rPr>
          <w:rFonts w:hint="eastAsia" w:hAnsi="宋体"/>
          <w:color w:val="auto"/>
          <w:highlight w:val="none"/>
        </w:rPr>
        <w:t>政府采购信用融资”中融资银行和南宁市企业融资服务中心专栏信息申请政府采购信用融资。</w:t>
      </w:r>
    </w:p>
    <w:p w14:paraId="4BB4F811">
      <w:pPr>
        <w:numPr>
          <w:ilvl w:val="0"/>
          <w:numId w:val="2"/>
        </w:numPr>
        <w:spacing w:line="360" w:lineRule="auto"/>
        <w:ind w:firstLine="420" w:firstLineChars="200"/>
        <w:jc w:val="left"/>
        <w:rPr>
          <w:rFonts w:hAnsi="宋体"/>
          <w:color w:val="auto"/>
          <w:highlight w:val="none"/>
        </w:rPr>
      </w:pPr>
      <w:r>
        <w:rPr>
          <w:rFonts w:hint="eastAsia" w:hAnsi="宋体"/>
          <w:color w:val="auto"/>
          <w:highlight w:val="none"/>
        </w:rPr>
        <w:t>线上渠道：登录中征营应收账款融资服务平台（网址：https://www.crcrfsp.com，客服电话：400-009-0001），选择相关金融产品和银行业金融机构金融融资贷款。具体操作方式见《中国人民银行南宁中心支行广西壮族自治区财政厅关于推广线上“政采贷”融资模式的通知》（南宁银发〔2021〕258号）文（文件公开网址详情见：“广西政府采购网”——http://www.ccgp-guangxi.gov.cn/AdministrativeRegulations/AutonomousRegion/9830442.html）</w:t>
      </w:r>
      <w:r>
        <w:rPr>
          <w:rFonts w:hAnsi="宋体"/>
          <w:color w:val="auto"/>
          <w:highlight w:val="none"/>
        </w:rPr>
        <w:br w:type="page"/>
      </w:r>
      <w:bookmarkStart w:id="122" w:name="_Toc532545043"/>
    </w:p>
    <w:p w14:paraId="50C71965">
      <w:pPr>
        <w:pStyle w:val="7"/>
        <w:jc w:val="center"/>
        <w:outlineLvl w:val="0"/>
        <w:rPr>
          <w:rFonts w:ascii="Times New Roman" w:hAnsi="Times New Roman"/>
          <w:b/>
          <w:color w:val="auto"/>
          <w:sz w:val="36"/>
          <w:highlight w:val="none"/>
        </w:rPr>
      </w:pPr>
      <w:bookmarkStart w:id="123" w:name="_Toc187761563"/>
      <w:r>
        <w:rPr>
          <w:rFonts w:hint="eastAsia" w:ascii="Times New Roman" w:hAnsi="Times New Roman"/>
          <w:b/>
          <w:color w:val="auto"/>
          <w:sz w:val="36"/>
          <w:highlight w:val="none"/>
        </w:rPr>
        <w:t>第四章评标方法</w:t>
      </w:r>
      <w:bookmarkEnd w:id="122"/>
      <w:r>
        <w:rPr>
          <w:rFonts w:hint="eastAsia" w:ascii="Times New Roman" w:hAnsi="Times New Roman"/>
          <w:b/>
          <w:color w:val="auto"/>
          <w:sz w:val="36"/>
          <w:highlight w:val="none"/>
        </w:rPr>
        <w:t>及评分标准</w:t>
      </w:r>
      <w:bookmarkEnd w:id="123"/>
    </w:p>
    <w:p w14:paraId="15EC2C70">
      <w:pPr>
        <w:pStyle w:val="7"/>
        <w:jc w:val="center"/>
        <w:outlineLvl w:val="1"/>
        <w:rPr>
          <w:rFonts w:ascii="Times New Roman" w:hAnsi="Times New Roman"/>
          <w:b/>
          <w:bCs/>
          <w:color w:val="auto"/>
          <w:sz w:val="32"/>
          <w:szCs w:val="32"/>
          <w:highlight w:val="none"/>
        </w:rPr>
      </w:pPr>
      <w:bookmarkStart w:id="124" w:name="_Toc187761564"/>
      <w:r>
        <w:rPr>
          <w:rFonts w:hint="eastAsia" w:ascii="Times New Roman" w:hAnsi="Times New Roman"/>
          <w:b/>
          <w:bCs/>
          <w:color w:val="auto"/>
          <w:sz w:val="32"/>
          <w:szCs w:val="32"/>
          <w:highlight w:val="none"/>
        </w:rPr>
        <w:t>第一节评标方法</w:t>
      </w:r>
      <w:bookmarkEnd w:id="124"/>
    </w:p>
    <w:p w14:paraId="53FC33C9">
      <w:pPr>
        <w:pStyle w:val="7"/>
        <w:tabs>
          <w:tab w:val="left" w:pos="2472"/>
        </w:tabs>
        <w:spacing w:line="460" w:lineRule="exact"/>
        <w:ind w:firstLine="420" w:firstLineChars="200"/>
        <w:rPr>
          <w:color w:val="auto"/>
          <w:szCs w:val="21"/>
          <w:highlight w:val="none"/>
        </w:rPr>
      </w:pPr>
      <w:r>
        <w:rPr>
          <w:rFonts w:hint="eastAsia" w:hAnsi="宋体" w:cs="宋体"/>
          <w:color w:val="auto"/>
          <w:szCs w:val="21"/>
          <w:highlight w:val="none"/>
        </w:rPr>
        <w:t>本项目采用</w:t>
      </w:r>
      <w:r>
        <w:rPr>
          <w:rFonts w:hint="eastAsia" w:hAnsi="宋体" w:cs="宋体"/>
          <w:color w:val="auto"/>
          <w:szCs w:val="21"/>
          <w:highlight w:val="none"/>
          <w:u w:val="single"/>
        </w:rPr>
        <w:t xml:space="preserve"> 以下勾选的方式</w:t>
      </w:r>
      <w:r>
        <w:rPr>
          <w:rFonts w:hint="eastAsia" w:hAnsi="宋体" w:cs="宋体"/>
          <w:color w:val="auto"/>
          <w:szCs w:val="21"/>
          <w:highlight w:val="none"/>
        </w:rPr>
        <w:t>进行评审。</w:t>
      </w:r>
    </w:p>
    <w:p w14:paraId="3A75CB22">
      <w:pPr>
        <w:pStyle w:val="7"/>
        <w:spacing w:line="360" w:lineRule="auto"/>
        <w:ind w:firstLine="420"/>
        <w:rPr>
          <w:rFonts w:hAnsi="宋体"/>
          <w:color w:val="auto"/>
          <w:highlight w:val="none"/>
        </w:rPr>
      </w:pPr>
      <w:r>
        <w:rPr>
          <w:rFonts w:hint="eastAsia" w:hAnsi="宋体"/>
          <w:color w:val="auto"/>
          <w:szCs w:val="21"/>
          <w:highlight w:val="none"/>
        </w:rPr>
        <w:t>□最低评标价法，是指投标文件满足招标文件</w:t>
      </w:r>
      <w:r>
        <w:rPr>
          <w:rFonts w:hint="eastAsia" w:hAnsi="宋体"/>
          <w:color w:val="auto"/>
          <w:highlight w:val="none"/>
        </w:rPr>
        <w:t>全部实质性要求，且投标报价最低的投标人为中标候选人的评标方法。</w:t>
      </w:r>
    </w:p>
    <w:p w14:paraId="020AFF5A">
      <w:pPr>
        <w:autoSpaceDE w:val="0"/>
        <w:autoSpaceDN w:val="0"/>
        <w:adjustRightInd w:val="0"/>
        <w:spacing w:line="440" w:lineRule="exact"/>
        <w:ind w:firstLine="420" w:firstLineChars="200"/>
        <w:rPr>
          <w:rFonts w:ascii="宋体" w:hAnsi="宋体"/>
          <w:color w:val="auto"/>
          <w:sz w:val="24"/>
          <w:highlight w:val="none"/>
        </w:rPr>
      </w:pPr>
      <w:r>
        <w:rPr>
          <w:rFonts w:hint="eastAsia" w:ascii="宋体" w:hAnsi="宋体"/>
          <w:color w:val="auto"/>
          <w:highlight w:val="none"/>
        </w:rPr>
        <w:t>√</w:t>
      </w:r>
      <w:r>
        <w:rPr>
          <w:rFonts w:hint="eastAsia" w:hAnsi="宋体"/>
          <w:color w:val="auto"/>
          <w:highlight w:val="none"/>
        </w:rPr>
        <w:t>综合评分法，</w:t>
      </w:r>
      <w:r>
        <w:rPr>
          <w:rFonts w:hint="eastAsia" w:ascii="宋体" w:hAnsi="宋体"/>
          <w:color w:val="auto"/>
          <w:szCs w:val="20"/>
          <w:highlight w:val="none"/>
        </w:rPr>
        <w:t xml:space="preserve">是指投标文件满足招标文件全部实质性要求，且按照评审因素的量化指标评审得分最高的投标人为中标候选人的评标方法。评标委员会将对各投标人的投标报价、技术和服务方案、投标人的企业实力及资质等方面进行综合评审，对实质上响应招标文件的投标人，由各评委独立记名打分。经统计，得出各投标人的综合得分,按综合得分由高到低顺序排列。若综合得分相同的，按投标报价由低到高顺序排列。若综合得分且投标报价相同的，货物类采购项目以技术性能得分较高者为先，服务类采购项目以实力信誉及业绩得分较高者为先。 </w:t>
      </w:r>
    </w:p>
    <w:p w14:paraId="3C15373A">
      <w:pPr>
        <w:pStyle w:val="7"/>
        <w:spacing w:line="360" w:lineRule="auto"/>
        <w:ind w:firstLine="420"/>
        <w:rPr>
          <w:rFonts w:hAnsi="宋体"/>
          <w:color w:val="auto"/>
          <w:highlight w:val="none"/>
        </w:rPr>
      </w:pPr>
    </w:p>
    <w:p w14:paraId="0204EFB7">
      <w:pPr>
        <w:pStyle w:val="7"/>
        <w:tabs>
          <w:tab w:val="left" w:pos="2472"/>
        </w:tabs>
        <w:spacing w:line="460" w:lineRule="exact"/>
        <w:jc w:val="center"/>
        <w:outlineLvl w:val="1"/>
        <w:rPr>
          <w:rFonts w:ascii="Times New Roman" w:hAnsi="Times New Roman"/>
          <w:b/>
          <w:bCs/>
          <w:color w:val="auto"/>
          <w:sz w:val="32"/>
          <w:szCs w:val="32"/>
          <w:highlight w:val="none"/>
        </w:rPr>
      </w:pPr>
      <w:bookmarkStart w:id="125" w:name="_Toc187761565"/>
      <w:r>
        <w:rPr>
          <w:rFonts w:hint="eastAsia" w:ascii="Times New Roman" w:hAnsi="Times New Roman"/>
          <w:b/>
          <w:bCs/>
          <w:color w:val="auto"/>
          <w:sz w:val="32"/>
          <w:szCs w:val="32"/>
          <w:highlight w:val="none"/>
        </w:rPr>
        <w:t>第二节评标程序</w:t>
      </w:r>
      <w:bookmarkEnd w:id="125"/>
    </w:p>
    <w:p w14:paraId="0B410A9D">
      <w:pPr>
        <w:spacing w:line="360" w:lineRule="auto"/>
        <w:ind w:firstLine="422" w:firstLineChars="200"/>
        <w:rPr>
          <w:rFonts w:ascii="宋体" w:hAnsi="宋体"/>
          <w:b/>
          <w:color w:val="auto"/>
          <w:szCs w:val="21"/>
          <w:highlight w:val="none"/>
        </w:rPr>
      </w:pPr>
      <w:r>
        <w:rPr>
          <w:rFonts w:hint="eastAsia" w:ascii="宋体" w:hAnsi="宋体"/>
          <w:b/>
          <w:color w:val="auto"/>
          <w:szCs w:val="21"/>
          <w:highlight w:val="none"/>
        </w:rPr>
        <w:t>1.符合性审查</w:t>
      </w:r>
    </w:p>
    <w:p w14:paraId="7E925184">
      <w:pPr>
        <w:spacing w:line="360" w:lineRule="auto"/>
        <w:ind w:firstLine="420" w:firstLineChars="200"/>
        <w:rPr>
          <w:rFonts w:hAnsi="宋体"/>
          <w:color w:val="auto"/>
          <w:highlight w:val="none"/>
        </w:rPr>
      </w:pPr>
      <w:r>
        <w:rPr>
          <w:rFonts w:hint="eastAsia" w:hAnsi="宋体"/>
          <w:color w:val="auto"/>
          <w:highlight w:val="none"/>
        </w:rPr>
        <w:t>评标委员会应当对符合资格的投标人的投标文件进行投标报价、商务、技术等实质性内容符合性审查，以确定其是否满足招标文件的实质性要求。</w:t>
      </w:r>
    </w:p>
    <w:p w14:paraId="7E75AA1E">
      <w:pPr>
        <w:spacing w:line="360" w:lineRule="auto"/>
        <w:ind w:firstLine="422" w:firstLineChars="200"/>
        <w:rPr>
          <w:rFonts w:ascii="宋体" w:hAnsi="宋体"/>
          <w:b/>
          <w:color w:val="auto"/>
          <w:szCs w:val="21"/>
          <w:highlight w:val="none"/>
        </w:rPr>
      </w:pPr>
      <w:r>
        <w:rPr>
          <w:rFonts w:hint="eastAsia" w:ascii="宋体" w:hAnsi="宋体"/>
          <w:b/>
          <w:color w:val="auto"/>
          <w:szCs w:val="21"/>
          <w:highlight w:val="none"/>
        </w:rPr>
        <w:t>2.符合性审查不通过而导致投标无效的情形</w:t>
      </w:r>
    </w:p>
    <w:p w14:paraId="217E49B5">
      <w:pPr>
        <w:spacing w:line="360" w:lineRule="auto"/>
        <w:ind w:firstLine="420" w:firstLineChars="200"/>
        <w:rPr>
          <w:rFonts w:ascii="宋体" w:hAnsi="宋体"/>
          <w:color w:val="auto"/>
          <w:szCs w:val="21"/>
          <w:highlight w:val="none"/>
        </w:rPr>
      </w:pPr>
      <w:r>
        <w:rPr>
          <w:rFonts w:hint="eastAsia" w:ascii="宋体" w:hAnsi="宋体"/>
          <w:color w:val="auto"/>
          <w:szCs w:val="21"/>
          <w:highlight w:val="none"/>
        </w:rPr>
        <w:t>投标人的投标文件中存在对招标文件的任何实质性要求和条件的负偏离，将被视为投标无效。</w:t>
      </w:r>
    </w:p>
    <w:p w14:paraId="61C9030A">
      <w:pPr>
        <w:spacing w:line="360" w:lineRule="auto"/>
        <w:ind w:firstLine="420" w:firstLineChars="200"/>
        <w:rPr>
          <w:rFonts w:ascii="宋体" w:hAnsi="宋体"/>
          <w:color w:val="auto"/>
          <w:szCs w:val="21"/>
          <w:highlight w:val="none"/>
        </w:rPr>
      </w:pPr>
      <w:r>
        <w:rPr>
          <w:rFonts w:hint="eastAsia" w:ascii="宋体" w:hAnsi="宋体"/>
          <w:color w:val="auto"/>
          <w:szCs w:val="21"/>
          <w:highlight w:val="none"/>
        </w:rPr>
        <w:t>2.1在报价评审时，如发现下列情形之一的，将被视为投标无效：</w:t>
      </w:r>
    </w:p>
    <w:p w14:paraId="509558C4">
      <w:pPr>
        <w:spacing w:line="360" w:lineRule="auto"/>
        <w:ind w:firstLine="420" w:firstLineChars="200"/>
        <w:rPr>
          <w:rFonts w:ascii="宋体" w:hAnsi="宋体"/>
          <w:color w:val="auto"/>
          <w:szCs w:val="21"/>
          <w:highlight w:val="none"/>
        </w:rPr>
      </w:pPr>
      <w:r>
        <w:rPr>
          <w:rFonts w:hint="eastAsia" w:ascii="宋体" w:hAnsi="宋体"/>
          <w:color w:val="auto"/>
          <w:szCs w:val="21"/>
          <w:highlight w:val="none"/>
        </w:rPr>
        <w:t>（1）投标文件未提供“投标人须知前附表”第13.1条规定中“必须提供”的文件资料的;</w:t>
      </w:r>
    </w:p>
    <w:p w14:paraId="7F0DDD33">
      <w:pPr>
        <w:spacing w:line="360" w:lineRule="auto"/>
        <w:ind w:firstLine="420" w:firstLineChars="200"/>
        <w:rPr>
          <w:rFonts w:ascii="宋体" w:hAnsi="宋体"/>
          <w:color w:val="auto"/>
          <w:szCs w:val="21"/>
          <w:highlight w:val="none"/>
        </w:rPr>
      </w:pPr>
      <w:r>
        <w:rPr>
          <w:rFonts w:hint="eastAsia" w:ascii="宋体" w:hAnsi="宋体"/>
          <w:color w:val="auto"/>
          <w:szCs w:val="21"/>
          <w:highlight w:val="none"/>
        </w:rPr>
        <w:t>（2）未采用人民币报价或者未按照招标文件标明的币种报价的；</w:t>
      </w:r>
    </w:p>
    <w:p w14:paraId="2AAB8185">
      <w:pPr>
        <w:spacing w:line="360" w:lineRule="auto"/>
        <w:ind w:firstLine="420" w:firstLineChars="200"/>
        <w:rPr>
          <w:rFonts w:ascii="宋体" w:hAnsi="宋体"/>
          <w:color w:val="auto"/>
          <w:szCs w:val="21"/>
          <w:highlight w:val="none"/>
        </w:rPr>
      </w:pPr>
      <w:r>
        <w:rPr>
          <w:rFonts w:hint="eastAsia" w:ascii="宋体" w:hAnsi="宋体"/>
          <w:color w:val="auto"/>
          <w:szCs w:val="21"/>
          <w:highlight w:val="none"/>
        </w:rPr>
        <w:t>（3）报价超出招标文件规定最高限价，或者超出采购预算金额（包括分项预算）的；</w:t>
      </w:r>
    </w:p>
    <w:p w14:paraId="4B9BABBA">
      <w:pPr>
        <w:spacing w:line="360" w:lineRule="auto"/>
        <w:ind w:firstLine="420" w:firstLineChars="200"/>
        <w:rPr>
          <w:rFonts w:ascii="宋体" w:hAnsi="宋体"/>
          <w:color w:val="auto"/>
          <w:szCs w:val="21"/>
          <w:highlight w:val="none"/>
        </w:rPr>
      </w:pPr>
      <w:r>
        <w:rPr>
          <w:rFonts w:hint="eastAsia" w:ascii="宋体" w:hAnsi="宋体"/>
          <w:color w:val="auto"/>
          <w:szCs w:val="21"/>
          <w:highlight w:val="none"/>
        </w:rPr>
        <w:t>（4）投标人未就所投分标进行报价或者存在漏项报价；投标人未就所投分标的单项内容作唯一报价；投标人未就所投分标的全部内容作唯一总价报价；存在有选择、有条件报价的（招标文件允许有备选方案或者其他约定的除外）；</w:t>
      </w:r>
    </w:p>
    <w:p w14:paraId="4FB587B1">
      <w:pPr>
        <w:spacing w:line="360" w:lineRule="auto"/>
        <w:ind w:firstLine="420" w:firstLineChars="200"/>
        <w:rPr>
          <w:rFonts w:ascii="宋体" w:hAnsi="宋体"/>
          <w:color w:val="auto"/>
          <w:szCs w:val="21"/>
          <w:highlight w:val="none"/>
        </w:rPr>
      </w:pPr>
      <w:r>
        <w:rPr>
          <w:rFonts w:hint="eastAsia" w:ascii="宋体" w:hAnsi="宋体"/>
          <w:color w:val="auto"/>
          <w:szCs w:val="21"/>
          <w:highlight w:val="none"/>
        </w:rPr>
        <w:t>（5）修正后的报价，投标人不确认的；</w:t>
      </w:r>
    </w:p>
    <w:p w14:paraId="3B979D28">
      <w:pPr>
        <w:spacing w:line="360" w:lineRule="auto"/>
        <w:ind w:firstLine="420" w:firstLineChars="200"/>
        <w:rPr>
          <w:rFonts w:ascii="宋体" w:hAnsi="宋体"/>
          <w:color w:val="auto"/>
          <w:szCs w:val="21"/>
          <w:highlight w:val="none"/>
        </w:rPr>
      </w:pPr>
      <w:r>
        <w:rPr>
          <w:rFonts w:hint="eastAsia" w:ascii="宋体" w:hAnsi="宋体"/>
          <w:color w:val="auto"/>
          <w:szCs w:val="21"/>
          <w:highlight w:val="none"/>
        </w:rPr>
        <w:t>（6）投标人属于本章第5条第（2）项情形的。</w:t>
      </w:r>
    </w:p>
    <w:p w14:paraId="007074D3">
      <w:pPr>
        <w:spacing w:line="360" w:lineRule="auto"/>
        <w:ind w:firstLine="420" w:firstLineChars="200"/>
        <w:rPr>
          <w:rFonts w:ascii="宋体" w:hAnsi="宋体"/>
          <w:color w:val="auto"/>
          <w:szCs w:val="21"/>
          <w:highlight w:val="none"/>
        </w:rPr>
      </w:pPr>
      <w:r>
        <w:rPr>
          <w:rFonts w:hint="eastAsia" w:ascii="宋体" w:hAnsi="宋体"/>
          <w:color w:val="auto"/>
          <w:szCs w:val="21"/>
          <w:highlight w:val="none"/>
        </w:rPr>
        <w:t>2.2在商务评审时，如发现下列情形之一的，将被视为投标无效：</w:t>
      </w:r>
    </w:p>
    <w:p w14:paraId="43855206">
      <w:pPr>
        <w:spacing w:line="360" w:lineRule="auto"/>
        <w:ind w:firstLine="420" w:firstLineChars="200"/>
        <w:rPr>
          <w:rFonts w:ascii="宋体" w:hAnsi="宋体"/>
          <w:color w:val="auto"/>
          <w:szCs w:val="21"/>
          <w:highlight w:val="none"/>
        </w:rPr>
      </w:pPr>
      <w:r>
        <w:rPr>
          <w:rFonts w:hint="eastAsia" w:ascii="宋体" w:hAnsi="宋体"/>
          <w:color w:val="auto"/>
          <w:szCs w:val="21"/>
          <w:highlight w:val="none"/>
        </w:rPr>
        <w:t>（1）投标文件未按招标文件要求签署、盖章的；</w:t>
      </w:r>
    </w:p>
    <w:p w14:paraId="178EE712">
      <w:pPr>
        <w:spacing w:line="360" w:lineRule="auto"/>
        <w:ind w:firstLine="420" w:firstLineChars="200"/>
        <w:rPr>
          <w:rFonts w:ascii="宋体" w:hAnsi="宋体"/>
          <w:color w:val="auto"/>
          <w:szCs w:val="21"/>
          <w:highlight w:val="none"/>
        </w:rPr>
      </w:pPr>
      <w:r>
        <w:rPr>
          <w:rFonts w:hint="eastAsia" w:ascii="宋体" w:hAnsi="宋体"/>
          <w:color w:val="auto"/>
          <w:szCs w:val="21"/>
          <w:highlight w:val="none"/>
        </w:rPr>
        <w:t xml:space="preserve">（2）委托代理人未能出具有效身份证明或者出具的身份证明与授权委托书中的信息不符的； </w:t>
      </w:r>
    </w:p>
    <w:p w14:paraId="0D489D79">
      <w:pPr>
        <w:spacing w:line="360" w:lineRule="auto"/>
        <w:ind w:firstLine="420" w:firstLineChars="200"/>
        <w:rPr>
          <w:rFonts w:ascii="宋体" w:hAnsi="宋体"/>
          <w:color w:val="auto"/>
          <w:szCs w:val="21"/>
          <w:highlight w:val="none"/>
        </w:rPr>
      </w:pPr>
      <w:r>
        <w:rPr>
          <w:rFonts w:hint="eastAsia" w:ascii="宋体" w:hAnsi="宋体"/>
          <w:color w:val="auto"/>
          <w:szCs w:val="21"/>
          <w:highlight w:val="none"/>
        </w:rPr>
        <w:t>（3）投标文件未提供“投标人须知前附表”第13.1条规定中“必须提供”或者“委托时必须提供”的文件资料的;</w:t>
      </w:r>
    </w:p>
    <w:p w14:paraId="611FE274">
      <w:pPr>
        <w:spacing w:line="360" w:lineRule="auto"/>
        <w:ind w:firstLine="420" w:firstLineChars="200"/>
        <w:rPr>
          <w:rFonts w:ascii="宋体" w:hAnsi="宋体"/>
          <w:color w:val="auto"/>
          <w:szCs w:val="21"/>
          <w:highlight w:val="none"/>
        </w:rPr>
      </w:pPr>
      <w:r>
        <w:rPr>
          <w:rFonts w:hint="eastAsia" w:ascii="宋体" w:hAnsi="宋体"/>
          <w:color w:val="auto"/>
          <w:szCs w:val="21"/>
          <w:highlight w:val="none"/>
        </w:rPr>
        <w:t>（4）投标有效期、项目完成时间（交货时间、服务完成时间或者服务期等）、质保期、售后服务等招标文件中标“▲”的商务条款发生负偏离的；</w:t>
      </w:r>
    </w:p>
    <w:p w14:paraId="22A99B98">
      <w:pPr>
        <w:spacing w:line="360" w:lineRule="auto"/>
        <w:ind w:firstLine="420" w:firstLineChars="200"/>
        <w:rPr>
          <w:rFonts w:ascii="宋体" w:hAnsi="宋体"/>
          <w:color w:val="auto"/>
          <w:szCs w:val="21"/>
          <w:highlight w:val="none"/>
        </w:rPr>
      </w:pPr>
      <w:r>
        <w:rPr>
          <w:rFonts w:hint="eastAsia" w:ascii="宋体" w:hAnsi="宋体"/>
          <w:color w:val="auto"/>
          <w:szCs w:val="21"/>
          <w:highlight w:val="none"/>
        </w:rPr>
        <w:t>（5）商务条款评审允许负偏离的条款数超过“投标人须知前附表”规定项数的。</w:t>
      </w:r>
    </w:p>
    <w:p w14:paraId="71B35935">
      <w:pPr>
        <w:spacing w:line="360" w:lineRule="auto"/>
        <w:ind w:firstLine="420" w:firstLineChars="200"/>
        <w:rPr>
          <w:rFonts w:ascii="宋体" w:hAnsi="宋体"/>
          <w:color w:val="auto"/>
          <w:szCs w:val="21"/>
          <w:highlight w:val="none"/>
        </w:rPr>
      </w:pPr>
      <w:r>
        <w:rPr>
          <w:rFonts w:hint="eastAsia" w:ascii="宋体" w:hAnsi="宋体"/>
          <w:color w:val="auto"/>
          <w:szCs w:val="21"/>
          <w:highlight w:val="none"/>
        </w:rPr>
        <w:t>（6）投标文件的实质性内容未使用中文表述、使用计量单位不符合招标文件要求的；</w:t>
      </w:r>
    </w:p>
    <w:p w14:paraId="20B6C2EE">
      <w:pPr>
        <w:spacing w:line="360" w:lineRule="auto"/>
        <w:ind w:firstLine="420" w:firstLineChars="200"/>
        <w:rPr>
          <w:rFonts w:ascii="宋体" w:hAnsi="宋体"/>
          <w:color w:val="auto"/>
          <w:szCs w:val="21"/>
          <w:highlight w:val="none"/>
        </w:rPr>
      </w:pPr>
      <w:r>
        <w:rPr>
          <w:rFonts w:hint="eastAsia" w:ascii="宋体" w:hAnsi="宋体"/>
          <w:color w:val="auto"/>
          <w:szCs w:val="21"/>
          <w:highlight w:val="none"/>
        </w:rPr>
        <w:t>（7）投标文件中的文件资料因填写不齐全或者内容虚假或者出现其他情形而导致被评标委员会认定无效的；</w:t>
      </w:r>
    </w:p>
    <w:p w14:paraId="4DEEABB5">
      <w:pPr>
        <w:spacing w:line="360" w:lineRule="auto"/>
        <w:ind w:firstLine="420" w:firstLineChars="200"/>
        <w:rPr>
          <w:rFonts w:ascii="宋体" w:hAnsi="宋体"/>
          <w:color w:val="auto"/>
          <w:szCs w:val="21"/>
          <w:highlight w:val="none"/>
        </w:rPr>
      </w:pPr>
      <w:r>
        <w:rPr>
          <w:rFonts w:hint="eastAsia" w:ascii="宋体" w:hAnsi="宋体"/>
          <w:color w:val="auto"/>
          <w:szCs w:val="21"/>
          <w:highlight w:val="none"/>
        </w:rPr>
        <w:t>（8）投标文件含有采购人不能接受的附加条件的；</w:t>
      </w:r>
    </w:p>
    <w:p w14:paraId="537E00CA">
      <w:pPr>
        <w:spacing w:line="360" w:lineRule="auto"/>
        <w:ind w:firstLine="420" w:firstLineChars="200"/>
        <w:rPr>
          <w:rFonts w:ascii="宋体" w:hAnsi="宋体"/>
          <w:color w:val="auto"/>
          <w:szCs w:val="21"/>
          <w:highlight w:val="none"/>
        </w:rPr>
      </w:pPr>
      <w:r>
        <w:rPr>
          <w:rFonts w:hint="eastAsia" w:ascii="宋体" w:hAnsi="宋体"/>
          <w:color w:val="auto"/>
          <w:szCs w:val="21"/>
          <w:highlight w:val="none"/>
        </w:rPr>
        <w:t>（9）未响应招标文件实质性要求的；</w:t>
      </w:r>
    </w:p>
    <w:p w14:paraId="3C4331EE">
      <w:pPr>
        <w:spacing w:line="360" w:lineRule="auto"/>
        <w:ind w:firstLine="420" w:firstLineChars="200"/>
        <w:rPr>
          <w:rFonts w:ascii="宋体" w:hAnsi="宋体"/>
          <w:color w:val="auto"/>
          <w:szCs w:val="21"/>
          <w:highlight w:val="none"/>
        </w:rPr>
      </w:pPr>
      <w:r>
        <w:rPr>
          <w:rFonts w:hint="eastAsia" w:ascii="宋体" w:hAnsi="宋体"/>
          <w:color w:val="auto"/>
          <w:szCs w:val="21"/>
          <w:highlight w:val="none"/>
        </w:rPr>
        <w:t>（10）属于投标人须知正文第9.2条情形的；</w:t>
      </w:r>
    </w:p>
    <w:p w14:paraId="5A44A31B">
      <w:pPr>
        <w:spacing w:line="360" w:lineRule="auto"/>
        <w:ind w:firstLine="420" w:firstLineChars="200"/>
        <w:rPr>
          <w:rFonts w:ascii="宋体" w:hAnsi="宋体"/>
          <w:color w:val="auto"/>
          <w:szCs w:val="21"/>
          <w:highlight w:val="none"/>
        </w:rPr>
      </w:pPr>
      <w:r>
        <w:rPr>
          <w:rFonts w:hint="eastAsia" w:ascii="宋体" w:hAnsi="宋体"/>
          <w:color w:val="auto"/>
          <w:szCs w:val="21"/>
          <w:highlight w:val="none"/>
        </w:rPr>
        <w:t>（11）法律、法规和招标文件规定的其他无效情形。</w:t>
      </w:r>
    </w:p>
    <w:p w14:paraId="364DE218">
      <w:pPr>
        <w:spacing w:line="360" w:lineRule="auto"/>
        <w:ind w:firstLine="420" w:firstLineChars="200"/>
        <w:rPr>
          <w:rFonts w:ascii="宋体" w:hAnsi="宋体"/>
          <w:color w:val="auto"/>
          <w:szCs w:val="21"/>
          <w:highlight w:val="none"/>
        </w:rPr>
      </w:pPr>
      <w:r>
        <w:rPr>
          <w:rFonts w:hint="eastAsia" w:ascii="宋体" w:hAnsi="宋体"/>
          <w:color w:val="auto"/>
          <w:szCs w:val="21"/>
          <w:highlight w:val="none"/>
        </w:rPr>
        <w:t>2.3在技术评审时，如发现下列情形之一的，将被视为投标无效：</w:t>
      </w:r>
    </w:p>
    <w:p w14:paraId="0AC74BAD">
      <w:pPr>
        <w:spacing w:line="360" w:lineRule="auto"/>
        <w:ind w:firstLine="420" w:firstLineChars="200"/>
        <w:rPr>
          <w:rFonts w:hAnsi="宋体"/>
          <w:color w:val="auto"/>
          <w:szCs w:val="21"/>
          <w:highlight w:val="none"/>
        </w:rPr>
      </w:pPr>
      <w:r>
        <w:rPr>
          <w:rFonts w:hint="eastAsia" w:hAnsi="宋体"/>
          <w:color w:val="auto"/>
          <w:szCs w:val="21"/>
          <w:highlight w:val="none"/>
        </w:rPr>
        <w:t>（</w:t>
      </w:r>
      <w:r>
        <w:rPr>
          <w:rFonts w:hAnsi="宋体"/>
          <w:color w:val="auto"/>
          <w:szCs w:val="21"/>
          <w:highlight w:val="none"/>
        </w:rPr>
        <w:t>1</w:t>
      </w:r>
      <w:r>
        <w:rPr>
          <w:rFonts w:hint="eastAsia" w:hAnsi="宋体"/>
          <w:color w:val="auto"/>
          <w:szCs w:val="21"/>
          <w:highlight w:val="none"/>
        </w:rPr>
        <w:t>）不满足招标文件要求的服务内容、技术要求、安全、质量标准，或者与招标文件中标“▲”的技术需求发生负偏离的；</w:t>
      </w:r>
    </w:p>
    <w:p w14:paraId="7466DC59">
      <w:pPr>
        <w:spacing w:line="360" w:lineRule="auto"/>
        <w:ind w:firstLine="420" w:firstLineChars="200"/>
        <w:rPr>
          <w:rFonts w:hAnsi="宋体"/>
          <w:color w:val="auto"/>
          <w:szCs w:val="21"/>
          <w:highlight w:val="none"/>
        </w:rPr>
      </w:pPr>
      <w:r>
        <w:rPr>
          <w:rFonts w:hint="eastAsia" w:hAnsi="宋体"/>
          <w:color w:val="auto"/>
          <w:szCs w:val="21"/>
          <w:highlight w:val="none"/>
        </w:rPr>
        <w:t>（</w:t>
      </w:r>
      <w:r>
        <w:rPr>
          <w:rFonts w:hAnsi="宋体"/>
          <w:color w:val="auto"/>
          <w:szCs w:val="21"/>
          <w:highlight w:val="none"/>
        </w:rPr>
        <w:t>2</w:t>
      </w:r>
      <w:r>
        <w:rPr>
          <w:rFonts w:hint="eastAsia" w:hAnsi="宋体"/>
          <w:color w:val="auto"/>
          <w:szCs w:val="21"/>
          <w:highlight w:val="none"/>
        </w:rPr>
        <w:t>）技术需求评审允许负偏离的条款数超过“投标人须知前附表”规定项数的；</w:t>
      </w:r>
    </w:p>
    <w:p w14:paraId="34CEE29C">
      <w:pPr>
        <w:spacing w:line="360" w:lineRule="auto"/>
        <w:ind w:firstLine="420" w:firstLineChars="200"/>
        <w:rPr>
          <w:rFonts w:hAnsi="宋体"/>
          <w:color w:val="auto"/>
          <w:szCs w:val="21"/>
          <w:highlight w:val="none"/>
        </w:rPr>
      </w:pPr>
      <w:r>
        <w:rPr>
          <w:rFonts w:hint="eastAsia" w:hAnsi="宋体"/>
          <w:color w:val="auto"/>
          <w:szCs w:val="21"/>
          <w:highlight w:val="none"/>
        </w:rPr>
        <w:t>（</w:t>
      </w:r>
      <w:r>
        <w:rPr>
          <w:rFonts w:hAnsi="宋体"/>
          <w:color w:val="auto"/>
          <w:szCs w:val="21"/>
          <w:highlight w:val="none"/>
        </w:rPr>
        <w:t>3</w:t>
      </w:r>
      <w:r>
        <w:rPr>
          <w:rFonts w:hint="eastAsia" w:hAnsi="宋体"/>
          <w:color w:val="auto"/>
          <w:szCs w:val="21"/>
          <w:highlight w:val="none"/>
        </w:rPr>
        <w:t>）投标文件未提供“投标人须知前附表”第</w:t>
      </w:r>
      <w:r>
        <w:rPr>
          <w:rFonts w:hAnsi="宋体"/>
          <w:color w:val="auto"/>
          <w:szCs w:val="21"/>
          <w:highlight w:val="none"/>
        </w:rPr>
        <w:t>13.1</w:t>
      </w:r>
      <w:r>
        <w:rPr>
          <w:rFonts w:hint="eastAsia" w:hAnsi="宋体"/>
          <w:color w:val="auto"/>
          <w:szCs w:val="21"/>
          <w:highlight w:val="none"/>
        </w:rPr>
        <w:t>条规定中“必须提供”的文件资料的</w:t>
      </w:r>
      <w:r>
        <w:rPr>
          <w:rFonts w:hAnsi="宋体"/>
          <w:color w:val="auto"/>
          <w:szCs w:val="21"/>
          <w:highlight w:val="none"/>
        </w:rPr>
        <w:t>;</w:t>
      </w:r>
    </w:p>
    <w:p w14:paraId="5C213B1E">
      <w:pPr>
        <w:spacing w:line="360" w:lineRule="auto"/>
        <w:ind w:firstLine="420" w:firstLineChars="200"/>
        <w:rPr>
          <w:rFonts w:hAnsi="宋体"/>
          <w:color w:val="auto"/>
          <w:szCs w:val="21"/>
          <w:highlight w:val="none"/>
        </w:rPr>
      </w:pPr>
      <w:r>
        <w:rPr>
          <w:rFonts w:hint="eastAsia" w:hAnsi="宋体"/>
          <w:color w:val="auto"/>
          <w:szCs w:val="21"/>
          <w:highlight w:val="none"/>
        </w:rPr>
        <w:t>（</w:t>
      </w:r>
      <w:r>
        <w:rPr>
          <w:rFonts w:hAnsi="宋体"/>
          <w:color w:val="auto"/>
          <w:szCs w:val="21"/>
          <w:highlight w:val="none"/>
        </w:rPr>
        <w:t>4</w:t>
      </w:r>
      <w:r>
        <w:rPr>
          <w:rFonts w:hint="eastAsia" w:hAnsi="宋体"/>
          <w:color w:val="auto"/>
          <w:szCs w:val="21"/>
          <w:highlight w:val="none"/>
        </w:rPr>
        <w:t>）虚假投标，或者出现其他情形而导致被评标委员会认定无效的；</w:t>
      </w:r>
    </w:p>
    <w:p w14:paraId="539E3037">
      <w:pPr>
        <w:spacing w:line="360" w:lineRule="auto"/>
        <w:ind w:firstLine="420" w:firstLineChars="200"/>
        <w:rPr>
          <w:rFonts w:hAnsi="宋体"/>
          <w:color w:val="auto"/>
          <w:szCs w:val="21"/>
          <w:highlight w:val="none"/>
        </w:rPr>
      </w:pPr>
      <w:r>
        <w:rPr>
          <w:rFonts w:hint="eastAsia" w:hAnsi="宋体"/>
          <w:color w:val="auto"/>
          <w:szCs w:val="21"/>
          <w:highlight w:val="none"/>
        </w:rPr>
        <w:t>（</w:t>
      </w:r>
      <w:r>
        <w:rPr>
          <w:rFonts w:hAnsi="宋体"/>
          <w:color w:val="auto"/>
          <w:szCs w:val="21"/>
          <w:highlight w:val="none"/>
        </w:rPr>
        <w:t>5</w:t>
      </w:r>
      <w:r>
        <w:rPr>
          <w:rFonts w:hint="eastAsia" w:hAnsi="宋体"/>
          <w:color w:val="auto"/>
          <w:szCs w:val="21"/>
          <w:highlight w:val="none"/>
        </w:rPr>
        <w:t>）如招标文件需要提供技术方案的，投标技术方案不明确，招标文件未允许但存在一个或者一个以上备选（替代）投标方案的。</w:t>
      </w:r>
    </w:p>
    <w:p w14:paraId="16754545">
      <w:pPr>
        <w:spacing w:line="360" w:lineRule="auto"/>
        <w:ind w:firstLine="422" w:firstLineChars="200"/>
        <w:rPr>
          <w:rFonts w:ascii="宋体" w:hAnsi="宋体"/>
          <w:b/>
          <w:color w:val="auto"/>
          <w:szCs w:val="21"/>
          <w:highlight w:val="none"/>
        </w:rPr>
      </w:pPr>
      <w:r>
        <w:rPr>
          <w:rFonts w:hint="eastAsia" w:ascii="宋体" w:hAnsi="宋体"/>
          <w:b/>
          <w:color w:val="auto"/>
          <w:szCs w:val="21"/>
          <w:highlight w:val="none"/>
        </w:rPr>
        <w:t>3.澄清补正、说明或者补正</w:t>
      </w:r>
    </w:p>
    <w:p w14:paraId="5618E795">
      <w:pPr>
        <w:spacing w:line="360" w:lineRule="auto"/>
        <w:ind w:firstLine="420" w:firstLineChars="200"/>
        <w:rPr>
          <w:rFonts w:ascii="宋体" w:hAnsi="宋体" w:cs="Courier New"/>
          <w:color w:val="auto"/>
          <w:szCs w:val="21"/>
          <w:highlight w:val="none"/>
        </w:rPr>
      </w:pPr>
      <w:r>
        <w:rPr>
          <w:rFonts w:hint="eastAsia" w:ascii="宋体" w:hAnsi="宋体" w:cs="Courier New"/>
          <w:color w:val="auto"/>
          <w:szCs w:val="21"/>
          <w:highlight w:val="none"/>
        </w:rPr>
        <w:t>对投标文件中含义不明确、同类问题表述不一致或者有明显文字和计算错误的内容，评标委员会应在“广西政府采购云”平台发布电子澄清函，要求投标人在规定时间内作出必要的澄清、说明或者补正。投标人在“广西政府采购云”平台接收到电子澄清函后根据澄清函内容上传PDF格式回函，电子澄清答复函使用CA证书加盖单位公章后在线上传至评标委员会。投标人的澄清、说明或者补正不得超出投标文件的范围或者改变投标文件的实质性内容。投标人未在规定时间内进行澄清、说明或者补正的，按无效投标处理。</w:t>
      </w:r>
    </w:p>
    <w:p w14:paraId="2A9DC1EC">
      <w:pPr>
        <w:spacing w:line="360" w:lineRule="auto"/>
        <w:ind w:firstLine="420" w:firstLineChars="200"/>
        <w:rPr>
          <w:rFonts w:ascii="宋体" w:hAnsi="宋体" w:cs="Courier New"/>
          <w:color w:val="auto"/>
          <w:szCs w:val="21"/>
          <w:highlight w:val="none"/>
        </w:rPr>
      </w:pPr>
      <w:r>
        <w:rPr>
          <w:rFonts w:hint="eastAsia" w:ascii="宋体" w:hAnsi="宋体" w:cs="Courier New"/>
          <w:color w:val="auto"/>
          <w:szCs w:val="21"/>
          <w:highlight w:val="none"/>
        </w:rPr>
        <w:t>异常情况处理：如遇无法正常使用线上发送澄清函的情况，将启动书面形式办理。启动书面形式办理的情况下，评标委员会以书面形式要求投标人在规定时间内作出必要的澄清、说明或者补正。投标人的澄清、说明或者补正必须采用书面形式，并加盖公章，或者由法定代表人或者其授权的代表签字。</w:t>
      </w:r>
    </w:p>
    <w:p w14:paraId="5B06264C">
      <w:pPr>
        <w:spacing w:line="360" w:lineRule="auto"/>
        <w:ind w:firstLine="422" w:firstLineChars="200"/>
        <w:rPr>
          <w:rFonts w:ascii="宋体" w:hAnsi="宋体"/>
          <w:b/>
          <w:color w:val="auto"/>
          <w:szCs w:val="21"/>
          <w:highlight w:val="none"/>
        </w:rPr>
      </w:pPr>
      <w:r>
        <w:rPr>
          <w:rFonts w:hint="eastAsia" w:ascii="宋体" w:hAnsi="宋体"/>
          <w:b/>
          <w:color w:val="auto"/>
          <w:szCs w:val="21"/>
          <w:highlight w:val="none"/>
        </w:rPr>
        <w:t>4.投标文件修正</w:t>
      </w:r>
    </w:p>
    <w:p w14:paraId="58EAD5C2">
      <w:pPr>
        <w:spacing w:line="360" w:lineRule="auto"/>
        <w:ind w:firstLine="420" w:firstLineChars="200"/>
        <w:rPr>
          <w:rFonts w:ascii="宋体" w:hAnsi="宋体"/>
          <w:color w:val="auto"/>
          <w:szCs w:val="21"/>
          <w:highlight w:val="none"/>
        </w:rPr>
      </w:pPr>
      <w:r>
        <w:rPr>
          <w:rFonts w:hint="eastAsia" w:ascii="宋体" w:hAnsi="宋体"/>
          <w:color w:val="auto"/>
          <w:szCs w:val="21"/>
          <w:highlight w:val="none"/>
        </w:rPr>
        <w:t xml:space="preserve">4.1投标文件报价出现前后不一致的，按照下列规定修正： </w:t>
      </w:r>
    </w:p>
    <w:p w14:paraId="511F1D83">
      <w:pPr>
        <w:spacing w:line="360" w:lineRule="auto"/>
        <w:ind w:firstLine="420" w:firstLineChars="200"/>
        <w:rPr>
          <w:rFonts w:hAnsi="宋体"/>
          <w:color w:val="auto"/>
          <w:highlight w:val="none"/>
        </w:rPr>
      </w:pPr>
      <w:r>
        <w:rPr>
          <w:rFonts w:hint="eastAsia" w:hAnsi="宋体"/>
          <w:color w:val="auto"/>
          <w:highlight w:val="none"/>
        </w:rPr>
        <w:t>（</w:t>
      </w:r>
      <w:r>
        <w:rPr>
          <w:rFonts w:hAnsi="宋体"/>
          <w:color w:val="auto"/>
          <w:highlight w:val="none"/>
        </w:rPr>
        <w:t>1</w:t>
      </w:r>
      <w:r>
        <w:rPr>
          <w:rFonts w:hint="eastAsia" w:hAnsi="宋体"/>
          <w:color w:val="auto"/>
          <w:highlight w:val="none"/>
        </w:rPr>
        <w:t>）报价文件中“开标一览表”内容与投标文件中相应内容不一致的，以“开标一览表”为准；</w:t>
      </w:r>
    </w:p>
    <w:p w14:paraId="56856FF0">
      <w:pPr>
        <w:spacing w:line="360" w:lineRule="auto"/>
        <w:ind w:firstLine="420" w:firstLineChars="200"/>
        <w:rPr>
          <w:rFonts w:hAnsi="宋体"/>
          <w:color w:val="auto"/>
          <w:highlight w:val="none"/>
        </w:rPr>
      </w:pPr>
      <w:r>
        <w:rPr>
          <w:rFonts w:hint="eastAsia" w:hAnsi="宋体"/>
          <w:color w:val="auto"/>
          <w:highlight w:val="none"/>
        </w:rPr>
        <w:t>（</w:t>
      </w:r>
      <w:r>
        <w:rPr>
          <w:rFonts w:hAnsi="宋体"/>
          <w:color w:val="auto"/>
          <w:highlight w:val="none"/>
        </w:rPr>
        <w:t>2</w:t>
      </w:r>
      <w:r>
        <w:rPr>
          <w:rFonts w:hint="eastAsia" w:hAnsi="宋体"/>
          <w:color w:val="auto"/>
          <w:highlight w:val="none"/>
        </w:rPr>
        <w:t>）大写金额和小写金额不一致的，以大写金额为准；</w:t>
      </w:r>
    </w:p>
    <w:p w14:paraId="773B9BB1">
      <w:pPr>
        <w:spacing w:line="360" w:lineRule="auto"/>
        <w:ind w:firstLine="420" w:firstLineChars="200"/>
        <w:rPr>
          <w:rFonts w:hAnsi="宋体"/>
          <w:color w:val="auto"/>
          <w:highlight w:val="none"/>
        </w:rPr>
      </w:pPr>
      <w:r>
        <w:rPr>
          <w:rFonts w:hint="eastAsia" w:hAnsi="宋体"/>
          <w:color w:val="auto"/>
          <w:highlight w:val="none"/>
        </w:rPr>
        <w:t>（</w:t>
      </w:r>
      <w:r>
        <w:rPr>
          <w:rFonts w:hAnsi="宋体"/>
          <w:color w:val="auto"/>
          <w:highlight w:val="none"/>
        </w:rPr>
        <w:t>3</w:t>
      </w:r>
      <w:r>
        <w:rPr>
          <w:rFonts w:hint="eastAsia" w:hAnsi="宋体"/>
          <w:color w:val="auto"/>
          <w:highlight w:val="none"/>
        </w:rPr>
        <w:t>）单价金额小数点或者百分比有明显错位的，以开标一览表的总价为准，并修改单价；</w:t>
      </w:r>
    </w:p>
    <w:p w14:paraId="5C59CEF3">
      <w:pPr>
        <w:spacing w:line="360" w:lineRule="auto"/>
        <w:ind w:firstLine="420" w:firstLineChars="200"/>
        <w:rPr>
          <w:rFonts w:hAnsi="宋体"/>
          <w:color w:val="auto"/>
          <w:highlight w:val="none"/>
        </w:rPr>
      </w:pPr>
      <w:r>
        <w:rPr>
          <w:rFonts w:hint="eastAsia" w:hAnsi="宋体"/>
          <w:color w:val="auto"/>
          <w:highlight w:val="none"/>
        </w:rPr>
        <w:t>（</w:t>
      </w:r>
      <w:r>
        <w:rPr>
          <w:rFonts w:hAnsi="宋体"/>
          <w:color w:val="auto"/>
          <w:highlight w:val="none"/>
        </w:rPr>
        <w:t>4</w:t>
      </w:r>
      <w:r>
        <w:rPr>
          <w:rFonts w:hint="eastAsia" w:hAnsi="宋体"/>
          <w:color w:val="auto"/>
          <w:highlight w:val="none"/>
        </w:rPr>
        <w:t>）总价金额与按单价汇总金额不一致的，以单价金额计算结果为准。</w:t>
      </w:r>
    </w:p>
    <w:p w14:paraId="2E567D4D">
      <w:pPr>
        <w:spacing w:line="360" w:lineRule="auto"/>
        <w:ind w:firstLine="420" w:firstLineChars="200"/>
        <w:rPr>
          <w:rFonts w:hAnsi="宋体"/>
          <w:color w:val="auto"/>
          <w:highlight w:val="none"/>
        </w:rPr>
      </w:pPr>
      <w:r>
        <w:rPr>
          <w:rFonts w:hint="eastAsia" w:hAnsi="宋体"/>
          <w:color w:val="auto"/>
          <w:highlight w:val="none"/>
        </w:rPr>
        <w:t>同时出现两种以上不一致的，按照以上（</w:t>
      </w:r>
      <w:r>
        <w:rPr>
          <w:rFonts w:hAnsi="宋体"/>
          <w:color w:val="auto"/>
          <w:highlight w:val="none"/>
        </w:rPr>
        <w:t>1</w:t>
      </w:r>
      <w:r>
        <w:rPr>
          <w:rFonts w:hint="eastAsia" w:hAnsi="宋体"/>
          <w:color w:val="auto"/>
          <w:highlight w:val="none"/>
        </w:rPr>
        <w:t>）</w:t>
      </w:r>
      <w:r>
        <w:rPr>
          <w:rFonts w:hAnsi="宋体"/>
          <w:color w:val="auto"/>
          <w:highlight w:val="none"/>
        </w:rPr>
        <w:t>-</w:t>
      </w:r>
      <w:r>
        <w:rPr>
          <w:rFonts w:hint="eastAsia" w:hAnsi="宋体"/>
          <w:color w:val="auto"/>
          <w:highlight w:val="none"/>
        </w:rPr>
        <w:t>（</w:t>
      </w:r>
      <w:r>
        <w:rPr>
          <w:rFonts w:hAnsi="宋体"/>
          <w:color w:val="auto"/>
          <w:highlight w:val="none"/>
        </w:rPr>
        <w:t>4</w:t>
      </w:r>
      <w:r>
        <w:rPr>
          <w:rFonts w:hint="eastAsia" w:hAnsi="宋体"/>
          <w:color w:val="auto"/>
          <w:highlight w:val="none"/>
        </w:rPr>
        <w:t>）规定的顺序修正。修正后的报价经投标人确认后产生约束力，投标人不确认的，其投标无效。</w:t>
      </w:r>
    </w:p>
    <w:p w14:paraId="50862E38">
      <w:pPr>
        <w:spacing w:line="360" w:lineRule="auto"/>
        <w:ind w:firstLine="420" w:firstLineChars="200"/>
        <w:rPr>
          <w:rFonts w:ascii="宋体" w:hAnsi="宋体"/>
          <w:color w:val="auto"/>
          <w:szCs w:val="21"/>
          <w:highlight w:val="none"/>
        </w:rPr>
      </w:pPr>
      <w:r>
        <w:rPr>
          <w:rFonts w:hint="eastAsia" w:ascii="宋体" w:hAnsi="宋体"/>
          <w:color w:val="auto"/>
          <w:szCs w:val="21"/>
          <w:highlight w:val="none"/>
        </w:rPr>
        <w:t>4.2经投标人确认修正后的报价若超过采购预算金额或者最高限价，投标人的投标文件作无效投标处理。</w:t>
      </w:r>
    </w:p>
    <w:p w14:paraId="59AA7F3B">
      <w:pPr>
        <w:spacing w:line="360" w:lineRule="auto"/>
        <w:ind w:firstLine="420" w:firstLineChars="200"/>
        <w:rPr>
          <w:rFonts w:ascii="宋体" w:hAnsi="宋体"/>
          <w:color w:val="auto"/>
          <w:szCs w:val="21"/>
          <w:highlight w:val="none"/>
        </w:rPr>
      </w:pPr>
      <w:r>
        <w:rPr>
          <w:rFonts w:hint="eastAsia" w:ascii="宋体" w:hAnsi="宋体"/>
          <w:color w:val="auto"/>
          <w:szCs w:val="21"/>
          <w:highlight w:val="none"/>
        </w:rPr>
        <w:t>4.3经投标人确认修正后的报价作为签订合同的依据，并以此报价计算价格分。</w:t>
      </w:r>
    </w:p>
    <w:p w14:paraId="1A7BE8CF">
      <w:pPr>
        <w:spacing w:line="360" w:lineRule="auto"/>
        <w:ind w:firstLine="420" w:firstLineChars="200"/>
        <w:rPr>
          <w:rFonts w:ascii="宋体" w:hAnsi="宋体"/>
          <w:color w:val="auto"/>
          <w:szCs w:val="21"/>
          <w:highlight w:val="none"/>
        </w:rPr>
      </w:pPr>
      <w:r>
        <w:rPr>
          <w:rFonts w:hint="eastAsia" w:ascii="宋体" w:hAnsi="宋体"/>
          <w:color w:val="auto"/>
          <w:szCs w:val="21"/>
          <w:highlight w:val="none"/>
        </w:rPr>
        <w:t>5.比较与评价</w:t>
      </w:r>
    </w:p>
    <w:p w14:paraId="01E77FCA">
      <w:pPr>
        <w:spacing w:line="360" w:lineRule="auto"/>
        <w:ind w:firstLine="420" w:firstLineChars="200"/>
        <w:rPr>
          <w:rFonts w:hAnsi="宋体"/>
          <w:color w:val="auto"/>
          <w:highlight w:val="none"/>
        </w:rPr>
      </w:pPr>
      <w:r>
        <w:rPr>
          <w:rFonts w:hAnsi="宋体"/>
          <w:color w:val="auto"/>
          <w:highlight w:val="none"/>
        </w:rPr>
        <w:t>5.1</w:t>
      </w:r>
      <w:r>
        <w:rPr>
          <w:rFonts w:hint="eastAsia" w:hAnsi="宋体"/>
          <w:color w:val="auto"/>
          <w:highlight w:val="none"/>
        </w:rPr>
        <w:t>评标委员会按照招标文件中规定的评标方法和评标标准，对符合性审查合格的投标文件进行商务和技术评估，综合比较与评价。</w:t>
      </w:r>
    </w:p>
    <w:p w14:paraId="6B603BDD">
      <w:pPr>
        <w:spacing w:line="360" w:lineRule="auto"/>
        <w:ind w:firstLine="420" w:firstLineChars="200"/>
        <w:rPr>
          <w:rFonts w:hAnsi="宋体"/>
          <w:color w:val="auto"/>
          <w:highlight w:val="none"/>
        </w:rPr>
      </w:pPr>
      <w:r>
        <w:rPr>
          <w:rFonts w:hAnsi="宋体"/>
          <w:color w:val="auto"/>
          <w:highlight w:val="none"/>
        </w:rPr>
        <w:t>5.2</w:t>
      </w:r>
      <w:r>
        <w:rPr>
          <w:rFonts w:hint="eastAsia" w:hAnsi="宋体"/>
          <w:color w:val="auto"/>
          <w:highlight w:val="none"/>
        </w:rPr>
        <w:t>评标委员会独立对每个投标人的投标文件进行评价，并汇总每个投标人的得分。</w:t>
      </w:r>
    </w:p>
    <w:p w14:paraId="2FF2A381">
      <w:pPr>
        <w:widowControl/>
        <w:numPr>
          <w:ilvl w:val="0"/>
          <w:numId w:val="3"/>
        </w:numPr>
        <w:spacing w:after="150" w:line="360" w:lineRule="auto"/>
        <w:ind w:firstLine="420" w:firstLineChars="200"/>
        <w:jc w:val="left"/>
        <w:rPr>
          <w:rFonts w:hAnsi="宋体"/>
          <w:color w:val="auto"/>
          <w:highlight w:val="none"/>
        </w:rPr>
      </w:pPr>
      <w:r>
        <w:rPr>
          <w:rFonts w:hint="eastAsia" w:hAnsi="宋体"/>
          <w:color w:val="auto"/>
          <w:highlight w:val="none"/>
        </w:rPr>
        <w:t>评审委员会成员要根据政府采购法律法规和采购文件所载明的评审方法、标准进行评审。对供应商的价格分等客观评分项的评分应当一致，对其他需要借助专业知识评判的主观评分项，应当严格按照评分细则公正评分。</w:t>
      </w:r>
    </w:p>
    <w:p w14:paraId="5D408748">
      <w:pPr>
        <w:widowControl/>
        <w:numPr>
          <w:ilvl w:val="0"/>
          <w:numId w:val="3"/>
        </w:numPr>
        <w:spacing w:after="150" w:line="360" w:lineRule="auto"/>
        <w:ind w:firstLine="420" w:firstLineChars="200"/>
        <w:jc w:val="left"/>
        <w:rPr>
          <w:rFonts w:hAnsi="宋体"/>
          <w:color w:val="auto"/>
          <w:highlight w:val="none"/>
        </w:rPr>
      </w:pPr>
      <w:r>
        <w:rPr>
          <w:rFonts w:hint="eastAsia" w:hAnsi="宋体"/>
          <w:color w:val="auto"/>
          <w:highlight w:val="none"/>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将其作为无效投标处理。</w:t>
      </w:r>
    </w:p>
    <w:p w14:paraId="73EFE797">
      <w:pPr>
        <w:snapToGrid w:val="0"/>
        <w:spacing w:line="360" w:lineRule="auto"/>
        <w:ind w:firstLine="420" w:firstLineChars="200"/>
        <w:rPr>
          <w:rFonts w:ascii="宋体" w:hAnsi="宋体" w:cs="宋体"/>
          <w:color w:val="auto"/>
          <w:szCs w:val="21"/>
          <w:highlight w:val="none"/>
        </w:rPr>
      </w:pPr>
      <w:r>
        <w:rPr>
          <w:rFonts w:hint="eastAsia" w:ascii="宋体" w:hAnsi="宋体" w:cs="宋体"/>
          <w:color w:val="auto"/>
          <w:szCs w:val="21"/>
          <w:highlight w:val="none"/>
          <w:lang w:bidi="ar"/>
        </w:rPr>
        <w:t>1）评标委员会在评审中发现下列情形之一的，应当启动异常低价投标审查程序：</w:t>
      </w:r>
    </w:p>
    <w:p w14:paraId="768C25EA">
      <w:pPr>
        <w:snapToGrid w:val="0"/>
        <w:spacing w:line="360" w:lineRule="auto"/>
        <w:ind w:firstLine="420" w:firstLineChars="200"/>
        <w:rPr>
          <w:rFonts w:ascii="宋体" w:hAnsi="宋体" w:cs="宋体"/>
          <w:color w:val="auto"/>
          <w:szCs w:val="21"/>
          <w:highlight w:val="none"/>
        </w:rPr>
      </w:pPr>
      <w:r>
        <w:rPr>
          <w:rFonts w:hint="eastAsia" w:ascii="宋体" w:hAnsi="宋体" w:cs="宋体"/>
          <w:color w:val="auto"/>
          <w:szCs w:val="21"/>
          <w:highlight w:val="none"/>
          <w:lang w:bidi="ar"/>
        </w:rPr>
        <w:t>①投标报价低于全部通过符合性审查供应商投标报价平均值</w:t>
      </w:r>
      <w:r>
        <w:rPr>
          <w:rFonts w:hint="eastAsia" w:ascii="宋体" w:hAnsi="宋体" w:cs="宋体"/>
          <w:color w:val="auto"/>
          <w:szCs w:val="21"/>
          <w:highlight w:val="none"/>
          <w:u w:val="single"/>
          <w:lang w:bidi="ar"/>
        </w:rPr>
        <w:t xml:space="preserve">50% </w:t>
      </w:r>
      <w:r>
        <w:rPr>
          <w:rFonts w:hint="eastAsia" w:ascii="宋体" w:hAnsi="宋体" w:cs="宋体"/>
          <w:color w:val="auto"/>
          <w:szCs w:val="21"/>
          <w:highlight w:val="none"/>
          <w:lang w:bidi="ar"/>
        </w:rPr>
        <w:t>的，即投标报价＜全部通过符合性审查供应商投标报价平均值×</w:t>
      </w:r>
      <w:r>
        <w:rPr>
          <w:rFonts w:hint="eastAsia" w:ascii="宋体" w:hAnsi="宋体" w:cs="宋体"/>
          <w:color w:val="auto"/>
          <w:szCs w:val="21"/>
          <w:highlight w:val="none"/>
          <w:u w:val="single"/>
          <w:lang w:bidi="ar"/>
        </w:rPr>
        <w:t xml:space="preserve">50% </w:t>
      </w:r>
      <w:r>
        <w:rPr>
          <w:rFonts w:hint="eastAsia" w:ascii="宋体" w:hAnsi="宋体" w:cs="宋体"/>
          <w:color w:val="auto"/>
          <w:szCs w:val="21"/>
          <w:highlight w:val="none"/>
          <w:lang w:bidi="ar"/>
        </w:rPr>
        <w:t>；</w:t>
      </w:r>
      <w:r>
        <w:rPr>
          <w:rFonts w:hint="eastAsia" w:ascii="宋体" w:hAnsi="宋体" w:cs="宋体"/>
          <w:color w:val="auto"/>
          <w:szCs w:val="21"/>
          <w:highlight w:val="none"/>
          <w:lang w:val="en-US" w:eastAsia="zh-CN" w:bidi="ar"/>
        </w:rPr>
        <w:t>（范围为50%-65%）</w:t>
      </w:r>
    </w:p>
    <w:p w14:paraId="03B5B302">
      <w:pPr>
        <w:snapToGrid w:val="0"/>
        <w:spacing w:line="360" w:lineRule="auto"/>
        <w:ind w:firstLine="420" w:firstLineChars="200"/>
        <w:rPr>
          <w:rFonts w:ascii="宋体" w:hAnsi="宋体" w:cs="宋体"/>
          <w:color w:val="auto"/>
          <w:szCs w:val="21"/>
          <w:highlight w:val="none"/>
        </w:rPr>
      </w:pPr>
      <w:r>
        <w:rPr>
          <w:rFonts w:hint="eastAsia" w:ascii="宋体" w:hAnsi="宋体" w:cs="宋体"/>
          <w:color w:val="auto"/>
          <w:szCs w:val="21"/>
          <w:highlight w:val="none"/>
          <w:lang w:bidi="ar"/>
        </w:rPr>
        <w:t>②投标报价低于通过符合性审查的次低报价供应商投标报价</w:t>
      </w:r>
      <w:r>
        <w:rPr>
          <w:rFonts w:hint="eastAsia" w:ascii="宋体" w:hAnsi="宋体" w:cs="宋体"/>
          <w:color w:val="auto"/>
          <w:szCs w:val="21"/>
          <w:highlight w:val="none"/>
          <w:u w:val="single"/>
          <w:lang w:bidi="ar"/>
        </w:rPr>
        <w:t xml:space="preserve">50% </w:t>
      </w:r>
      <w:r>
        <w:rPr>
          <w:rFonts w:hint="eastAsia" w:ascii="宋体" w:hAnsi="宋体" w:cs="宋体"/>
          <w:color w:val="auto"/>
          <w:szCs w:val="21"/>
          <w:highlight w:val="none"/>
          <w:lang w:bidi="ar"/>
        </w:rPr>
        <w:t>的，即投标报价＜通过符合性审查的次低报价供应商投标报价×</w:t>
      </w:r>
      <w:r>
        <w:rPr>
          <w:rFonts w:hint="eastAsia" w:ascii="宋体" w:hAnsi="宋体" w:cs="宋体"/>
          <w:color w:val="auto"/>
          <w:szCs w:val="21"/>
          <w:highlight w:val="none"/>
          <w:u w:val="single"/>
          <w:lang w:bidi="ar"/>
        </w:rPr>
        <w:t>50%</w:t>
      </w:r>
      <w:r>
        <w:rPr>
          <w:rFonts w:hint="eastAsia" w:ascii="宋体" w:hAnsi="宋体" w:cs="宋体"/>
          <w:color w:val="auto"/>
          <w:szCs w:val="21"/>
          <w:highlight w:val="none"/>
          <w:lang w:bidi="ar"/>
        </w:rPr>
        <w:t>；</w:t>
      </w:r>
      <w:r>
        <w:rPr>
          <w:rFonts w:hint="eastAsia" w:ascii="宋体" w:hAnsi="宋体" w:eastAsia="宋体" w:cs="宋体"/>
          <w:color w:val="auto"/>
          <w:szCs w:val="21"/>
          <w:highlight w:val="none"/>
          <w:lang w:val="en-US" w:eastAsia="zh-CN" w:bidi="ar"/>
        </w:rPr>
        <w:t>（范围为50%-65%）</w:t>
      </w:r>
    </w:p>
    <w:p w14:paraId="14EACD32">
      <w:pPr>
        <w:snapToGrid w:val="0"/>
        <w:spacing w:line="360" w:lineRule="auto"/>
        <w:ind w:firstLine="420" w:firstLineChars="200"/>
        <w:rPr>
          <w:rFonts w:hint="eastAsia" w:ascii="宋体" w:hAnsi="宋体" w:eastAsia="宋体" w:cs="宋体"/>
          <w:color w:val="auto"/>
          <w:szCs w:val="21"/>
          <w:highlight w:val="none"/>
          <w:lang w:val="en-US" w:eastAsia="zh-CN" w:bidi="ar"/>
        </w:rPr>
      </w:pPr>
      <w:r>
        <w:rPr>
          <w:rFonts w:hint="eastAsia" w:ascii="宋体" w:hAnsi="宋体" w:cs="宋体"/>
          <w:color w:val="auto"/>
          <w:szCs w:val="21"/>
          <w:highlight w:val="none"/>
          <w:lang w:bidi="ar"/>
        </w:rPr>
        <w:t>③投标报价低于采购项目最高限价</w:t>
      </w:r>
      <w:r>
        <w:rPr>
          <w:rFonts w:hint="eastAsia" w:ascii="宋体" w:hAnsi="宋体" w:cs="宋体"/>
          <w:color w:val="auto"/>
          <w:szCs w:val="21"/>
          <w:highlight w:val="none"/>
          <w:u w:val="single"/>
          <w:lang w:bidi="ar"/>
        </w:rPr>
        <w:t>50%</w:t>
      </w:r>
      <w:r>
        <w:rPr>
          <w:rFonts w:hint="eastAsia" w:ascii="宋体" w:hAnsi="宋体" w:cs="宋体"/>
          <w:color w:val="auto"/>
          <w:szCs w:val="21"/>
          <w:highlight w:val="none"/>
          <w:lang w:bidi="ar"/>
        </w:rPr>
        <w:t>的，即投标报价＜采购项目最高限价×</w:t>
      </w:r>
      <w:r>
        <w:rPr>
          <w:rFonts w:hint="eastAsia" w:ascii="宋体" w:hAnsi="宋体" w:cs="宋体"/>
          <w:color w:val="auto"/>
          <w:szCs w:val="21"/>
          <w:highlight w:val="none"/>
          <w:u w:val="single"/>
          <w:lang w:val="en-US" w:eastAsia="zh-CN" w:bidi="ar"/>
        </w:rPr>
        <w:t>45</w:t>
      </w:r>
      <w:r>
        <w:rPr>
          <w:rFonts w:hint="eastAsia" w:ascii="宋体" w:hAnsi="宋体" w:cs="宋体"/>
          <w:color w:val="auto"/>
          <w:szCs w:val="21"/>
          <w:highlight w:val="none"/>
          <w:u w:val="single"/>
          <w:lang w:bidi="ar"/>
        </w:rPr>
        <w:t xml:space="preserve">% </w:t>
      </w:r>
      <w:r>
        <w:rPr>
          <w:rFonts w:hint="eastAsia" w:ascii="宋体" w:hAnsi="宋体" w:cs="宋体"/>
          <w:color w:val="auto"/>
          <w:szCs w:val="21"/>
          <w:highlight w:val="none"/>
          <w:lang w:bidi="ar"/>
        </w:rPr>
        <w:t>；</w:t>
      </w:r>
      <w:r>
        <w:rPr>
          <w:rFonts w:hint="eastAsia" w:ascii="宋体" w:hAnsi="宋体" w:eastAsia="宋体" w:cs="宋体"/>
          <w:color w:val="auto"/>
          <w:szCs w:val="21"/>
          <w:highlight w:val="none"/>
          <w:lang w:val="en-US" w:eastAsia="zh-CN" w:bidi="ar"/>
        </w:rPr>
        <w:t>（范围为45%-65%）</w:t>
      </w:r>
    </w:p>
    <w:p w14:paraId="1D1483C5">
      <w:pPr>
        <w:snapToGrid w:val="0"/>
        <w:spacing w:line="360" w:lineRule="auto"/>
        <w:ind w:firstLine="420" w:firstLineChars="200"/>
        <w:rPr>
          <w:rFonts w:ascii="宋体" w:hAnsi="宋体" w:cs="宋体"/>
          <w:color w:val="auto"/>
          <w:szCs w:val="21"/>
          <w:highlight w:val="none"/>
        </w:rPr>
      </w:pPr>
      <w:r>
        <w:rPr>
          <w:rFonts w:hint="eastAsia" w:ascii="宋体" w:hAnsi="宋体" w:cs="宋体"/>
          <w:color w:val="auto"/>
          <w:szCs w:val="21"/>
          <w:highlight w:val="none"/>
          <w:lang w:bidi="ar"/>
        </w:rPr>
        <w:t>④评标委员会基于专业判断，认为供应商报价过低，有可能影响产品质量或者不能诚信履约的其他情形。</w:t>
      </w:r>
    </w:p>
    <w:p w14:paraId="5C6E1C85">
      <w:pPr>
        <w:snapToGrid w:val="0"/>
        <w:spacing w:line="360" w:lineRule="auto"/>
        <w:ind w:firstLine="420" w:firstLineChars="200"/>
        <w:rPr>
          <w:rFonts w:ascii="宋体" w:hAnsi="宋体" w:cs="宋体"/>
          <w:color w:val="auto"/>
          <w:szCs w:val="21"/>
          <w:highlight w:val="none"/>
        </w:rPr>
      </w:pPr>
      <w:r>
        <w:rPr>
          <w:rFonts w:hint="eastAsia" w:ascii="宋体" w:hAnsi="宋体" w:cs="宋体"/>
          <w:color w:val="auto"/>
          <w:szCs w:val="21"/>
          <w:highlight w:val="none"/>
          <w:lang w:bidi="ar"/>
        </w:rPr>
        <w:t>2）评标委员会启动异常低价投标审查后，属于前述第1项至第4项情形的，应当要求相关供应商在评审现场合理的时间内对投标价格作出解释，提供项目具体成本测算等与报价合理性相关的书面说明及必要的证明材料，包括但不限于原材料成本、人工成本、制造费用等，给予相关供应商的合理时间一般不少于30分钟。其中，属于第③项情形，供应商已随投标文件一并提交相关书面说明及必要的证明材料的，可不再重复提交。</w:t>
      </w:r>
    </w:p>
    <w:p w14:paraId="748DFF5E">
      <w:pPr>
        <w:snapToGrid w:val="0"/>
        <w:spacing w:line="360" w:lineRule="auto"/>
        <w:ind w:firstLine="420" w:firstLineChars="200"/>
        <w:rPr>
          <w:rFonts w:ascii="宋体" w:hAnsi="宋体" w:cs="宋体"/>
          <w:color w:val="auto"/>
          <w:szCs w:val="21"/>
          <w:highlight w:val="none"/>
        </w:rPr>
      </w:pPr>
      <w:r>
        <w:rPr>
          <w:rFonts w:hint="eastAsia" w:ascii="宋体" w:hAnsi="宋体" w:cs="宋体"/>
          <w:color w:val="auto"/>
          <w:szCs w:val="21"/>
          <w:highlight w:val="none"/>
          <w:lang w:bidi="ar"/>
        </w:rPr>
        <w:t>评标委员会依据专业经验，参考同类项目中标（成交）价格、类似产品市场价格水平、行业人工费用标准、国家有关部门指导行业协会发布的行业平均成本等情况，对报价合理性进行判断。</w:t>
      </w:r>
      <w:r>
        <w:rPr>
          <w:rFonts w:hint="eastAsia" w:ascii="宋体" w:hAnsi="宋体" w:cs="宋体"/>
          <w:b/>
          <w:color w:val="auto"/>
          <w:szCs w:val="21"/>
          <w:highlight w:val="none"/>
          <w:lang w:bidi="ar"/>
        </w:rPr>
        <w:t>投标供应商不能提供书面说明、证明材料，或者提供的书面说明、证明材料不能证明其报价合理性的，评标委员会应当将其作为无效投标处理。</w:t>
      </w:r>
    </w:p>
    <w:p w14:paraId="7D2EB578">
      <w:pPr>
        <w:snapToGrid w:val="0"/>
        <w:spacing w:line="360" w:lineRule="auto"/>
        <w:ind w:firstLine="420" w:firstLineChars="200"/>
        <w:rPr>
          <w:rFonts w:ascii="宋体" w:hAnsi="宋体" w:cs="宋体"/>
          <w:color w:val="auto"/>
          <w:szCs w:val="21"/>
          <w:highlight w:val="none"/>
        </w:rPr>
      </w:pPr>
      <w:r>
        <w:rPr>
          <w:rFonts w:hint="eastAsia" w:ascii="宋体" w:hAnsi="宋体" w:cs="宋体"/>
          <w:color w:val="auto"/>
          <w:szCs w:val="21"/>
          <w:highlight w:val="none"/>
          <w:lang w:bidi="ar"/>
        </w:rPr>
        <w:t>采购人、采购代理机构应当为评标委员会在评审现场及时获取同类项目中标（成交）价格、类似产品市场价格水平、行业人工费用标准、国家有关部门指导行业协会发布的行业平均成本等相关信息资料提供便利。评标委员会借助互联网等渠道查询相关信息的，应当严格遵守评审工作纪律，不得实施影响评审公正的行为。</w:t>
      </w:r>
    </w:p>
    <w:p w14:paraId="62EECD07">
      <w:pPr>
        <w:snapToGrid w:val="0"/>
        <w:spacing w:line="360" w:lineRule="auto"/>
        <w:ind w:firstLine="420" w:firstLineChars="200"/>
        <w:rPr>
          <w:rFonts w:hAnsi="宋体"/>
          <w:color w:val="auto"/>
          <w:highlight w:val="none"/>
        </w:rPr>
      </w:pPr>
      <w:r>
        <w:rPr>
          <w:rFonts w:hint="eastAsia" w:ascii="宋体" w:hAnsi="宋体" w:cs="宋体"/>
          <w:color w:val="auto"/>
          <w:szCs w:val="21"/>
          <w:highlight w:val="none"/>
          <w:lang w:bidi="ar"/>
        </w:rPr>
        <w:t>异常低价投标审查的启动原因、审查意见和审查结果应当在评审报告中记录，并随供应商提供的相关书面说明及证明材料，以及评标委员会有关互联网浏览、查询历史一并归档。</w:t>
      </w:r>
    </w:p>
    <w:p w14:paraId="639B0ED6">
      <w:pPr>
        <w:pStyle w:val="34"/>
        <w:spacing w:line="360" w:lineRule="auto"/>
        <w:ind w:firstLine="420"/>
        <w:rPr>
          <w:rFonts w:ascii="宋体" w:hAnsi="宋体" w:cs="宋体"/>
          <w:color w:val="auto"/>
          <w:highlight w:val="none"/>
        </w:rPr>
      </w:pPr>
      <w:r>
        <w:rPr>
          <w:rFonts w:hint="eastAsia" w:ascii="宋体" w:hAnsi="宋体" w:cs="宋体"/>
          <w:color w:val="auto"/>
          <w:sz w:val="21"/>
          <w:szCs w:val="20"/>
          <w:highlight w:val="none"/>
          <w:lang w:bidi="ar"/>
        </w:rPr>
        <w:t>(3)根据《国务院办公厅关于在政府采购中实施本国产品标准及相关政策的通知》（国办发〔2025〕34号）的规定，本国产品标准适用于货物，包括政府采购货物项目和服务项目中涉及的货物。适用本国产品标准的货物具体是指《政府采购品目分类目录》中的货物类产品，但不包括其中的房屋和构筑物，文物和陈列品，图书和档案，特种动植物，农林牧渔业产品，矿与矿物，电力、城市燃气、蒸汽和热水、水，食品、饮料和烟草原料，无形资产。</w:t>
      </w:r>
    </w:p>
    <w:p w14:paraId="420753CD">
      <w:pPr>
        <w:pStyle w:val="34"/>
        <w:spacing w:line="360" w:lineRule="auto"/>
        <w:ind w:firstLine="420"/>
        <w:rPr>
          <w:rFonts w:ascii="宋体" w:hAnsi="宋体" w:cs="宋体"/>
          <w:color w:val="auto"/>
          <w:highlight w:val="none"/>
        </w:rPr>
      </w:pPr>
      <w:r>
        <w:rPr>
          <w:rFonts w:hint="eastAsia" w:ascii="宋体" w:hAnsi="宋体" w:cs="宋体"/>
          <w:color w:val="auto"/>
          <w:sz w:val="21"/>
          <w:szCs w:val="20"/>
          <w:highlight w:val="none"/>
          <w:lang w:bidi="ar"/>
        </w:rPr>
        <w:t>产品在中国境内生产的组件成本占比应当达到规定比例，计算公式为：</w:t>
      </w:r>
    </w:p>
    <w:p w14:paraId="2266805D">
      <w:pPr>
        <w:widowControl/>
        <w:shd w:val="clear" w:color="auto" w:fill="FFFFFF"/>
        <w:spacing w:before="30" w:after="30" w:line="360" w:lineRule="auto"/>
        <w:jc w:val="center"/>
        <w:rPr>
          <w:rFonts w:ascii="宋体" w:hAnsi="宋体" w:cs="宋体"/>
          <w:color w:val="auto"/>
          <w:kern w:val="0"/>
          <w:sz w:val="24"/>
          <w:highlight w:val="none"/>
          <w:shd w:val="clear" w:color="auto" w:fill="FFFFFF"/>
        </w:rPr>
      </w:pPr>
      <w:r>
        <w:rPr>
          <w:rFonts w:hint="eastAsia" w:ascii="宋体" w:hAnsi="宋体" w:cs="宋体"/>
          <w:color w:val="auto"/>
          <w:kern w:val="0"/>
          <w:sz w:val="24"/>
          <w:highlight w:val="none"/>
          <w:shd w:val="clear" w:color="auto" w:fill="FFFFFF"/>
          <w:lang w:bidi="ar"/>
        </w:rPr>
        <w:drawing>
          <wp:inline distT="0" distB="0" distL="114300" distR="114300">
            <wp:extent cx="4829175" cy="762000"/>
            <wp:effectExtent l="0" t="0" r="9525" b="0"/>
            <wp:docPr id="1"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pic:cNvPicPr>
                      <a:picLocks noChangeAspect="1"/>
                    </pic:cNvPicPr>
                  </pic:nvPicPr>
                  <pic:blipFill>
                    <a:blip r:embed="rId11" r:link="rId12"/>
                    <a:stretch>
                      <a:fillRect/>
                    </a:stretch>
                  </pic:blipFill>
                  <pic:spPr>
                    <a:xfrm>
                      <a:off x="0" y="0"/>
                      <a:ext cx="4829175" cy="762000"/>
                    </a:xfrm>
                    <a:prstGeom prst="rect">
                      <a:avLst/>
                    </a:prstGeom>
                    <a:noFill/>
                    <a:ln>
                      <a:noFill/>
                    </a:ln>
                  </pic:spPr>
                </pic:pic>
              </a:graphicData>
            </a:graphic>
          </wp:inline>
        </w:drawing>
      </w:r>
    </w:p>
    <w:p w14:paraId="75921FF8">
      <w:pPr>
        <w:pStyle w:val="34"/>
        <w:spacing w:line="360" w:lineRule="auto"/>
        <w:ind w:firstLine="420"/>
        <w:rPr>
          <w:rFonts w:ascii="宋体" w:hAnsi="宋体" w:cs="宋体"/>
          <w:color w:val="auto"/>
          <w:highlight w:val="none"/>
        </w:rPr>
      </w:pPr>
      <w:r>
        <w:rPr>
          <w:rFonts w:hint="eastAsia" w:ascii="宋体" w:hAnsi="宋体" w:cs="宋体"/>
          <w:color w:val="auto"/>
          <w:sz w:val="21"/>
          <w:szCs w:val="20"/>
          <w:highlight w:val="none"/>
          <w:lang w:bidi="ar"/>
        </w:rPr>
        <w:t>财政部会同有关行业主管部门，分产品确定在中国境内生产的组件成本占比应当达到的规定比例。在分产品的中国境内生产的组件成本占比相关要求实施前，符合《国务院办公厅关于在政府采购中实施本国产品标准及相关政策的通知》第一条第（一）项条件的产品在政府采购活动中视同本国产品。</w:t>
      </w:r>
    </w:p>
    <w:p w14:paraId="6505C4CA">
      <w:pPr>
        <w:pStyle w:val="34"/>
        <w:spacing w:line="360" w:lineRule="auto"/>
        <w:ind w:firstLine="420"/>
        <w:rPr>
          <w:rFonts w:ascii="宋体" w:hAnsi="宋体" w:cs="宋体"/>
          <w:color w:val="auto"/>
          <w:highlight w:val="none"/>
        </w:rPr>
      </w:pPr>
      <w:r>
        <w:rPr>
          <w:rFonts w:hint="eastAsia" w:ascii="宋体" w:hAnsi="宋体" w:cs="宋体"/>
          <w:color w:val="auto"/>
          <w:sz w:val="21"/>
          <w:szCs w:val="20"/>
          <w:highlight w:val="none"/>
          <w:lang w:bidi="ar"/>
        </w:rPr>
        <w:t>政府采购活动中既有本国产品又有非本国产品参与竞争的，依法对本国产品给予价格评审优惠，对本国产品的报价给予20%的价格扣除，用扣除后的价格参与评审。</w:t>
      </w:r>
    </w:p>
    <w:p w14:paraId="01A1B082">
      <w:pPr>
        <w:pStyle w:val="34"/>
        <w:spacing w:line="360" w:lineRule="auto"/>
        <w:ind w:firstLine="420"/>
        <w:rPr>
          <w:rFonts w:hAnsi="宋体"/>
          <w:color w:val="auto"/>
          <w:highlight w:val="none"/>
        </w:rPr>
      </w:pPr>
      <w:r>
        <w:rPr>
          <w:rFonts w:hint="eastAsia" w:ascii="宋体" w:hAnsi="宋体" w:cs="宋体"/>
          <w:color w:val="auto"/>
          <w:sz w:val="21"/>
          <w:szCs w:val="20"/>
          <w:highlight w:val="none"/>
          <w:lang w:bidi="ar"/>
        </w:rPr>
        <w:t>当采购项目或者采购包中含有多种产品，供应商为该采购项目或者采购包提供的符合本国产品标准的产品成本之和占该供应商提供的全部产品成本之和的比例达到80%以上时，依法对该供应商提供的全部产品给予价格评审优惠，即对该供应商提供的全部产品的总报价给予20%的价格扣除，用扣除后的价格参与评审。</w:t>
      </w:r>
    </w:p>
    <w:p w14:paraId="2758F32C">
      <w:pPr>
        <w:spacing w:line="360" w:lineRule="auto"/>
        <w:ind w:firstLine="420" w:firstLineChars="200"/>
        <w:rPr>
          <w:rFonts w:hAnsi="宋体"/>
          <w:color w:val="auto"/>
          <w:highlight w:val="none"/>
        </w:rPr>
      </w:pPr>
      <w:r>
        <w:rPr>
          <w:rFonts w:hAnsi="宋体"/>
          <w:color w:val="auto"/>
          <w:highlight w:val="none"/>
        </w:rPr>
        <w:t>5.3</w:t>
      </w:r>
      <w:r>
        <w:rPr>
          <w:rFonts w:hint="eastAsia" w:hAnsi="宋体"/>
          <w:color w:val="auto"/>
          <w:highlight w:val="none"/>
        </w:rPr>
        <w:t>评标委员会按照招标文件中规定的评标方法和标准计算各投标人的报价得分。在计算过程中，不得去掉最高报价或者最低报价。</w:t>
      </w:r>
    </w:p>
    <w:p w14:paraId="0F6AB2FA">
      <w:pPr>
        <w:spacing w:line="360" w:lineRule="auto"/>
        <w:ind w:firstLine="420" w:firstLineChars="200"/>
        <w:rPr>
          <w:rFonts w:hAnsi="宋体"/>
          <w:color w:val="auto"/>
          <w:highlight w:val="none"/>
        </w:rPr>
      </w:pPr>
      <w:r>
        <w:rPr>
          <w:rFonts w:hAnsi="宋体"/>
          <w:color w:val="auto"/>
          <w:highlight w:val="none"/>
        </w:rPr>
        <w:t>5.4</w:t>
      </w:r>
      <w:r>
        <w:rPr>
          <w:rFonts w:hint="eastAsia" w:hAnsi="宋体"/>
          <w:color w:val="auto"/>
          <w:highlight w:val="none"/>
        </w:rPr>
        <w:t>各投标人的得分为所有评委的有效评分的算术平均数。</w:t>
      </w:r>
    </w:p>
    <w:p w14:paraId="62C7982F">
      <w:pPr>
        <w:spacing w:line="360" w:lineRule="auto"/>
        <w:ind w:firstLine="420" w:firstLineChars="200"/>
        <w:rPr>
          <w:rFonts w:hAnsi="宋体"/>
          <w:color w:val="auto"/>
          <w:highlight w:val="none"/>
        </w:rPr>
      </w:pPr>
      <w:r>
        <w:rPr>
          <w:rFonts w:hAnsi="宋体"/>
          <w:color w:val="auto"/>
          <w:highlight w:val="none"/>
        </w:rPr>
        <w:t>5.5</w:t>
      </w:r>
      <w:r>
        <w:rPr>
          <w:rFonts w:hint="eastAsia" w:hAnsi="宋体"/>
          <w:color w:val="auto"/>
          <w:highlight w:val="none"/>
        </w:rPr>
        <w:t>评标委员会按照招标文件中的规定推荐中标候选人。</w:t>
      </w:r>
    </w:p>
    <w:p w14:paraId="357EB988">
      <w:pPr>
        <w:spacing w:line="360" w:lineRule="auto"/>
        <w:ind w:firstLine="420" w:firstLineChars="200"/>
        <w:rPr>
          <w:rFonts w:hAnsi="宋体"/>
          <w:color w:val="auto"/>
          <w:highlight w:val="none"/>
        </w:rPr>
      </w:pPr>
      <w:r>
        <w:rPr>
          <w:rFonts w:hAnsi="宋体"/>
          <w:color w:val="auto"/>
          <w:highlight w:val="none"/>
        </w:rPr>
        <w:t>5.6</w:t>
      </w:r>
      <w:r>
        <w:rPr>
          <w:rFonts w:hint="eastAsia" w:hAnsi="宋体"/>
          <w:color w:val="auto"/>
          <w:highlight w:val="none"/>
        </w:rPr>
        <w:t>起草并签署评标报告。评标委员会根据评标委员会成员签字的原始评标记录和评标结果编写评标报告。评标委员会成员均应当在评标报告上签字，对自己的评标意见承担法律责任。对评标过程中需要共同认定的事项存在争议的，应当按照少数服从多数的原则做出结论。持不同意见的评标委员会应当在评标报告上签署不同意见及理由，否则视为同意评标报告。</w:t>
      </w:r>
    </w:p>
    <w:p w14:paraId="00C8E441">
      <w:pPr>
        <w:spacing w:line="360" w:lineRule="auto"/>
        <w:ind w:firstLine="422" w:firstLineChars="200"/>
        <w:rPr>
          <w:rFonts w:ascii="宋体" w:hAnsi="宋体"/>
          <w:b/>
          <w:color w:val="auto"/>
          <w:szCs w:val="21"/>
          <w:highlight w:val="none"/>
        </w:rPr>
      </w:pPr>
      <w:r>
        <w:rPr>
          <w:rFonts w:hint="eastAsia" w:ascii="宋体" w:hAnsi="宋体"/>
          <w:b/>
          <w:color w:val="auto"/>
          <w:szCs w:val="21"/>
          <w:highlight w:val="none"/>
        </w:rPr>
        <w:t>6.评审复核</w:t>
      </w:r>
    </w:p>
    <w:p w14:paraId="08AC83CB">
      <w:pPr>
        <w:spacing w:line="360" w:lineRule="auto"/>
        <w:ind w:firstLine="420" w:firstLineChars="200"/>
        <w:rPr>
          <w:rFonts w:ascii="宋体" w:hAnsi="宋体"/>
          <w:color w:val="auto"/>
          <w:szCs w:val="21"/>
          <w:highlight w:val="none"/>
        </w:rPr>
      </w:pPr>
      <w:r>
        <w:rPr>
          <w:rFonts w:hint="eastAsia" w:ascii="宋体" w:hAnsi="宋体"/>
          <w:color w:val="auto"/>
          <w:szCs w:val="21"/>
          <w:highlight w:val="none"/>
        </w:rPr>
        <w:t>6.1评标报告签署前，评标委员会要对评审结果进行复核，复核意见要体现在评标报告中。</w:t>
      </w:r>
    </w:p>
    <w:p w14:paraId="390B6B26">
      <w:pPr>
        <w:widowControl/>
        <w:spacing w:line="560" w:lineRule="exact"/>
        <w:ind w:firstLine="420" w:firstLineChars="200"/>
        <w:jc w:val="left"/>
        <w:textAlignment w:val="baseline"/>
        <w:rPr>
          <w:rFonts w:hAnsi="宋体"/>
          <w:color w:val="auto"/>
          <w:highlight w:val="none"/>
        </w:rPr>
      </w:pPr>
      <w:r>
        <w:rPr>
          <w:rFonts w:hAnsi="宋体"/>
          <w:color w:val="auto"/>
          <w:highlight w:val="none"/>
        </w:rPr>
        <w:t>6.2</w:t>
      </w:r>
      <w:r>
        <w:rPr>
          <w:rFonts w:hint="eastAsia" w:hAnsi="宋体"/>
          <w:color w:val="auto"/>
          <w:highlight w:val="none"/>
        </w:rPr>
        <w:t>评标结果汇总完成后，除下列情形外，任何人不得修改评标结果：</w:t>
      </w:r>
    </w:p>
    <w:p w14:paraId="0C92EB58">
      <w:pPr>
        <w:widowControl/>
        <w:spacing w:line="560" w:lineRule="exact"/>
        <w:jc w:val="left"/>
        <w:textAlignment w:val="baseline"/>
        <w:rPr>
          <w:rFonts w:hAnsi="宋体"/>
          <w:color w:val="auto"/>
          <w:highlight w:val="none"/>
        </w:rPr>
      </w:pPr>
      <w:r>
        <w:rPr>
          <w:rFonts w:hint="eastAsia" w:hAnsi="宋体"/>
          <w:color w:val="auto"/>
          <w:highlight w:val="none"/>
        </w:rPr>
        <w:t>　　（一）分值汇总计算错误的；</w:t>
      </w:r>
    </w:p>
    <w:p w14:paraId="7664113F">
      <w:pPr>
        <w:widowControl/>
        <w:spacing w:line="560" w:lineRule="exact"/>
        <w:jc w:val="left"/>
        <w:textAlignment w:val="baseline"/>
        <w:rPr>
          <w:rFonts w:hAnsi="宋体"/>
          <w:color w:val="auto"/>
          <w:highlight w:val="none"/>
        </w:rPr>
      </w:pPr>
      <w:r>
        <w:rPr>
          <w:rFonts w:hint="eastAsia" w:hAnsi="宋体"/>
          <w:color w:val="auto"/>
          <w:highlight w:val="none"/>
        </w:rPr>
        <w:t>　　（二）分项评分超出评分标准范围的；</w:t>
      </w:r>
    </w:p>
    <w:p w14:paraId="03315A4A">
      <w:pPr>
        <w:widowControl/>
        <w:spacing w:line="560" w:lineRule="exact"/>
        <w:jc w:val="left"/>
        <w:textAlignment w:val="baseline"/>
        <w:rPr>
          <w:rFonts w:hAnsi="宋体"/>
          <w:color w:val="auto"/>
          <w:highlight w:val="none"/>
        </w:rPr>
      </w:pPr>
      <w:r>
        <w:rPr>
          <w:rFonts w:hint="eastAsia" w:hAnsi="宋体"/>
          <w:color w:val="auto"/>
          <w:highlight w:val="none"/>
        </w:rPr>
        <w:t>　　（三）评标委员会成员对客观评审因素评分不一致的；</w:t>
      </w:r>
    </w:p>
    <w:p w14:paraId="47AA6C1B">
      <w:pPr>
        <w:widowControl/>
        <w:spacing w:line="560" w:lineRule="exact"/>
        <w:jc w:val="left"/>
        <w:textAlignment w:val="baseline"/>
        <w:rPr>
          <w:rFonts w:hAnsi="宋体"/>
          <w:color w:val="auto"/>
          <w:highlight w:val="none"/>
        </w:rPr>
      </w:pPr>
      <w:r>
        <w:rPr>
          <w:rFonts w:hint="eastAsia" w:hAnsi="宋体"/>
          <w:color w:val="auto"/>
          <w:highlight w:val="none"/>
        </w:rPr>
        <w:t>　　（四）经评标委员会认定评分畸高、畸低的。</w:t>
      </w:r>
    </w:p>
    <w:p w14:paraId="2D2DB1D5">
      <w:pPr>
        <w:spacing w:line="360" w:lineRule="auto"/>
        <w:ind w:firstLine="420" w:firstLineChars="200"/>
        <w:rPr>
          <w:rFonts w:hAnsi="宋体"/>
          <w:color w:val="auto"/>
          <w:highlight w:val="none"/>
        </w:rPr>
      </w:pPr>
      <w:r>
        <w:rPr>
          <w:rFonts w:hint="eastAsia" w:hAnsi="宋体"/>
          <w:color w:val="auto"/>
          <w:highlight w:val="none"/>
        </w:rPr>
        <w:t>评标报告签署前，经复核发现存在以上情形之一的，评标委员会应当当场修改评标结果，并在评标报告中记载；评标报告签署后，采购人或者采购代理机构发现存在以上情形之一的，应当组织原评标委员会进行重新评审，重新评审改变评标结果的，书面报告本级财政部门。</w:t>
      </w:r>
    </w:p>
    <w:p w14:paraId="211AC163">
      <w:pPr>
        <w:rPr>
          <w:rFonts w:hint="eastAsia"/>
          <w:b w:val="0"/>
          <w:color w:val="auto"/>
          <w:sz w:val="30"/>
          <w:szCs w:val="30"/>
          <w:highlight w:val="none"/>
        </w:rPr>
      </w:pPr>
      <w:bookmarkStart w:id="126" w:name="_Toc187761566"/>
      <w:r>
        <w:rPr>
          <w:rFonts w:hint="eastAsia"/>
          <w:b w:val="0"/>
          <w:color w:val="auto"/>
          <w:sz w:val="30"/>
          <w:szCs w:val="30"/>
          <w:highlight w:val="none"/>
        </w:rPr>
        <w:br w:type="page"/>
      </w:r>
    </w:p>
    <w:p w14:paraId="0AE8E573">
      <w:pPr>
        <w:pStyle w:val="9"/>
        <w:jc w:val="center"/>
        <w:rPr>
          <w:b w:val="0"/>
          <w:color w:val="auto"/>
          <w:sz w:val="30"/>
          <w:szCs w:val="30"/>
          <w:highlight w:val="none"/>
        </w:rPr>
      </w:pPr>
      <w:r>
        <w:rPr>
          <w:rFonts w:hint="eastAsia"/>
          <w:b w:val="0"/>
          <w:color w:val="auto"/>
          <w:sz w:val="30"/>
          <w:szCs w:val="30"/>
          <w:highlight w:val="none"/>
        </w:rPr>
        <w:t>第三节评分标准</w:t>
      </w:r>
      <w:bookmarkEnd w:id="126"/>
    </w:p>
    <w:p w14:paraId="5DAE2D99">
      <w:pPr>
        <w:pStyle w:val="7"/>
        <w:ind w:firstLine="602" w:firstLineChars="200"/>
        <w:jc w:val="center"/>
        <w:rPr>
          <w:rFonts w:ascii="Times New Roman" w:hAnsi="Times New Roman"/>
          <w:b/>
          <w:color w:val="auto"/>
          <w:sz w:val="30"/>
          <w:szCs w:val="30"/>
          <w:highlight w:val="none"/>
        </w:rPr>
      </w:pPr>
      <w:r>
        <w:rPr>
          <w:rFonts w:hint="eastAsia" w:ascii="Times New Roman" w:hAnsi="Times New Roman"/>
          <w:b/>
          <w:color w:val="auto"/>
          <w:sz w:val="30"/>
          <w:szCs w:val="30"/>
          <w:highlight w:val="none"/>
        </w:rPr>
        <w:t>综合评分法</w:t>
      </w:r>
    </w:p>
    <w:p w14:paraId="5AD6DF40">
      <w:pPr>
        <w:pStyle w:val="7"/>
        <w:spacing w:line="360" w:lineRule="auto"/>
        <w:ind w:firstLine="420"/>
        <w:rPr>
          <w:rFonts w:hAnsi="宋体"/>
          <w:bCs/>
          <w:color w:val="auto"/>
          <w:highlight w:val="none"/>
        </w:rPr>
      </w:pPr>
      <w:bookmarkStart w:id="127" w:name="PO_3000001866_PM051"/>
      <w:r>
        <w:rPr>
          <w:rFonts w:hint="eastAsia" w:hAnsi="宋体"/>
          <w:bCs/>
          <w:color w:val="auto"/>
          <w:highlight w:val="none"/>
        </w:rPr>
        <w:t>注：</w:t>
      </w:r>
    </w:p>
    <w:p w14:paraId="54E58A03">
      <w:pPr>
        <w:pStyle w:val="7"/>
        <w:spacing w:line="360" w:lineRule="auto"/>
        <w:ind w:firstLine="420"/>
        <w:rPr>
          <w:rFonts w:hAnsi="宋体"/>
          <w:bCs/>
          <w:color w:val="auto"/>
          <w:highlight w:val="none"/>
        </w:rPr>
      </w:pPr>
      <w:r>
        <w:rPr>
          <w:rFonts w:hint="eastAsia" w:hAnsi="宋体"/>
          <w:bCs/>
          <w:color w:val="auto"/>
          <w:highlight w:val="none"/>
        </w:rPr>
        <w:t>1、计分方法按四舍五入取至百分位。</w:t>
      </w:r>
    </w:p>
    <w:p w14:paraId="0053F460">
      <w:pPr>
        <w:pStyle w:val="7"/>
        <w:spacing w:line="360" w:lineRule="auto"/>
        <w:ind w:firstLine="420"/>
        <w:rPr>
          <w:rFonts w:hint="eastAsia" w:hAnsi="宋体"/>
          <w:bCs/>
          <w:color w:val="auto"/>
          <w:highlight w:val="none"/>
        </w:rPr>
      </w:pPr>
      <w:r>
        <w:rPr>
          <w:rFonts w:hint="eastAsia" w:hAnsi="宋体"/>
          <w:bCs/>
          <w:color w:val="auto"/>
          <w:highlight w:val="none"/>
        </w:rPr>
        <w:t>2、商务技术评审因素为客观评分项的，应在评分项目或评分标准中予以标注为“客观分”。对投标人的客观评分项目，各评标专家评分应当一致。</w:t>
      </w:r>
    </w:p>
    <w:tbl>
      <w:tblPr>
        <w:tblStyle w:val="37"/>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554"/>
        <w:gridCol w:w="1425"/>
        <w:gridCol w:w="2126"/>
        <w:gridCol w:w="5523"/>
      </w:tblGrid>
      <w:tr w14:paraId="37AC18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1" w:hRule="atLeast"/>
          <w:jc w:val="center"/>
        </w:trPr>
        <w:tc>
          <w:tcPr>
            <w:tcW w:w="1028" w:type="pct"/>
            <w:gridSpan w:val="2"/>
            <w:tcBorders>
              <w:top w:val="single" w:color="auto" w:sz="4" w:space="0"/>
              <w:left w:val="single" w:color="auto" w:sz="4" w:space="0"/>
              <w:bottom w:val="single" w:color="auto" w:sz="4" w:space="0"/>
              <w:right w:val="single" w:color="auto" w:sz="4" w:space="0"/>
            </w:tcBorders>
            <w:vAlign w:val="center"/>
          </w:tcPr>
          <w:p w14:paraId="181E941D">
            <w:pPr>
              <w:keepNext w:val="0"/>
              <w:keepLines w:val="0"/>
              <w:pageBreakBefore w:val="0"/>
              <w:suppressLineNumbers w:val="0"/>
              <w:kinsoku/>
              <w:wordWrap/>
              <w:overflowPunct/>
              <w:topLinePunct w:val="0"/>
              <w:autoSpaceDE/>
              <w:autoSpaceDN/>
              <w:bidi w:val="0"/>
              <w:adjustRightInd w:val="0"/>
              <w:spacing w:before="0" w:beforeAutospacing="0" w:after="0" w:afterAutospacing="0" w:line="440" w:lineRule="exact"/>
              <w:ind w:left="0" w:right="0"/>
              <w:jc w:val="center"/>
              <w:textAlignment w:val="baseline"/>
              <w:rPr>
                <w:rFonts w:hint="eastAsia" w:ascii="宋体" w:hAnsi="宋体" w:eastAsia="宋体" w:cs="宋体"/>
                <w:b/>
                <w:color w:val="auto"/>
                <w:sz w:val="21"/>
                <w:szCs w:val="21"/>
                <w:highlight w:val="none"/>
              </w:rPr>
            </w:pPr>
            <w:r>
              <w:rPr>
                <w:rFonts w:hint="eastAsia" w:ascii="宋体" w:hAnsi="宋体" w:eastAsia="宋体" w:cs="宋体"/>
                <w:b/>
                <w:color w:val="auto"/>
                <w:sz w:val="21"/>
                <w:szCs w:val="21"/>
                <w:highlight w:val="none"/>
              </w:rPr>
              <w:t>序号</w:t>
            </w:r>
          </w:p>
        </w:tc>
        <w:tc>
          <w:tcPr>
            <w:tcW w:w="1104" w:type="pct"/>
            <w:tcBorders>
              <w:top w:val="single" w:color="auto" w:sz="4" w:space="0"/>
              <w:left w:val="single" w:color="auto" w:sz="4" w:space="0"/>
              <w:bottom w:val="single" w:color="auto" w:sz="4" w:space="0"/>
              <w:right w:val="single" w:color="auto" w:sz="4" w:space="0"/>
            </w:tcBorders>
            <w:vAlign w:val="center"/>
          </w:tcPr>
          <w:p w14:paraId="122E9CF4">
            <w:pPr>
              <w:keepNext w:val="0"/>
              <w:keepLines w:val="0"/>
              <w:pageBreakBefore w:val="0"/>
              <w:suppressLineNumbers w:val="0"/>
              <w:kinsoku/>
              <w:wordWrap/>
              <w:overflowPunct/>
              <w:topLinePunct w:val="0"/>
              <w:autoSpaceDE/>
              <w:autoSpaceDN/>
              <w:bidi w:val="0"/>
              <w:adjustRightInd w:val="0"/>
              <w:spacing w:before="0" w:beforeAutospacing="0" w:after="0" w:afterAutospacing="0" w:line="440" w:lineRule="exact"/>
              <w:ind w:left="0" w:right="0"/>
              <w:jc w:val="center"/>
              <w:textAlignment w:val="baseline"/>
              <w:rPr>
                <w:rFonts w:hint="eastAsia" w:ascii="宋体" w:hAnsi="宋体" w:eastAsia="宋体" w:cs="宋体"/>
                <w:b/>
                <w:color w:val="auto"/>
                <w:sz w:val="21"/>
                <w:szCs w:val="21"/>
                <w:highlight w:val="none"/>
              </w:rPr>
            </w:pPr>
            <w:r>
              <w:rPr>
                <w:rFonts w:hint="eastAsia" w:ascii="宋体" w:hAnsi="宋体" w:eastAsia="宋体" w:cs="宋体"/>
                <w:b/>
                <w:color w:val="auto"/>
                <w:sz w:val="21"/>
                <w:szCs w:val="21"/>
                <w:highlight w:val="none"/>
              </w:rPr>
              <w:t>评审因素</w:t>
            </w:r>
          </w:p>
        </w:tc>
        <w:tc>
          <w:tcPr>
            <w:tcW w:w="2867" w:type="pct"/>
            <w:tcBorders>
              <w:top w:val="single" w:color="auto" w:sz="4" w:space="0"/>
              <w:left w:val="single" w:color="auto" w:sz="4" w:space="0"/>
              <w:bottom w:val="single" w:color="auto" w:sz="4" w:space="0"/>
              <w:right w:val="single" w:color="auto" w:sz="4" w:space="0"/>
            </w:tcBorders>
            <w:vAlign w:val="center"/>
          </w:tcPr>
          <w:p w14:paraId="2DEAE4CD">
            <w:pPr>
              <w:keepNext w:val="0"/>
              <w:keepLines w:val="0"/>
              <w:pageBreakBefore w:val="0"/>
              <w:suppressLineNumbers w:val="0"/>
              <w:kinsoku/>
              <w:wordWrap/>
              <w:overflowPunct/>
              <w:topLinePunct w:val="0"/>
              <w:autoSpaceDE/>
              <w:autoSpaceDN/>
              <w:bidi w:val="0"/>
              <w:adjustRightInd w:val="0"/>
              <w:spacing w:before="0" w:beforeAutospacing="0" w:after="0" w:afterAutospacing="0" w:line="440" w:lineRule="exact"/>
              <w:ind w:left="0" w:right="0"/>
              <w:jc w:val="center"/>
              <w:textAlignment w:val="baseline"/>
              <w:rPr>
                <w:rFonts w:hint="eastAsia" w:ascii="宋体" w:hAnsi="宋体" w:eastAsia="宋体" w:cs="宋体"/>
                <w:b/>
                <w:color w:val="auto"/>
                <w:sz w:val="21"/>
                <w:szCs w:val="21"/>
                <w:highlight w:val="none"/>
              </w:rPr>
            </w:pPr>
            <w:r>
              <w:rPr>
                <w:rFonts w:hint="eastAsia" w:ascii="宋体" w:hAnsi="宋体" w:eastAsia="宋体" w:cs="宋体"/>
                <w:b/>
                <w:color w:val="auto"/>
                <w:sz w:val="21"/>
                <w:szCs w:val="21"/>
                <w:highlight w:val="none"/>
              </w:rPr>
              <w:t>评标标准</w:t>
            </w:r>
          </w:p>
        </w:tc>
      </w:tr>
      <w:tr w14:paraId="69A567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88" w:type="pct"/>
            <w:tcBorders>
              <w:top w:val="single" w:color="auto" w:sz="4" w:space="0"/>
              <w:left w:val="single" w:color="auto" w:sz="4" w:space="0"/>
              <w:bottom w:val="single" w:color="auto" w:sz="4" w:space="0"/>
              <w:right w:val="single" w:color="auto" w:sz="4" w:space="0"/>
            </w:tcBorders>
            <w:vAlign w:val="center"/>
          </w:tcPr>
          <w:p w14:paraId="05A563F0">
            <w:pPr>
              <w:keepNext w:val="0"/>
              <w:keepLines w:val="0"/>
              <w:pageBreakBefore w:val="0"/>
              <w:suppressLineNumbers w:val="0"/>
              <w:kinsoku/>
              <w:wordWrap/>
              <w:overflowPunct/>
              <w:topLinePunct w:val="0"/>
              <w:autoSpaceDE/>
              <w:autoSpaceDN/>
              <w:bidi w:val="0"/>
              <w:adjustRightInd w:val="0"/>
              <w:spacing w:before="0" w:beforeAutospacing="0" w:after="0" w:afterAutospacing="0" w:line="440" w:lineRule="exact"/>
              <w:ind w:left="0" w:right="0"/>
              <w:jc w:val="center"/>
              <w:textAlignment w:val="baseline"/>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w:t>
            </w:r>
          </w:p>
        </w:tc>
        <w:tc>
          <w:tcPr>
            <w:tcW w:w="739" w:type="pct"/>
            <w:tcBorders>
              <w:top w:val="single" w:color="auto" w:sz="4" w:space="0"/>
              <w:left w:val="single" w:color="auto" w:sz="4" w:space="0"/>
              <w:bottom w:val="single" w:color="auto" w:sz="4" w:space="0"/>
              <w:right w:val="single" w:color="auto" w:sz="4" w:space="0"/>
            </w:tcBorders>
            <w:vAlign w:val="center"/>
          </w:tcPr>
          <w:p w14:paraId="164F05AC">
            <w:pPr>
              <w:keepNext w:val="0"/>
              <w:keepLines w:val="0"/>
              <w:pageBreakBefore w:val="0"/>
              <w:suppressLineNumbers w:val="0"/>
              <w:kinsoku/>
              <w:wordWrap/>
              <w:overflowPunct/>
              <w:topLinePunct w:val="0"/>
              <w:autoSpaceDE/>
              <w:autoSpaceDN/>
              <w:bidi w:val="0"/>
              <w:adjustRightInd w:val="0"/>
              <w:spacing w:before="0" w:beforeAutospacing="0" w:after="0" w:afterAutospacing="0" w:line="440" w:lineRule="exact"/>
              <w:ind w:left="0" w:right="0"/>
              <w:jc w:val="center"/>
              <w:textAlignment w:val="baseline"/>
              <w:rPr>
                <w:rFonts w:hint="eastAsia" w:ascii="宋体" w:hAnsi="宋体" w:eastAsia="宋体" w:cs="宋体"/>
                <w:b/>
                <w:bCs/>
                <w:color w:val="auto"/>
                <w:sz w:val="21"/>
                <w:szCs w:val="21"/>
                <w:highlight w:val="none"/>
              </w:rPr>
            </w:pPr>
            <w:r>
              <w:rPr>
                <w:rFonts w:hint="eastAsia" w:ascii="宋体" w:hAnsi="宋体" w:eastAsia="宋体" w:cs="宋体"/>
                <w:b/>
                <w:bCs/>
                <w:color w:val="auto"/>
                <w:sz w:val="21"/>
                <w:szCs w:val="21"/>
                <w:highlight w:val="none"/>
              </w:rPr>
              <w:t>价格分</w:t>
            </w:r>
          </w:p>
          <w:p w14:paraId="6BE11A4F">
            <w:pPr>
              <w:keepNext w:val="0"/>
              <w:keepLines w:val="0"/>
              <w:pageBreakBefore w:val="0"/>
              <w:suppressLineNumbers w:val="0"/>
              <w:kinsoku/>
              <w:wordWrap/>
              <w:overflowPunct/>
              <w:topLinePunct w:val="0"/>
              <w:autoSpaceDE/>
              <w:autoSpaceDN/>
              <w:bidi w:val="0"/>
              <w:adjustRightInd w:val="0"/>
              <w:spacing w:before="0" w:beforeAutospacing="0" w:after="0" w:afterAutospacing="0" w:line="440" w:lineRule="exact"/>
              <w:ind w:left="0" w:right="0"/>
              <w:jc w:val="center"/>
              <w:textAlignment w:val="baseline"/>
              <w:rPr>
                <w:rFonts w:hint="eastAsia" w:ascii="宋体" w:hAnsi="宋体" w:eastAsia="宋体" w:cs="宋体"/>
                <w:b/>
                <w:bCs/>
                <w:color w:val="auto"/>
                <w:sz w:val="21"/>
                <w:szCs w:val="21"/>
                <w:highlight w:val="none"/>
              </w:rPr>
            </w:pPr>
            <w:r>
              <w:rPr>
                <w:rFonts w:hint="eastAsia" w:ascii="宋体" w:hAnsi="宋体" w:eastAsia="宋体" w:cs="宋体"/>
                <w:b/>
                <w:bCs/>
                <w:color w:val="auto"/>
                <w:sz w:val="21"/>
                <w:szCs w:val="21"/>
                <w:highlight w:val="none"/>
              </w:rPr>
              <w:t>（满分</w:t>
            </w:r>
            <w:r>
              <w:rPr>
                <w:rFonts w:hint="eastAsia" w:ascii="宋体" w:hAnsi="宋体" w:cs="宋体"/>
                <w:b/>
                <w:bCs/>
                <w:color w:val="auto"/>
                <w:sz w:val="21"/>
                <w:szCs w:val="21"/>
                <w:highlight w:val="none"/>
                <w:u w:val="single"/>
                <w:lang w:val="en-US" w:eastAsia="zh-CN"/>
              </w:rPr>
              <w:t>20</w:t>
            </w:r>
            <w:r>
              <w:rPr>
                <w:rFonts w:hint="eastAsia" w:ascii="宋体" w:hAnsi="宋体" w:eastAsia="宋体" w:cs="宋体"/>
                <w:b/>
                <w:bCs/>
                <w:color w:val="auto"/>
                <w:sz w:val="21"/>
                <w:szCs w:val="21"/>
                <w:highlight w:val="none"/>
              </w:rPr>
              <w:t>分）</w:t>
            </w:r>
          </w:p>
        </w:tc>
        <w:tc>
          <w:tcPr>
            <w:tcW w:w="1104" w:type="pct"/>
            <w:tcBorders>
              <w:top w:val="single" w:color="auto" w:sz="4" w:space="0"/>
              <w:left w:val="single" w:color="auto" w:sz="4" w:space="0"/>
              <w:bottom w:val="single" w:color="auto" w:sz="4" w:space="0"/>
              <w:right w:val="single" w:color="auto" w:sz="4" w:space="0"/>
            </w:tcBorders>
            <w:vAlign w:val="center"/>
          </w:tcPr>
          <w:p w14:paraId="4DC213F6">
            <w:pPr>
              <w:keepNext w:val="0"/>
              <w:keepLines w:val="0"/>
              <w:pageBreakBefore w:val="0"/>
              <w:suppressLineNumbers w:val="0"/>
              <w:kinsoku/>
              <w:wordWrap/>
              <w:overflowPunct/>
              <w:topLinePunct w:val="0"/>
              <w:autoSpaceDE/>
              <w:autoSpaceDN/>
              <w:bidi w:val="0"/>
              <w:adjustRightInd w:val="0"/>
              <w:spacing w:before="0" w:beforeAutospacing="0" w:after="0" w:afterAutospacing="0" w:line="440" w:lineRule="exact"/>
              <w:ind w:left="0" w:right="0"/>
              <w:jc w:val="center"/>
              <w:textAlignment w:val="baseline"/>
              <w:rPr>
                <w:rFonts w:hint="eastAsia" w:ascii="宋体" w:hAnsi="宋体" w:eastAsia="宋体" w:cs="宋体"/>
                <w:b/>
                <w:color w:val="auto"/>
                <w:sz w:val="21"/>
                <w:szCs w:val="21"/>
                <w:highlight w:val="none"/>
              </w:rPr>
            </w:pPr>
            <w:r>
              <w:rPr>
                <w:rFonts w:hint="eastAsia" w:ascii="宋体" w:hAnsi="宋体" w:eastAsia="宋体" w:cs="宋体"/>
                <w:b/>
                <w:color w:val="auto"/>
                <w:sz w:val="21"/>
                <w:szCs w:val="21"/>
                <w:highlight w:val="none"/>
              </w:rPr>
              <w:t>投标报价</w:t>
            </w:r>
          </w:p>
          <w:p w14:paraId="516A51BF">
            <w:pPr>
              <w:keepNext w:val="0"/>
              <w:keepLines w:val="0"/>
              <w:pageBreakBefore w:val="0"/>
              <w:suppressLineNumbers w:val="0"/>
              <w:kinsoku/>
              <w:wordWrap/>
              <w:overflowPunct/>
              <w:topLinePunct w:val="0"/>
              <w:autoSpaceDE/>
              <w:autoSpaceDN/>
              <w:bidi w:val="0"/>
              <w:adjustRightInd w:val="0"/>
              <w:spacing w:before="0" w:beforeAutospacing="0" w:after="0" w:afterAutospacing="0" w:line="440" w:lineRule="exact"/>
              <w:ind w:left="0" w:right="0"/>
              <w:jc w:val="center"/>
              <w:textAlignment w:val="baseline"/>
              <w:rPr>
                <w:rFonts w:hint="eastAsia" w:ascii="宋体" w:hAnsi="宋体" w:eastAsia="宋体" w:cs="宋体"/>
                <w:b/>
                <w:color w:val="auto"/>
                <w:sz w:val="21"/>
                <w:szCs w:val="21"/>
                <w:highlight w:val="none"/>
              </w:rPr>
            </w:pPr>
            <w:r>
              <w:rPr>
                <w:rFonts w:hint="eastAsia" w:ascii="宋体" w:hAnsi="宋体" w:eastAsia="宋体" w:cs="宋体"/>
                <w:b/>
                <w:color w:val="auto"/>
                <w:sz w:val="21"/>
                <w:szCs w:val="21"/>
                <w:highlight w:val="none"/>
              </w:rPr>
              <w:t>（满分</w:t>
            </w:r>
            <w:r>
              <w:rPr>
                <w:rFonts w:hint="eastAsia" w:ascii="宋体" w:hAnsi="宋体" w:cs="宋体"/>
                <w:b/>
                <w:color w:val="auto"/>
                <w:sz w:val="21"/>
                <w:szCs w:val="21"/>
                <w:highlight w:val="none"/>
                <w:u w:val="single"/>
                <w:lang w:val="en-US" w:eastAsia="zh-CN"/>
              </w:rPr>
              <w:t>20</w:t>
            </w:r>
            <w:r>
              <w:rPr>
                <w:rFonts w:hint="eastAsia" w:ascii="宋体" w:hAnsi="宋体" w:eastAsia="宋体" w:cs="宋体"/>
                <w:b/>
                <w:color w:val="auto"/>
                <w:sz w:val="21"/>
                <w:szCs w:val="21"/>
                <w:highlight w:val="none"/>
              </w:rPr>
              <w:t>分）</w:t>
            </w:r>
          </w:p>
        </w:tc>
        <w:tc>
          <w:tcPr>
            <w:tcW w:w="2867" w:type="pct"/>
            <w:tcBorders>
              <w:top w:val="single" w:color="auto" w:sz="4" w:space="0"/>
              <w:left w:val="single" w:color="auto" w:sz="4" w:space="0"/>
              <w:bottom w:val="single" w:color="auto" w:sz="4" w:space="0"/>
              <w:right w:val="single" w:color="auto" w:sz="4" w:space="0"/>
            </w:tcBorders>
            <w:vAlign w:val="center"/>
          </w:tcPr>
          <w:p w14:paraId="48291D8E">
            <w:pPr>
              <w:pStyle w:val="34"/>
              <w:keepNext w:val="0"/>
              <w:keepLines w:val="0"/>
              <w:pageBreakBefore w:val="0"/>
              <w:suppressLineNumbers w:val="0"/>
              <w:kinsoku/>
              <w:wordWrap/>
              <w:overflowPunct/>
              <w:topLinePunct w:val="0"/>
              <w:autoSpaceDE/>
              <w:autoSpaceDN/>
              <w:bidi w:val="0"/>
              <w:spacing w:before="0" w:beforeAutospacing="0" w:after="0" w:afterAutospacing="0" w:line="440" w:lineRule="exact"/>
              <w:ind w:left="0" w:right="0" w:firstLine="420" w:firstLineChars="200"/>
              <w:rPr>
                <w:rFonts w:hint="eastAsia" w:ascii="宋体" w:hAnsi="宋体" w:eastAsia="宋体" w:cs="宋体"/>
                <w:color w:val="auto"/>
                <w:sz w:val="21"/>
                <w:szCs w:val="21"/>
                <w:highlight w:val="none"/>
                <w:lang w:val="en-US" w:eastAsia="zh-CN" w:bidi="ar"/>
              </w:rPr>
            </w:pPr>
            <w:r>
              <w:rPr>
                <w:rFonts w:hint="eastAsia" w:ascii="宋体" w:hAnsi="宋体" w:eastAsia="宋体" w:cs="宋体"/>
                <w:bCs/>
                <w:color w:val="auto"/>
                <w:sz w:val="21"/>
                <w:szCs w:val="21"/>
                <w:highlight w:val="none"/>
              </w:rPr>
              <w:t>本项目专门面向中小企业，对投标人投标报价不再执行中小企业政策性扣</w:t>
            </w:r>
            <w:r>
              <w:rPr>
                <w:rFonts w:hint="eastAsia" w:ascii="宋体" w:hAnsi="宋体" w:eastAsia="宋体" w:cs="宋体"/>
                <w:color w:val="auto"/>
                <w:sz w:val="21"/>
                <w:szCs w:val="21"/>
                <w:highlight w:val="none"/>
                <w:lang w:bidi="ar"/>
              </w:rPr>
              <w:t xml:space="preserve">除。 </w:t>
            </w:r>
            <w:r>
              <w:rPr>
                <w:rFonts w:hint="eastAsia" w:ascii="宋体" w:hAnsi="宋体" w:cs="宋体"/>
                <w:color w:val="auto"/>
                <w:sz w:val="21"/>
                <w:szCs w:val="21"/>
                <w:highlight w:val="none"/>
                <w:lang w:val="en-US" w:eastAsia="zh-CN" w:bidi="ar"/>
              </w:rPr>
              <w:t>本项目为服务项目，不涉及货物，</w:t>
            </w:r>
            <w:r>
              <w:rPr>
                <w:rFonts w:hint="eastAsia" w:ascii="宋体" w:hAnsi="宋体" w:eastAsia="宋体" w:cs="宋体"/>
                <w:bCs/>
                <w:color w:val="auto"/>
                <w:sz w:val="21"/>
                <w:szCs w:val="21"/>
                <w:highlight w:val="none"/>
              </w:rPr>
              <w:t>对投标人投标报价不再执行</w:t>
            </w:r>
            <w:r>
              <w:rPr>
                <w:rFonts w:hint="eastAsia" w:ascii="宋体" w:hAnsi="宋体" w:eastAsia="宋体" w:cs="宋体"/>
                <w:color w:val="auto"/>
                <w:sz w:val="21"/>
                <w:szCs w:val="21"/>
                <w:highlight w:val="none"/>
                <w:lang w:bidi="ar"/>
              </w:rPr>
              <w:t>本国产品政策性扣除</w:t>
            </w:r>
            <w:r>
              <w:rPr>
                <w:rFonts w:hint="eastAsia" w:ascii="宋体" w:hAnsi="宋体" w:cs="宋体"/>
                <w:color w:val="auto"/>
                <w:sz w:val="21"/>
                <w:szCs w:val="21"/>
                <w:highlight w:val="none"/>
                <w:lang w:eastAsia="zh-CN" w:bidi="ar"/>
              </w:rPr>
              <w:t>。</w:t>
            </w:r>
          </w:p>
          <w:p w14:paraId="0A7B5DFC">
            <w:pPr>
              <w:pStyle w:val="34"/>
              <w:keepNext w:val="0"/>
              <w:keepLines w:val="0"/>
              <w:pageBreakBefore w:val="0"/>
              <w:suppressLineNumbers w:val="0"/>
              <w:kinsoku/>
              <w:wordWrap/>
              <w:overflowPunct/>
              <w:topLinePunct w:val="0"/>
              <w:autoSpaceDE/>
              <w:autoSpaceDN/>
              <w:bidi w:val="0"/>
              <w:spacing w:before="0" w:beforeAutospacing="0" w:after="0" w:afterAutospacing="0" w:line="440" w:lineRule="exact"/>
              <w:ind w:left="0" w:right="0" w:firstLine="420" w:firstLineChars="200"/>
              <w:rPr>
                <w:rFonts w:hint="eastAsia" w:ascii="宋体" w:hAnsi="宋体" w:eastAsia="宋体" w:cs="宋体"/>
                <w:color w:val="auto"/>
                <w:sz w:val="21"/>
                <w:szCs w:val="21"/>
                <w:highlight w:val="none"/>
                <w:lang w:bidi="ar"/>
              </w:rPr>
            </w:pPr>
            <w:r>
              <w:rPr>
                <w:rFonts w:hint="eastAsia" w:ascii="宋体" w:hAnsi="宋体" w:eastAsia="宋体" w:cs="宋体"/>
                <w:color w:val="auto"/>
                <w:sz w:val="21"/>
                <w:szCs w:val="21"/>
                <w:highlight w:val="none"/>
                <w:lang w:bidi="ar"/>
              </w:rPr>
              <w:t>（1）满足招标文件要求且投标报价最低的投标报价为基准价，其价格分为满分</w:t>
            </w:r>
            <w:r>
              <w:rPr>
                <w:rFonts w:hint="eastAsia" w:ascii="宋体" w:hAnsi="宋体" w:cs="宋体"/>
                <w:color w:val="auto"/>
                <w:sz w:val="21"/>
                <w:szCs w:val="21"/>
                <w:highlight w:val="none"/>
                <w:lang w:val="en-US" w:eastAsia="zh-CN" w:bidi="ar"/>
              </w:rPr>
              <w:t>20</w:t>
            </w:r>
            <w:r>
              <w:rPr>
                <w:rFonts w:hint="eastAsia" w:ascii="宋体" w:hAnsi="宋体" w:eastAsia="宋体" w:cs="宋体"/>
                <w:color w:val="auto"/>
                <w:sz w:val="21"/>
                <w:szCs w:val="21"/>
                <w:highlight w:val="none"/>
                <w:lang w:bidi="ar"/>
              </w:rPr>
              <w:t>分。</w:t>
            </w:r>
          </w:p>
          <w:p w14:paraId="1B24F8EF">
            <w:pPr>
              <w:pStyle w:val="34"/>
              <w:keepNext w:val="0"/>
              <w:keepLines w:val="0"/>
              <w:pageBreakBefore w:val="0"/>
              <w:suppressLineNumbers w:val="0"/>
              <w:kinsoku/>
              <w:wordWrap/>
              <w:overflowPunct/>
              <w:topLinePunct w:val="0"/>
              <w:autoSpaceDE/>
              <w:autoSpaceDN/>
              <w:bidi w:val="0"/>
              <w:spacing w:before="0" w:beforeAutospacing="0" w:after="0" w:afterAutospacing="0" w:line="440" w:lineRule="exact"/>
              <w:ind w:left="0" w:right="0" w:firstLine="420" w:firstLineChars="200"/>
              <w:rPr>
                <w:rFonts w:hint="eastAsia" w:ascii="宋体" w:hAnsi="宋体" w:eastAsia="宋体" w:cs="宋体"/>
                <w:color w:val="auto"/>
                <w:sz w:val="21"/>
                <w:szCs w:val="21"/>
                <w:highlight w:val="none"/>
                <w:lang w:bidi="ar"/>
              </w:rPr>
            </w:pPr>
            <w:r>
              <w:rPr>
                <w:rFonts w:hint="eastAsia" w:ascii="宋体" w:hAnsi="宋体" w:eastAsia="宋体" w:cs="宋体"/>
                <w:color w:val="auto"/>
                <w:sz w:val="21"/>
                <w:szCs w:val="21"/>
                <w:highlight w:val="none"/>
                <w:lang w:bidi="ar"/>
              </w:rPr>
              <w:t>（2）价格分计算公式：</w:t>
            </w:r>
          </w:p>
          <w:p w14:paraId="40213434">
            <w:pPr>
              <w:pStyle w:val="34"/>
              <w:keepNext w:val="0"/>
              <w:keepLines w:val="0"/>
              <w:pageBreakBefore w:val="0"/>
              <w:suppressLineNumbers w:val="0"/>
              <w:kinsoku/>
              <w:wordWrap/>
              <w:overflowPunct/>
              <w:topLinePunct w:val="0"/>
              <w:autoSpaceDE/>
              <w:autoSpaceDN/>
              <w:bidi w:val="0"/>
              <w:spacing w:before="0" w:beforeAutospacing="0" w:after="0" w:afterAutospacing="0" w:line="440" w:lineRule="exact"/>
              <w:ind w:left="0" w:right="0" w:firstLine="420" w:firstLineChars="200"/>
              <w:rPr>
                <w:rFonts w:hint="eastAsia" w:ascii="宋体" w:hAnsi="宋体" w:eastAsia="宋体" w:cs="宋体"/>
                <w:bCs/>
                <w:color w:val="auto"/>
                <w:sz w:val="21"/>
                <w:szCs w:val="21"/>
                <w:highlight w:val="none"/>
              </w:rPr>
            </w:pPr>
            <w:r>
              <w:rPr>
                <w:rFonts w:hint="eastAsia" w:ascii="宋体" w:hAnsi="宋体" w:eastAsia="宋体" w:cs="宋体"/>
                <w:color w:val="auto"/>
                <w:sz w:val="21"/>
                <w:szCs w:val="21"/>
                <w:highlight w:val="none"/>
                <w:lang w:bidi="ar"/>
              </w:rPr>
              <w:t>价格分=（投标人最低有效投标报价金额／某投标人有效投标报价金额）×</w:t>
            </w:r>
            <w:r>
              <w:rPr>
                <w:rFonts w:hint="eastAsia" w:ascii="宋体" w:hAnsi="宋体" w:cs="宋体"/>
                <w:color w:val="auto"/>
                <w:sz w:val="21"/>
                <w:szCs w:val="21"/>
                <w:highlight w:val="none"/>
                <w:lang w:val="en-US" w:eastAsia="zh-CN" w:bidi="ar"/>
              </w:rPr>
              <w:t>20</w:t>
            </w:r>
            <w:r>
              <w:rPr>
                <w:rFonts w:hint="eastAsia" w:ascii="宋体" w:hAnsi="宋体" w:eastAsia="宋体" w:cs="宋体"/>
                <w:color w:val="auto"/>
                <w:sz w:val="21"/>
                <w:szCs w:val="21"/>
                <w:highlight w:val="none"/>
                <w:lang w:bidi="ar"/>
              </w:rPr>
              <w:t>分</w:t>
            </w:r>
          </w:p>
        </w:tc>
      </w:tr>
      <w:tr w14:paraId="3CBD36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88" w:type="pct"/>
            <w:vMerge w:val="restart"/>
            <w:tcBorders>
              <w:top w:val="single" w:color="auto" w:sz="4" w:space="0"/>
              <w:left w:val="single" w:color="auto" w:sz="4" w:space="0"/>
              <w:right w:val="single" w:color="auto" w:sz="4" w:space="0"/>
            </w:tcBorders>
            <w:vAlign w:val="center"/>
          </w:tcPr>
          <w:p w14:paraId="0AB859F6">
            <w:pPr>
              <w:keepNext w:val="0"/>
              <w:keepLines w:val="0"/>
              <w:pageBreakBefore w:val="0"/>
              <w:suppressLineNumbers w:val="0"/>
              <w:kinsoku/>
              <w:wordWrap/>
              <w:overflowPunct/>
              <w:topLinePunct w:val="0"/>
              <w:autoSpaceDE/>
              <w:autoSpaceDN/>
              <w:bidi w:val="0"/>
              <w:adjustRightInd w:val="0"/>
              <w:spacing w:before="0" w:beforeAutospacing="0" w:after="0" w:afterAutospacing="0" w:line="440" w:lineRule="exact"/>
              <w:ind w:left="0" w:right="0"/>
              <w:jc w:val="both"/>
              <w:textAlignment w:val="baseline"/>
              <w:rPr>
                <w:rFonts w:hint="eastAsia" w:ascii="宋体" w:hAnsi="宋体" w:eastAsia="宋体" w:cs="宋体"/>
                <w:color w:val="auto"/>
                <w:sz w:val="21"/>
                <w:szCs w:val="21"/>
                <w:highlight w:val="none"/>
              </w:rPr>
            </w:pPr>
          </w:p>
          <w:p w14:paraId="28A20F64">
            <w:pPr>
              <w:pStyle w:val="2"/>
              <w:keepNext w:val="0"/>
              <w:keepLines w:val="0"/>
              <w:pageBreakBefore w:val="0"/>
              <w:suppressLineNumbers w:val="0"/>
              <w:kinsoku/>
              <w:wordWrap/>
              <w:overflowPunct/>
              <w:topLinePunct w:val="0"/>
              <w:autoSpaceDE/>
              <w:autoSpaceDN/>
              <w:bidi w:val="0"/>
              <w:spacing w:before="0" w:beforeAutospacing="0" w:after="0" w:afterAutospacing="0" w:line="440" w:lineRule="exact"/>
              <w:ind w:left="0" w:leftChars="0" w:right="0" w:firstLine="0" w:firstLineChars="0"/>
              <w:jc w:val="center"/>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2</w:t>
            </w:r>
          </w:p>
        </w:tc>
        <w:tc>
          <w:tcPr>
            <w:tcW w:w="739" w:type="pct"/>
            <w:vMerge w:val="restart"/>
            <w:tcBorders>
              <w:top w:val="single" w:color="auto" w:sz="4" w:space="0"/>
              <w:left w:val="single" w:color="auto" w:sz="4" w:space="0"/>
              <w:right w:val="single" w:color="auto" w:sz="4" w:space="0"/>
            </w:tcBorders>
            <w:vAlign w:val="center"/>
          </w:tcPr>
          <w:p w14:paraId="59443470">
            <w:pPr>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440" w:lineRule="exact"/>
              <w:ind w:left="-105" w:leftChars="-50" w:right="-105" w:rightChars="-50"/>
              <w:jc w:val="center"/>
              <w:textAlignment w:val="baseline"/>
              <w:rPr>
                <w:rFonts w:hint="eastAsia" w:ascii="宋体" w:hAnsi="宋体" w:eastAsia="宋体" w:cs="宋体"/>
                <w:b/>
                <w:bCs/>
                <w:color w:val="auto"/>
                <w:sz w:val="21"/>
                <w:szCs w:val="21"/>
                <w:highlight w:val="none"/>
              </w:rPr>
            </w:pPr>
            <w:r>
              <w:rPr>
                <w:rFonts w:hint="eastAsia" w:ascii="宋体" w:hAnsi="宋体" w:eastAsia="宋体" w:cs="宋体"/>
                <w:b/>
                <w:bCs/>
                <w:color w:val="auto"/>
                <w:sz w:val="21"/>
                <w:szCs w:val="21"/>
                <w:highlight w:val="none"/>
              </w:rPr>
              <w:t>技术分</w:t>
            </w:r>
          </w:p>
          <w:p w14:paraId="015DA148">
            <w:pPr>
              <w:keepNext w:val="0"/>
              <w:keepLines w:val="0"/>
              <w:pageBreakBefore w:val="0"/>
              <w:suppressLineNumbers w:val="0"/>
              <w:kinsoku/>
              <w:wordWrap/>
              <w:overflowPunct/>
              <w:topLinePunct w:val="0"/>
              <w:autoSpaceDE/>
              <w:autoSpaceDN/>
              <w:bidi w:val="0"/>
              <w:adjustRightInd w:val="0"/>
              <w:spacing w:before="0" w:beforeAutospacing="0" w:after="0" w:afterAutospacing="0" w:line="440" w:lineRule="exact"/>
              <w:ind w:left="0" w:right="0"/>
              <w:jc w:val="center"/>
              <w:textAlignment w:val="baseline"/>
              <w:rPr>
                <w:rFonts w:hint="eastAsia" w:ascii="宋体" w:hAnsi="宋体" w:eastAsia="宋体" w:cs="宋体"/>
                <w:b/>
                <w:bCs/>
                <w:color w:val="auto"/>
                <w:sz w:val="21"/>
                <w:szCs w:val="21"/>
                <w:highlight w:val="none"/>
              </w:rPr>
            </w:pPr>
            <w:r>
              <w:rPr>
                <w:rFonts w:hint="eastAsia" w:ascii="宋体" w:hAnsi="宋体" w:eastAsia="宋体" w:cs="宋体"/>
                <w:b/>
                <w:bCs/>
                <w:color w:val="auto"/>
                <w:sz w:val="21"/>
                <w:szCs w:val="21"/>
                <w:highlight w:val="none"/>
              </w:rPr>
              <w:t>（满分</w:t>
            </w:r>
            <w:r>
              <w:rPr>
                <w:rFonts w:hint="eastAsia" w:ascii="宋体" w:hAnsi="宋体" w:cs="宋体"/>
                <w:b/>
                <w:bCs/>
                <w:color w:val="auto"/>
                <w:sz w:val="21"/>
                <w:szCs w:val="21"/>
                <w:highlight w:val="none"/>
                <w:lang w:val="en-US" w:eastAsia="zh-CN"/>
              </w:rPr>
              <w:t>52</w:t>
            </w:r>
            <w:r>
              <w:rPr>
                <w:rFonts w:hint="eastAsia" w:ascii="宋体" w:hAnsi="宋体" w:eastAsia="宋体" w:cs="宋体"/>
                <w:b/>
                <w:bCs/>
                <w:color w:val="auto"/>
                <w:sz w:val="21"/>
                <w:szCs w:val="21"/>
                <w:highlight w:val="none"/>
              </w:rPr>
              <w:t>分）</w:t>
            </w:r>
          </w:p>
        </w:tc>
        <w:tc>
          <w:tcPr>
            <w:tcW w:w="1104" w:type="pct"/>
            <w:tcBorders>
              <w:top w:val="single" w:color="auto" w:sz="4" w:space="0"/>
              <w:left w:val="single" w:color="auto" w:sz="4" w:space="0"/>
              <w:bottom w:val="single" w:color="auto" w:sz="4" w:space="0"/>
              <w:right w:val="single" w:color="auto" w:sz="4" w:space="0"/>
            </w:tcBorders>
            <w:vAlign w:val="center"/>
          </w:tcPr>
          <w:p w14:paraId="2A5264D7">
            <w:pPr>
              <w:keepNext w:val="0"/>
              <w:keepLines w:val="0"/>
              <w:pageBreakBefore w:val="0"/>
              <w:suppressLineNumbers w:val="0"/>
              <w:kinsoku/>
              <w:wordWrap/>
              <w:overflowPunct/>
              <w:topLinePunct w:val="0"/>
              <w:autoSpaceDE/>
              <w:autoSpaceDN/>
              <w:bidi w:val="0"/>
              <w:adjustRightInd w:val="0"/>
              <w:spacing w:before="0" w:beforeAutospacing="0" w:after="0" w:afterAutospacing="0" w:line="440" w:lineRule="exact"/>
              <w:ind w:left="0" w:right="0"/>
              <w:jc w:val="center"/>
              <w:textAlignment w:val="baseline"/>
              <w:rPr>
                <w:rFonts w:hint="eastAsia" w:ascii="宋体" w:hAnsi="宋体" w:eastAsia="宋体" w:cs="宋体"/>
                <w:b/>
                <w:color w:val="auto"/>
                <w:sz w:val="21"/>
                <w:szCs w:val="21"/>
                <w:highlight w:val="none"/>
              </w:rPr>
            </w:pPr>
            <w:r>
              <w:rPr>
                <w:rFonts w:hint="eastAsia" w:ascii="宋体" w:hAnsi="宋体" w:eastAsia="宋体" w:cs="宋体"/>
                <w:color w:val="auto"/>
                <w:sz w:val="21"/>
                <w:szCs w:val="21"/>
                <w:highlight w:val="none"/>
              </w:rPr>
              <w:t>服务</w:t>
            </w:r>
            <w:r>
              <w:rPr>
                <w:rFonts w:hint="eastAsia" w:ascii="宋体" w:hAnsi="宋体" w:eastAsia="宋体" w:cs="宋体"/>
                <w:color w:val="auto"/>
                <w:sz w:val="21"/>
                <w:szCs w:val="21"/>
                <w:highlight w:val="none"/>
                <w:lang w:val="zh-CN"/>
              </w:rPr>
              <w:t>方案（</w:t>
            </w:r>
            <w:r>
              <w:rPr>
                <w:rFonts w:hint="eastAsia" w:ascii="宋体" w:hAnsi="宋体" w:cs="宋体"/>
                <w:color w:val="auto"/>
                <w:sz w:val="21"/>
                <w:szCs w:val="21"/>
                <w:highlight w:val="none"/>
                <w:lang w:val="en-US" w:eastAsia="zh-CN"/>
              </w:rPr>
              <w:t>18</w:t>
            </w:r>
            <w:r>
              <w:rPr>
                <w:rFonts w:hint="eastAsia" w:ascii="宋体" w:hAnsi="宋体" w:eastAsia="宋体" w:cs="宋体"/>
                <w:color w:val="auto"/>
                <w:sz w:val="21"/>
                <w:szCs w:val="21"/>
                <w:highlight w:val="none"/>
              </w:rPr>
              <w:t>分</w:t>
            </w:r>
            <w:r>
              <w:rPr>
                <w:rFonts w:hint="eastAsia" w:ascii="宋体" w:hAnsi="宋体" w:eastAsia="宋体" w:cs="宋体"/>
                <w:color w:val="auto"/>
                <w:sz w:val="21"/>
                <w:szCs w:val="21"/>
                <w:highlight w:val="none"/>
                <w:lang w:val="zh-CN"/>
              </w:rPr>
              <w:t>）</w:t>
            </w:r>
          </w:p>
        </w:tc>
        <w:tc>
          <w:tcPr>
            <w:tcW w:w="2867" w:type="pct"/>
            <w:tcBorders>
              <w:top w:val="single" w:color="auto" w:sz="4" w:space="0"/>
              <w:left w:val="single" w:color="auto" w:sz="4" w:space="0"/>
              <w:bottom w:val="single" w:color="auto" w:sz="4" w:space="0"/>
              <w:right w:val="single" w:color="auto" w:sz="4" w:space="0"/>
            </w:tcBorders>
            <w:vAlign w:val="center"/>
          </w:tcPr>
          <w:p w14:paraId="0B304701">
            <w:pPr>
              <w:pStyle w:val="34"/>
              <w:keepNext w:val="0"/>
              <w:keepLines w:val="0"/>
              <w:pageBreakBefore w:val="0"/>
              <w:suppressLineNumbers w:val="0"/>
              <w:kinsoku/>
              <w:wordWrap/>
              <w:overflowPunct/>
              <w:topLinePunct w:val="0"/>
              <w:autoSpaceDE/>
              <w:autoSpaceDN/>
              <w:bidi w:val="0"/>
              <w:spacing w:before="0" w:beforeAutospacing="0" w:after="0" w:afterAutospacing="0" w:line="440" w:lineRule="exact"/>
              <w:ind w:left="0" w:right="0" w:firstLine="452" w:firstLineChars="200"/>
              <w:rPr>
                <w:rFonts w:hint="eastAsia" w:ascii="宋体" w:hAnsi="宋体" w:eastAsia="宋体" w:cs="宋体"/>
                <w:color w:val="auto"/>
                <w:spacing w:val="8"/>
                <w:sz w:val="21"/>
                <w:szCs w:val="21"/>
                <w:highlight w:val="none"/>
                <w:lang w:val="en-US" w:eastAsia="zh-CN"/>
              </w:rPr>
            </w:pPr>
            <w:r>
              <w:rPr>
                <w:rFonts w:hint="eastAsia" w:ascii="宋体" w:hAnsi="宋体" w:eastAsia="宋体" w:cs="宋体"/>
                <w:color w:val="auto"/>
                <w:spacing w:val="8"/>
                <w:sz w:val="21"/>
                <w:szCs w:val="21"/>
                <w:highlight w:val="none"/>
                <w:lang w:val="en-US" w:eastAsia="zh-CN"/>
              </w:rPr>
              <w:t>一档（</w:t>
            </w:r>
            <w:r>
              <w:rPr>
                <w:rFonts w:hint="eastAsia" w:ascii="宋体" w:hAnsi="宋体" w:cs="宋体"/>
                <w:color w:val="auto"/>
                <w:spacing w:val="8"/>
                <w:sz w:val="21"/>
                <w:szCs w:val="21"/>
                <w:highlight w:val="none"/>
                <w:lang w:val="en-US" w:eastAsia="zh-CN"/>
              </w:rPr>
              <w:t>6</w:t>
            </w:r>
            <w:r>
              <w:rPr>
                <w:rFonts w:hint="eastAsia" w:ascii="宋体" w:hAnsi="宋体" w:eastAsia="宋体" w:cs="宋体"/>
                <w:color w:val="auto"/>
                <w:spacing w:val="8"/>
                <w:sz w:val="21"/>
                <w:szCs w:val="21"/>
                <w:highlight w:val="none"/>
                <w:lang w:val="en-US" w:eastAsia="zh-CN"/>
              </w:rPr>
              <w:t>分）：供应商的服务方案能完全响应项目采购需求服务要求的前提下，服务方案有对项目背景、建设目标、功能模块、实现思路</w:t>
            </w:r>
            <w:r>
              <w:rPr>
                <w:rFonts w:hint="eastAsia" w:ascii="宋体" w:hAnsi="宋体" w:cs="宋体"/>
                <w:color w:val="auto"/>
                <w:spacing w:val="8"/>
                <w:sz w:val="21"/>
                <w:szCs w:val="21"/>
                <w:highlight w:val="none"/>
                <w:lang w:val="en-US" w:eastAsia="zh-CN"/>
              </w:rPr>
              <w:t>、</w:t>
            </w:r>
            <w:r>
              <w:rPr>
                <w:rFonts w:hint="eastAsia" w:ascii="宋体" w:hAnsi="宋体" w:eastAsia="宋体" w:cs="宋体"/>
                <w:color w:val="auto"/>
                <w:spacing w:val="8"/>
                <w:sz w:val="21"/>
                <w:szCs w:val="21"/>
                <w:highlight w:val="none"/>
                <w:lang w:val="en-US" w:eastAsia="zh-CN"/>
              </w:rPr>
              <w:t>关键技术的阐述</w:t>
            </w:r>
            <w:r>
              <w:rPr>
                <w:rFonts w:hint="eastAsia" w:ascii="宋体" w:hAnsi="宋体" w:cs="宋体"/>
                <w:color w:val="auto"/>
                <w:spacing w:val="8"/>
                <w:sz w:val="21"/>
                <w:szCs w:val="21"/>
                <w:highlight w:val="none"/>
                <w:lang w:val="en-US" w:eastAsia="zh-CN"/>
              </w:rPr>
              <w:t>及培训方案</w:t>
            </w:r>
            <w:r>
              <w:rPr>
                <w:rFonts w:hint="eastAsia" w:ascii="宋体" w:hAnsi="宋体" w:eastAsia="宋体" w:cs="宋体"/>
                <w:color w:val="auto"/>
                <w:spacing w:val="8"/>
                <w:sz w:val="21"/>
                <w:szCs w:val="21"/>
                <w:highlight w:val="none"/>
                <w:lang w:val="en-US" w:eastAsia="zh-CN"/>
              </w:rPr>
              <w:t>。</w:t>
            </w:r>
          </w:p>
          <w:p w14:paraId="3887C91D">
            <w:pPr>
              <w:pStyle w:val="34"/>
              <w:keepNext w:val="0"/>
              <w:keepLines w:val="0"/>
              <w:pageBreakBefore w:val="0"/>
              <w:suppressLineNumbers w:val="0"/>
              <w:kinsoku/>
              <w:wordWrap/>
              <w:overflowPunct/>
              <w:topLinePunct w:val="0"/>
              <w:autoSpaceDE/>
              <w:autoSpaceDN/>
              <w:bidi w:val="0"/>
              <w:spacing w:before="0" w:beforeAutospacing="0" w:after="0" w:afterAutospacing="0" w:line="440" w:lineRule="exact"/>
              <w:ind w:left="0" w:right="0" w:firstLine="452" w:firstLineChars="200"/>
              <w:rPr>
                <w:rFonts w:hint="eastAsia" w:ascii="宋体" w:hAnsi="宋体" w:eastAsia="宋体" w:cs="宋体"/>
                <w:color w:val="auto"/>
                <w:spacing w:val="8"/>
                <w:sz w:val="21"/>
                <w:szCs w:val="21"/>
                <w:highlight w:val="none"/>
                <w:lang w:val="en-US" w:eastAsia="zh-CN"/>
              </w:rPr>
            </w:pPr>
            <w:r>
              <w:rPr>
                <w:rFonts w:hint="eastAsia" w:ascii="宋体" w:hAnsi="宋体" w:eastAsia="宋体" w:cs="宋体"/>
                <w:color w:val="auto"/>
                <w:spacing w:val="8"/>
                <w:sz w:val="21"/>
                <w:szCs w:val="21"/>
                <w:highlight w:val="none"/>
                <w:lang w:val="en-US" w:eastAsia="zh-CN"/>
              </w:rPr>
              <w:t>二档（</w:t>
            </w:r>
            <w:r>
              <w:rPr>
                <w:rFonts w:hint="eastAsia" w:ascii="宋体" w:hAnsi="宋体" w:cs="宋体"/>
                <w:color w:val="auto"/>
                <w:spacing w:val="8"/>
                <w:sz w:val="21"/>
                <w:szCs w:val="21"/>
                <w:highlight w:val="none"/>
                <w:lang w:val="en-US" w:eastAsia="zh-CN"/>
              </w:rPr>
              <w:t>12</w:t>
            </w:r>
            <w:r>
              <w:rPr>
                <w:rFonts w:hint="eastAsia" w:ascii="宋体" w:hAnsi="宋体" w:eastAsia="宋体" w:cs="宋体"/>
                <w:color w:val="auto"/>
                <w:spacing w:val="8"/>
                <w:sz w:val="21"/>
                <w:szCs w:val="21"/>
                <w:highlight w:val="none"/>
                <w:lang w:val="en-US" w:eastAsia="zh-CN"/>
              </w:rPr>
              <w:t>分）：在一档的基础上，服务方案包含对项目背景、建设目标、功能模块、实现思路和关键技术的阐述，能够结合自身经验进一步对项目服务工作进行分析，并有重点、难点分析，</w:t>
            </w:r>
            <w:r>
              <w:rPr>
                <w:rFonts w:hint="eastAsia" w:ascii="宋体" w:hAnsi="宋体" w:cs="宋体"/>
                <w:color w:val="auto"/>
                <w:spacing w:val="8"/>
                <w:sz w:val="21"/>
                <w:szCs w:val="21"/>
                <w:highlight w:val="none"/>
                <w:lang w:val="en-US" w:eastAsia="zh-CN"/>
              </w:rPr>
              <w:t>培训方案包括</w:t>
            </w:r>
            <w:r>
              <w:rPr>
                <w:rFonts w:hint="eastAsia" w:ascii="宋体" w:hAnsi="宋体" w:eastAsia="宋体" w:cs="宋体"/>
                <w:bCs/>
                <w:color w:val="auto"/>
                <w:sz w:val="21"/>
                <w:szCs w:val="21"/>
                <w:highlight w:val="none"/>
                <w:lang w:val="en-US" w:eastAsia="zh-CN"/>
              </w:rPr>
              <w:t>培训内容、培训方式及培训课时安排</w:t>
            </w:r>
            <w:r>
              <w:rPr>
                <w:rFonts w:hint="eastAsia" w:ascii="宋体" w:hAnsi="宋体" w:eastAsia="宋体" w:cs="宋体"/>
                <w:color w:val="auto"/>
                <w:spacing w:val="8"/>
                <w:sz w:val="21"/>
                <w:szCs w:val="21"/>
                <w:highlight w:val="none"/>
                <w:lang w:val="en-US" w:eastAsia="zh-CN"/>
              </w:rPr>
              <w:t>。</w:t>
            </w:r>
          </w:p>
          <w:p w14:paraId="30B44912">
            <w:pPr>
              <w:pStyle w:val="34"/>
              <w:keepNext w:val="0"/>
              <w:keepLines w:val="0"/>
              <w:pageBreakBefore w:val="0"/>
              <w:suppressLineNumbers w:val="0"/>
              <w:kinsoku/>
              <w:wordWrap/>
              <w:overflowPunct/>
              <w:topLinePunct w:val="0"/>
              <w:autoSpaceDE/>
              <w:autoSpaceDN/>
              <w:bidi w:val="0"/>
              <w:spacing w:before="0" w:beforeAutospacing="0" w:after="0" w:afterAutospacing="0" w:line="440" w:lineRule="exact"/>
              <w:ind w:left="0" w:right="0" w:firstLine="452" w:firstLineChars="200"/>
              <w:rPr>
                <w:rFonts w:hint="eastAsia" w:ascii="宋体" w:hAnsi="宋体" w:eastAsia="宋体" w:cs="宋体"/>
                <w:color w:val="auto"/>
                <w:spacing w:val="8"/>
                <w:sz w:val="21"/>
                <w:szCs w:val="21"/>
                <w:highlight w:val="none"/>
                <w:lang w:val="en-US" w:eastAsia="zh-CN"/>
              </w:rPr>
            </w:pPr>
            <w:r>
              <w:rPr>
                <w:rFonts w:hint="eastAsia" w:ascii="宋体" w:hAnsi="宋体" w:eastAsia="宋体" w:cs="宋体"/>
                <w:color w:val="auto"/>
                <w:spacing w:val="8"/>
                <w:sz w:val="21"/>
                <w:szCs w:val="21"/>
                <w:highlight w:val="none"/>
                <w:lang w:val="en-US" w:eastAsia="zh-CN"/>
              </w:rPr>
              <w:t>三档（</w:t>
            </w:r>
            <w:r>
              <w:rPr>
                <w:rFonts w:hint="eastAsia" w:ascii="宋体" w:hAnsi="宋体" w:cs="宋体"/>
                <w:color w:val="auto"/>
                <w:spacing w:val="8"/>
                <w:sz w:val="21"/>
                <w:szCs w:val="21"/>
                <w:highlight w:val="none"/>
                <w:lang w:val="en-US" w:eastAsia="zh-CN"/>
              </w:rPr>
              <w:t>18</w:t>
            </w:r>
            <w:r>
              <w:rPr>
                <w:rFonts w:hint="eastAsia" w:ascii="宋体" w:hAnsi="宋体" w:eastAsia="宋体" w:cs="宋体"/>
                <w:color w:val="auto"/>
                <w:spacing w:val="8"/>
                <w:sz w:val="21"/>
                <w:szCs w:val="21"/>
                <w:highlight w:val="none"/>
                <w:lang w:val="en-US" w:eastAsia="zh-CN"/>
              </w:rPr>
              <w:t>分）：在二档的基础上，服务方案包括项目背景、建设目标、功能模块、实现思路和关键技术的阐述，对需求了解透彻，服务方案完整，有具体的项目实施步骤，人员岗位职责分工明确。整体方案具有针对性，项目整体响应程度完全满足或优于建设需求，</w:t>
            </w:r>
            <w:r>
              <w:rPr>
                <w:rFonts w:hint="eastAsia" w:ascii="宋体" w:hAnsi="宋体" w:eastAsia="宋体" w:cs="宋体"/>
                <w:bCs/>
                <w:color w:val="auto"/>
                <w:sz w:val="21"/>
                <w:szCs w:val="21"/>
                <w:highlight w:val="none"/>
                <w:lang w:val="en-US" w:eastAsia="zh-CN"/>
              </w:rPr>
              <w:t>培训内容包括但不限于使用与操作、日常运维、故障排查等，培训内容</w:t>
            </w:r>
            <w:r>
              <w:rPr>
                <w:rFonts w:hint="eastAsia" w:ascii="宋体" w:hAnsi="宋体" w:cs="宋体"/>
                <w:bCs/>
                <w:color w:val="auto"/>
                <w:sz w:val="21"/>
                <w:szCs w:val="21"/>
                <w:highlight w:val="none"/>
                <w:lang w:val="en-US" w:eastAsia="zh-CN"/>
              </w:rPr>
              <w:t>具有针对性</w:t>
            </w:r>
            <w:r>
              <w:rPr>
                <w:rFonts w:hint="eastAsia" w:ascii="宋体" w:hAnsi="宋体" w:eastAsia="宋体" w:cs="宋体"/>
                <w:bCs/>
                <w:color w:val="auto"/>
                <w:sz w:val="21"/>
                <w:szCs w:val="21"/>
                <w:highlight w:val="none"/>
                <w:lang w:val="en-US" w:eastAsia="zh-CN"/>
              </w:rPr>
              <w:t>，培训课时充足，培训方式及培训计划清晰，培训方案便于采购人日常所需</w:t>
            </w:r>
            <w:r>
              <w:rPr>
                <w:rFonts w:hint="eastAsia" w:ascii="宋体" w:hAnsi="宋体" w:eastAsia="宋体" w:cs="宋体"/>
                <w:color w:val="auto"/>
                <w:spacing w:val="8"/>
                <w:sz w:val="21"/>
                <w:szCs w:val="21"/>
                <w:highlight w:val="none"/>
                <w:lang w:val="en-US" w:eastAsia="zh-CN"/>
              </w:rPr>
              <w:t>。</w:t>
            </w:r>
          </w:p>
          <w:p w14:paraId="72C0F96D">
            <w:pPr>
              <w:pStyle w:val="34"/>
              <w:keepNext w:val="0"/>
              <w:keepLines w:val="0"/>
              <w:pageBreakBefore w:val="0"/>
              <w:suppressLineNumbers w:val="0"/>
              <w:kinsoku/>
              <w:wordWrap/>
              <w:overflowPunct/>
              <w:topLinePunct w:val="0"/>
              <w:autoSpaceDE/>
              <w:autoSpaceDN/>
              <w:bidi w:val="0"/>
              <w:spacing w:before="0" w:beforeAutospacing="0" w:after="0" w:afterAutospacing="0" w:line="440" w:lineRule="exact"/>
              <w:ind w:left="0" w:right="0" w:firstLine="422" w:firstLineChars="200"/>
              <w:rPr>
                <w:rFonts w:hint="eastAsia" w:ascii="宋体" w:hAnsi="宋体" w:eastAsia="宋体" w:cs="宋体"/>
                <w:color w:val="auto"/>
                <w:sz w:val="21"/>
                <w:szCs w:val="21"/>
                <w:highlight w:val="none"/>
                <w:lang w:bidi="ar"/>
              </w:rPr>
            </w:pPr>
            <w:r>
              <w:rPr>
                <w:rFonts w:hint="eastAsia" w:ascii="宋体" w:hAnsi="宋体" w:eastAsia="宋体" w:cs="宋体"/>
                <w:b/>
                <w:bCs/>
                <w:color w:val="auto"/>
                <w:sz w:val="21"/>
                <w:szCs w:val="21"/>
                <w:highlight w:val="none"/>
              </w:rPr>
              <w:t>注：</w:t>
            </w:r>
            <w:r>
              <w:rPr>
                <w:rFonts w:hint="eastAsia" w:ascii="宋体" w:hAnsi="宋体" w:eastAsia="宋体" w:cs="宋体"/>
                <w:b/>
                <w:color w:val="auto"/>
                <w:sz w:val="21"/>
                <w:szCs w:val="21"/>
                <w:highlight w:val="none"/>
              </w:rPr>
              <w:t>供应商</w:t>
            </w:r>
            <w:r>
              <w:rPr>
                <w:rFonts w:hint="eastAsia" w:ascii="宋体" w:hAnsi="宋体" w:eastAsia="宋体" w:cs="宋体"/>
                <w:b/>
                <w:bCs/>
                <w:color w:val="auto"/>
                <w:sz w:val="21"/>
                <w:szCs w:val="21"/>
                <w:highlight w:val="none"/>
              </w:rPr>
              <w:t>未提供服务方案或服务方案未达到</w:t>
            </w:r>
            <w:r>
              <w:rPr>
                <w:rFonts w:hint="eastAsia" w:ascii="宋体" w:hAnsi="宋体" w:eastAsia="宋体" w:cs="宋体"/>
                <w:b/>
                <w:bCs/>
                <w:color w:val="auto"/>
                <w:sz w:val="21"/>
                <w:szCs w:val="21"/>
                <w:highlight w:val="none"/>
                <w:lang w:val="en-US" w:eastAsia="zh-CN"/>
              </w:rPr>
              <w:t>一档</w:t>
            </w:r>
            <w:r>
              <w:rPr>
                <w:rFonts w:hint="eastAsia" w:ascii="宋体" w:hAnsi="宋体" w:eastAsia="宋体" w:cs="宋体"/>
                <w:b/>
                <w:bCs/>
                <w:color w:val="auto"/>
                <w:sz w:val="21"/>
                <w:szCs w:val="21"/>
                <w:highlight w:val="none"/>
              </w:rPr>
              <w:t>标准要求的，得0分。</w:t>
            </w:r>
          </w:p>
        </w:tc>
      </w:tr>
      <w:tr w14:paraId="6413D5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88" w:type="pct"/>
            <w:vMerge w:val="continue"/>
            <w:tcBorders>
              <w:left w:val="single" w:color="auto" w:sz="4" w:space="0"/>
              <w:right w:val="single" w:color="auto" w:sz="4" w:space="0"/>
            </w:tcBorders>
            <w:vAlign w:val="center"/>
          </w:tcPr>
          <w:p w14:paraId="5238010C">
            <w:pPr>
              <w:pStyle w:val="2"/>
              <w:keepNext w:val="0"/>
              <w:keepLines w:val="0"/>
              <w:pageBreakBefore w:val="0"/>
              <w:suppressLineNumbers w:val="0"/>
              <w:kinsoku/>
              <w:wordWrap/>
              <w:overflowPunct/>
              <w:topLinePunct w:val="0"/>
              <w:autoSpaceDE/>
              <w:autoSpaceDN/>
              <w:bidi w:val="0"/>
              <w:spacing w:before="0" w:beforeAutospacing="0" w:after="0" w:afterAutospacing="0" w:line="440" w:lineRule="exact"/>
              <w:ind w:right="0"/>
              <w:rPr>
                <w:rFonts w:hint="eastAsia" w:ascii="宋体" w:hAnsi="宋体" w:eastAsia="宋体" w:cs="宋体"/>
                <w:color w:val="auto"/>
                <w:sz w:val="21"/>
                <w:szCs w:val="21"/>
                <w:highlight w:val="none"/>
              </w:rPr>
            </w:pPr>
          </w:p>
        </w:tc>
        <w:tc>
          <w:tcPr>
            <w:tcW w:w="739" w:type="pct"/>
            <w:vMerge w:val="continue"/>
            <w:tcBorders>
              <w:left w:val="single" w:color="auto" w:sz="4" w:space="0"/>
              <w:right w:val="single" w:color="auto" w:sz="4" w:space="0"/>
            </w:tcBorders>
            <w:vAlign w:val="center"/>
          </w:tcPr>
          <w:p w14:paraId="643AE764">
            <w:pPr>
              <w:keepNext w:val="0"/>
              <w:keepLines w:val="0"/>
              <w:pageBreakBefore w:val="0"/>
              <w:suppressLineNumbers w:val="0"/>
              <w:kinsoku/>
              <w:wordWrap/>
              <w:overflowPunct/>
              <w:topLinePunct w:val="0"/>
              <w:autoSpaceDE/>
              <w:autoSpaceDN/>
              <w:bidi w:val="0"/>
              <w:adjustRightInd w:val="0"/>
              <w:spacing w:before="0" w:beforeAutospacing="0" w:after="0" w:afterAutospacing="0" w:line="440" w:lineRule="exact"/>
              <w:ind w:left="0" w:right="0"/>
              <w:jc w:val="center"/>
              <w:textAlignment w:val="baseline"/>
              <w:rPr>
                <w:rFonts w:hint="eastAsia" w:ascii="宋体" w:hAnsi="宋体" w:eastAsia="宋体" w:cs="宋体"/>
                <w:b/>
                <w:bCs/>
                <w:color w:val="auto"/>
                <w:sz w:val="21"/>
                <w:szCs w:val="21"/>
                <w:highlight w:val="none"/>
              </w:rPr>
            </w:pPr>
          </w:p>
        </w:tc>
        <w:tc>
          <w:tcPr>
            <w:tcW w:w="1104" w:type="pct"/>
            <w:tcBorders>
              <w:top w:val="single" w:color="auto" w:sz="4" w:space="0"/>
              <w:left w:val="single" w:color="auto" w:sz="4" w:space="0"/>
              <w:bottom w:val="single" w:color="auto" w:sz="4" w:space="0"/>
              <w:right w:val="single" w:color="auto" w:sz="4" w:space="0"/>
            </w:tcBorders>
            <w:vAlign w:val="center"/>
          </w:tcPr>
          <w:p w14:paraId="62FD42B1">
            <w:pPr>
              <w:keepNext w:val="0"/>
              <w:keepLines w:val="0"/>
              <w:pageBreakBefore w:val="0"/>
              <w:suppressLineNumbers w:val="0"/>
              <w:kinsoku/>
              <w:wordWrap/>
              <w:overflowPunct/>
              <w:topLinePunct w:val="0"/>
              <w:autoSpaceDE/>
              <w:autoSpaceDN/>
              <w:bidi w:val="0"/>
              <w:adjustRightInd w:val="0"/>
              <w:spacing w:before="0" w:beforeAutospacing="0" w:after="0" w:afterAutospacing="0" w:line="440" w:lineRule="exact"/>
              <w:ind w:left="0" w:right="0"/>
              <w:jc w:val="center"/>
              <w:textAlignment w:val="baseline"/>
              <w:rPr>
                <w:rFonts w:hint="eastAsia" w:ascii="宋体" w:hAnsi="宋体" w:eastAsia="宋体" w:cs="宋体"/>
                <w:b/>
                <w:color w:val="auto"/>
                <w:sz w:val="21"/>
                <w:szCs w:val="21"/>
                <w:highlight w:val="none"/>
                <w:lang w:val="en-US" w:eastAsia="zh-CN"/>
              </w:rPr>
            </w:pPr>
            <w:r>
              <w:rPr>
                <w:rFonts w:hint="eastAsia" w:ascii="宋体" w:hAnsi="宋体" w:eastAsia="宋体" w:cs="宋体"/>
                <w:bCs/>
                <w:color w:val="auto"/>
                <w:kern w:val="0"/>
                <w:sz w:val="21"/>
                <w:szCs w:val="21"/>
                <w:highlight w:val="none"/>
              </w:rPr>
              <w:t>售后服务方案</w:t>
            </w:r>
            <w:r>
              <w:rPr>
                <w:rFonts w:hint="eastAsia" w:ascii="宋体" w:hAnsi="宋体" w:eastAsia="宋体" w:cs="宋体"/>
                <w:bCs/>
                <w:color w:val="auto"/>
                <w:sz w:val="21"/>
                <w:szCs w:val="21"/>
                <w:highlight w:val="none"/>
              </w:rPr>
              <w:t>（</w:t>
            </w:r>
            <w:r>
              <w:rPr>
                <w:rFonts w:hint="eastAsia" w:ascii="宋体" w:hAnsi="宋体" w:cs="宋体"/>
                <w:bCs/>
                <w:color w:val="auto"/>
                <w:sz w:val="21"/>
                <w:szCs w:val="21"/>
                <w:highlight w:val="none"/>
                <w:lang w:val="en-US" w:eastAsia="zh-CN"/>
              </w:rPr>
              <w:t>12</w:t>
            </w:r>
            <w:r>
              <w:rPr>
                <w:rFonts w:hint="eastAsia" w:ascii="宋体" w:hAnsi="宋体" w:eastAsia="宋体" w:cs="宋体"/>
                <w:bCs/>
                <w:color w:val="auto"/>
                <w:sz w:val="21"/>
                <w:szCs w:val="21"/>
                <w:highlight w:val="none"/>
              </w:rPr>
              <w:t>分）</w:t>
            </w:r>
          </w:p>
        </w:tc>
        <w:tc>
          <w:tcPr>
            <w:tcW w:w="2867" w:type="pct"/>
            <w:tcBorders>
              <w:top w:val="single" w:color="auto" w:sz="4" w:space="0"/>
              <w:left w:val="single" w:color="auto" w:sz="4" w:space="0"/>
              <w:bottom w:val="single" w:color="auto" w:sz="4" w:space="0"/>
              <w:right w:val="single" w:color="auto" w:sz="4" w:space="0"/>
            </w:tcBorders>
            <w:vAlign w:val="center"/>
          </w:tcPr>
          <w:p w14:paraId="0D6579CB">
            <w:pPr>
              <w:pStyle w:val="6"/>
              <w:keepNext w:val="0"/>
              <w:keepLines w:val="0"/>
              <w:pageBreakBefore w:val="0"/>
              <w:suppressLineNumbers w:val="0"/>
              <w:kinsoku/>
              <w:wordWrap/>
              <w:overflowPunct/>
              <w:topLinePunct w:val="0"/>
              <w:autoSpaceDE/>
              <w:autoSpaceDN/>
              <w:bidi w:val="0"/>
              <w:adjustRightInd/>
              <w:snapToGrid/>
              <w:spacing w:before="0" w:beforeAutospacing="0" w:after="0" w:afterAutospacing="0" w:line="440" w:lineRule="exact"/>
              <w:ind w:left="0" w:right="0" w:firstLine="420" w:firstLineChars="200"/>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一档（</w:t>
            </w:r>
            <w:r>
              <w:rPr>
                <w:rFonts w:hint="eastAsia" w:ascii="宋体" w:hAnsi="宋体" w:cs="宋体"/>
                <w:bCs/>
                <w:color w:val="auto"/>
                <w:sz w:val="21"/>
                <w:szCs w:val="21"/>
                <w:highlight w:val="none"/>
                <w:lang w:val="en-US" w:eastAsia="zh-CN"/>
              </w:rPr>
              <w:t>4</w:t>
            </w:r>
            <w:r>
              <w:rPr>
                <w:rFonts w:hint="eastAsia" w:ascii="宋体" w:hAnsi="宋体" w:eastAsia="宋体" w:cs="宋体"/>
                <w:bCs/>
                <w:color w:val="auto"/>
                <w:sz w:val="21"/>
                <w:szCs w:val="21"/>
                <w:highlight w:val="none"/>
                <w:lang w:val="en-US" w:eastAsia="zh-CN"/>
              </w:rPr>
              <w:t>分）：售后服务方案包括售后服务承诺响应措施及售后服务人员，人员搭配较合理，售后服务能力基本满足采购人实际需求。售后服务方案可行，但售后服务承诺响应措施不具体，缺乏针对性；</w:t>
            </w:r>
          </w:p>
          <w:p w14:paraId="1DE59D5E">
            <w:pPr>
              <w:pStyle w:val="6"/>
              <w:keepNext w:val="0"/>
              <w:keepLines w:val="0"/>
              <w:pageBreakBefore w:val="0"/>
              <w:suppressLineNumbers w:val="0"/>
              <w:kinsoku/>
              <w:wordWrap/>
              <w:overflowPunct/>
              <w:topLinePunct w:val="0"/>
              <w:autoSpaceDE/>
              <w:autoSpaceDN/>
              <w:bidi w:val="0"/>
              <w:adjustRightInd/>
              <w:snapToGrid/>
              <w:spacing w:before="0" w:beforeAutospacing="0" w:after="0" w:afterAutospacing="0" w:line="440" w:lineRule="exact"/>
              <w:ind w:left="0" w:right="0" w:firstLine="420" w:firstLineChars="200"/>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二档（</w:t>
            </w:r>
            <w:r>
              <w:rPr>
                <w:rFonts w:hint="eastAsia" w:ascii="宋体" w:hAnsi="宋体" w:cs="宋体"/>
                <w:bCs/>
                <w:color w:val="auto"/>
                <w:sz w:val="21"/>
                <w:szCs w:val="21"/>
                <w:highlight w:val="none"/>
                <w:lang w:val="en-US" w:eastAsia="zh-CN"/>
              </w:rPr>
              <w:t>8</w:t>
            </w:r>
            <w:r>
              <w:rPr>
                <w:rFonts w:hint="eastAsia" w:ascii="宋体" w:hAnsi="宋体" w:eastAsia="宋体" w:cs="宋体"/>
                <w:bCs/>
                <w:color w:val="auto"/>
                <w:sz w:val="21"/>
                <w:szCs w:val="21"/>
                <w:highlight w:val="none"/>
                <w:lang w:val="en-US" w:eastAsia="zh-CN"/>
              </w:rPr>
              <w:t>分）：在一档的基础上，有完整的售后服务方案、质量保障、进度保障措施及合理的人员搭配，售后服务承诺响应措施内容具有可行性，满足采购人实际需求。</w:t>
            </w:r>
          </w:p>
          <w:p w14:paraId="42CE1943">
            <w:pPr>
              <w:pStyle w:val="6"/>
              <w:keepNext w:val="0"/>
              <w:keepLines w:val="0"/>
              <w:pageBreakBefore w:val="0"/>
              <w:suppressLineNumbers w:val="0"/>
              <w:kinsoku/>
              <w:wordWrap/>
              <w:overflowPunct/>
              <w:topLinePunct w:val="0"/>
              <w:autoSpaceDE/>
              <w:autoSpaceDN/>
              <w:bidi w:val="0"/>
              <w:adjustRightInd/>
              <w:snapToGrid/>
              <w:spacing w:before="0" w:beforeAutospacing="0" w:after="0" w:afterAutospacing="0" w:line="440" w:lineRule="exact"/>
              <w:ind w:left="0" w:right="0" w:firstLine="420" w:firstLineChars="200"/>
              <w:rPr>
                <w:rFonts w:hint="eastAsia" w:ascii="宋体" w:hAnsi="宋体" w:eastAsia="宋体" w:cs="宋体"/>
                <w:b w:val="0"/>
                <w:color w:val="auto"/>
                <w:spacing w:val="8"/>
                <w:sz w:val="21"/>
                <w:szCs w:val="21"/>
                <w:highlight w:val="none"/>
              </w:rPr>
            </w:pPr>
            <w:r>
              <w:rPr>
                <w:rFonts w:hint="eastAsia" w:ascii="宋体" w:hAnsi="宋体" w:eastAsia="宋体" w:cs="宋体"/>
                <w:bCs/>
                <w:color w:val="auto"/>
                <w:sz w:val="21"/>
                <w:szCs w:val="21"/>
                <w:highlight w:val="none"/>
                <w:lang w:val="en-US" w:eastAsia="zh-CN"/>
              </w:rPr>
              <w:t>三档（</w:t>
            </w:r>
            <w:r>
              <w:rPr>
                <w:rFonts w:hint="eastAsia" w:ascii="宋体" w:hAnsi="宋体" w:cs="宋体"/>
                <w:bCs/>
                <w:color w:val="auto"/>
                <w:sz w:val="21"/>
                <w:szCs w:val="21"/>
                <w:highlight w:val="none"/>
                <w:lang w:val="en-US" w:eastAsia="zh-CN"/>
              </w:rPr>
              <w:t>12</w:t>
            </w:r>
            <w:r>
              <w:rPr>
                <w:rFonts w:hint="eastAsia" w:ascii="宋体" w:hAnsi="宋体" w:eastAsia="宋体" w:cs="宋体"/>
                <w:bCs/>
                <w:color w:val="auto"/>
                <w:sz w:val="21"/>
                <w:szCs w:val="21"/>
                <w:highlight w:val="none"/>
                <w:lang w:val="en-US" w:eastAsia="zh-CN"/>
              </w:rPr>
              <w:t>分）在二档的基础上提供完善切实的售后服务方案，内容包含日常运行运维、紧急故障处理、功能完善、功能升级等；有服务保障措施及服务质量，包括维护期的技术支持和维护能力情况；提供服务流程，包括故障处理、电话维护、现场维护、紧急维护、重要服务等。提供运维计划，能有效保障本项目的售后服务要求，整体内容能便于采购人日常管理的。</w:t>
            </w:r>
          </w:p>
          <w:p w14:paraId="0D562E74">
            <w:pPr>
              <w:pStyle w:val="34"/>
              <w:keepNext w:val="0"/>
              <w:keepLines w:val="0"/>
              <w:pageBreakBefore w:val="0"/>
              <w:suppressLineNumbers w:val="0"/>
              <w:kinsoku/>
              <w:wordWrap/>
              <w:overflowPunct/>
              <w:topLinePunct w:val="0"/>
              <w:autoSpaceDE/>
              <w:autoSpaceDN/>
              <w:bidi w:val="0"/>
              <w:spacing w:before="0" w:beforeAutospacing="0" w:after="0" w:afterAutospacing="0" w:line="440" w:lineRule="exact"/>
              <w:ind w:left="0" w:right="0" w:firstLine="422" w:firstLineChars="200"/>
              <w:rPr>
                <w:rFonts w:hint="eastAsia" w:ascii="宋体" w:hAnsi="宋体" w:eastAsia="宋体" w:cs="宋体"/>
                <w:color w:val="auto"/>
                <w:sz w:val="21"/>
                <w:szCs w:val="21"/>
                <w:highlight w:val="none"/>
                <w:lang w:bidi="ar"/>
              </w:rPr>
            </w:pPr>
            <w:r>
              <w:rPr>
                <w:rFonts w:hint="eastAsia" w:ascii="宋体" w:hAnsi="宋体" w:eastAsia="宋体" w:cs="宋体"/>
                <w:b/>
                <w:bCs/>
                <w:color w:val="auto"/>
                <w:sz w:val="21"/>
                <w:szCs w:val="21"/>
                <w:highlight w:val="none"/>
              </w:rPr>
              <w:t>注：</w:t>
            </w:r>
            <w:r>
              <w:rPr>
                <w:rFonts w:hint="eastAsia" w:ascii="宋体" w:hAnsi="宋体" w:eastAsia="宋体" w:cs="宋体"/>
                <w:b/>
                <w:color w:val="auto"/>
                <w:sz w:val="21"/>
                <w:szCs w:val="21"/>
                <w:highlight w:val="none"/>
              </w:rPr>
              <w:t>供应商</w:t>
            </w:r>
            <w:r>
              <w:rPr>
                <w:rFonts w:hint="eastAsia" w:ascii="宋体" w:hAnsi="宋体" w:eastAsia="宋体" w:cs="宋体"/>
                <w:b/>
                <w:bCs/>
                <w:color w:val="auto"/>
                <w:sz w:val="21"/>
                <w:szCs w:val="21"/>
                <w:highlight w:val="none"/>
              </w:rPr>
              <w:t>未提供售后服务方案或售后服务方案未达到</w:t>
            </w:r>
            <w:r>
              <w:rPr>
                <w:rFonts w:hint="eastAsia" w:ascii="宋体" w:hAnsi="宋体" w:eastAsia="宋体" w:cs="宋体"/>
                <w:b/>
                <w:bCs/>
                <w:color w:val="auto"/>
                <w:sz w:val="21"/>
                <w:szCs w:val="21"/>
                <w:highlight w:val="none"/>
                <w:lang w:val="en-US" w:eastAsia="zh-CN"/>
              </w:rPr>
              <w:t>一档</w:t>
            </w:r>
            <w:r>
              <w:rPr>
                <w:rFonts w:hint="eastAsia" w:ascii="宋体" w:hAnsi="宋体" w:eastAsia="宋体" w:cs="宋体"/>
                <w:b/>
                <w:bCs/>
                <w:color w:val="auto"/>
                <w:sz w:val="21"/>
                <w:szCs w:val="21"/>
                <w:highlight w:val="none"/>
              </w:rPr>
              <w:t>标准要求的，得0分。</w:t>
            </w:r>
          </w:p>
        </w:tc>
      </w:tr>
      <w:tr w14:paraId="2E8501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88" w:type="pct"/>
            <w:tcBorders>
              <w:left w:val="single" w:color="auto" w:sz="4" w:space="0"/>
              <w:bottom w:val="single" w:color="auto" w:sz="4" w:space="0"/>
              <w:right w:val="single" w:color="auto" w:sz="4" w:space="0"/>
            </w:tcBorders>
            <w:vAlign w:val="center"/>
          </w:tcPr>
          <w:p w14:paraId="15C05D4C">
            <w:pPr>
              <w:pStyle w:val="2"/>
              <w:keepNext w:val="0"/>
              <w:keepLines w:val="0"/>
              <w:pageBreakBefore w:val="0"/>
              <w:suppressLineNumbers w:val="0"/>
              <w:kinsoku/>
              <w:wordWrap/>
              <w:overflowPunct/>
              <w:topLinePunct w:val="0"/>
              <w:autoSpaceDE/>
              <w:autoSpaceDN/>
              <w:bidi w:val="0"/>
              <w:spacing w:before="0" w:beforeAutospacing="0" w:after="0" w:afterAutospacing="0" w:line="440" w:lineRule="exact"/>
              <w:ind w:right="0"/>
              <w:rPr>
                <w:rFonts w:hint="eastAsia" w:ascii="宋体" w:hAnsi="宋体" w:eastAsia="宋体" w:cs="宋体"/>
                <w:color w:val="auto"/>
                <w:sz w:val="21"/>
                <w:szCs w:val="21"/>
                <w:highlight w:val="none"/>
              </w:rPr>
            </w:pPr>
          </w:p>
        </w:tc>
        <w:tc>
          <w:tcPr>
            <w:tcW w:w="739" w:type="pct"/>
            <w:vMerge w:val="continue"/>
            <w:tcBorders>
              <w:left w:val="single" w:color="auto" w:sz="4" w:space="0"/>
              <w:bottom w:val="single" w:color="auto" w:sz="4" w:space="0"/>
              <w:right w:val="single" w:color="auto" w:sz="4" w:space="0"/>
            </w:tcBorders>
            <w:vAlign w:val="center"/>
          </w:tcPr>
          <w:p w14:paraId="5C8BF0E6">
            <w:pPr>
              <w:keepNext w:val="0"/>
              <w:keepLines w:val="0"/>
              <w:pageBreakBefore w:val="0"/>
              <w:suppressLineNumbers w:val="0"/>
              <w:kinsoku/>
              <w:wordWrap/>
              <w:overflowPunct/>
              <w:topLinePunct w:val="0"/>
              <w:autoSpaceDE/>
              <w:autoSpaceDN/>
              <w:bidi w:val="0"/>
              <w:adjustRightInd w:val="0"/>
              <w:spacing w:before="0" w:beforeAutospacing="0" w:after="0" w:afterAutospacing="0" w:line="440" w:lineRule="exact"/>
              <w:ind w:left="0" w:right="0"/>
              <w:jc w:val="center"/>
              <w:textAlignment w:val="baseline"/>
              <w:rPr>
                <w:rFonts w:hint="eastAsia" w:ascii="宋体" w:hAnsi="宋体" w:eastAsia="宋体" w:cs="宋体"/>
                <w:b/>
                <w:bCs/>
                <w:color w:val="auto"/>
                <w:sz w:val="21"/>
                <w:szCs w:val="21"/>
                <w:highlight w:val="none"/>
              </w:rPr>
            </w:pPr>
          </w:p>
        </w:tc>
        <w:tc>
          <w:tcPr>
            <w:tcW w:w="1104" w:type="pct"/>
            <w:tcBorders>
              <w:top w:val="single" w:color="auto" w:sz="4" w:space="0"/>
              <w:left w:val="single" w:color="auto" w:sz="4" w:space="0"/>
              <w:bottom w:val="single" w:color="auto" w:sz="4" w:space="0"/>
              <w:right w:val="single" w:color="auto" w:sz="4" w:space="0"/>
            </w:tcBorders>
            <w:vAlign w:val="center"/>
          </w:tcPr>
          <w:p w14:paraId="34ABD22D">
            <w:pPr>
              <w:keepNext w:val="0"/>
              <w:keepLines w:val="0"/>
              <w:pageBreakBefore w:val="0"/>
              <w:suppressLineNumbers w:val="0"/>
              <w:kinsoku/>
              <w:wordWrap/>
              <w:overflowPunct/>
              <w:topLinePunct w:val="0"/>
              <w:autoSpaceDE/>
              <w:autoSpaceDN/>
              <w:bidi w:val="0"/>
              <w:adjustRightInd w:val="0"/>
              <w:spacing w:before="0" w:beforeAutospacing="0" w:after="0" w:afterAutospacing="0" w:line="440" w:lineRule="exact"/>
              <w:ind w:left="0" w:right="0"/>
              <w:jc w:val="center"/>
              <w:textAlignment w:val="baseline"/>
              <w:rPr>
                <w:rFonts w:hint="eastAsia" w:ascii="宋体" w:hAnsi="宋体" w:eastAsia="宋体" w:cs="宋体"/>
                <w:bCs/>
                <w:color w:val="auto"/>
                <w:kern w:val="0"/>
                <w:sz w:val="21"/>
                <w:szCs w:val="21"/>
                <w:highlight w:val="none"/>
                <w:lang w:val="en-US" w:eastAsia="zh-CN"/>
              </w:rPr>
            </w:pPr>
            <w:r>
              <w:rPr>
                <w:rFonts w:hint="eastAsia" w:ascii="宋体" w:hAnsi="宋体" w:eastAsia="宋体" w:cs="宋体"/>
                <w:bCs/>
                <w:color w:val="auto"/>
                <w:kern w:val="0"/>
                <w:sz w:val="21"/>
                <w:szCs w:val="21"/>
                <w:highlight w:val="none"/>
                <w:lang w:val="en-US" w:eastAsia="zh-CN"/>
              </w:rPr>
              <w:t>人员配置</w:t>
            </w:r>
            <w:r>
              <w:rPr>
                <w:rFonts w:hint="eastAsia" w:ascii="宋体" w:hAnsi="宋体" w:cs="宋体"/>
                <w:bCs/>
                <w:color w:val="auto"/>
                <w:kern w:val="0"/>
                <w:sz w:val="21"/>
                <w:szCs w:val="21"/>
                <w:highlight w:val="none"/>
                <w:lang w:val="en-US" w:eastAsia="zh-CN"/>
              </w:rPr>
              <w:t>方案</w:t>
            </w:r>
            <w:r>
              <w:rPr>
                <w:rFonts w:hint="eastAsia" w:ascii="宋体" w:hAnsi="宋体" w:eastAsia="宋体" w:cs="宋体"/>
                <w:bCs/>
                <w:color w:val="auto"/>
                <w:kern w:val="0"/>
                <w:sz w:val="21"/>
                <w:szCs w:val="21"/>
                <w:highlight w:val="none"/>
                <w:lang w:val="en-US" w:eastAsia="zh-CN"/>
              </w:rPr>
              <w:t>（</w:t>
            </w:r>
            <w:r>
              <w:rPr>
                <w:rFonts w:hint="eastAsia" w:ascii="宋体" w:hAnsi="宋体" w:cs="宋体"/>
                <w:bCs/>
                <w:color w:val="auto"/>
                <w:kern w:val="0"/>
                <w:sz w:val="21"/>
                <w:szCs w:val="21"/>
                <w:highlight w:val="none"/>
                <w:lang w:val="en-US" w:eastAsia="zh-CN"/>
              </w:rPr>
              <w:t>12</w:t>
            </w:r>
            <w:r>
              <w:rPr>
                <w:rFonts w:hint="eastAsia" w:ascii="宋体" w:hAnsi="宋体" w:eastAsia="宋体" w:cs="宋体"/>
                <w:bCs/>
                <w:color w:val="auto"/>
                <w:kern w:val="0"/>
                <w:sz w:val="21"/>
                <w:szCs w:val="21"/>
                <w:highlight w:val="none"/>
                <w:lang w:val="en-US" w:eastAsia="zh-CN"/>
              </w:rPr>
              <w:t>分）</w:t>
            </w:r>
          </w:p>
        </w:tc>
        <w:tc>
          <w:tcPr>
            <w:tcW w:w="2867" w:type="pct"/>
            <w:tcBorders>
              <w:top w:val="single" w:color="auto" w:sz="4" w:space="0"/>
              <w:left w:val="single" w:color="auto" w:sz="4" w:space="0"/>
              <w:bottom w:val="single" w:color="auto" w:sz="4" w:space="0"/>
              <w:right w:val="single" w:color="auto" w:sz="4" w:space="0"/>
            </w:tcBorders>
            <w:vAlign w:val="center"/>
          </w:tcPr>
          <w:p w14:paraId="7122A635">
            <w:pPr>
              <w:keepNext w:val="0"/>
              <w:keepLines w:val="0"/>
              <w:pageBreakBefore w:val="0"/>
              <w:widowControl w:val="0"/>
              <w:numPr>
                <w:ilvl w:val="0"/>
                <w:numId w:val="0"/>
              </w:numPr>
              <w:suppressLineNumbers w:val="0"/>
              <w:kinsoku/>
              <w:wordWrap/>
              <w:overflowPunct/>
              <w:topLinePunct w:val="0"/>
              <w:autoSpaceDE/>
              <w:autoSpaceDN/>
              <w:bidi w:val="0"/>
              <w:spacing w:before="0" w:beforeAutospacing="0" w:after="0" w:afterAutospacing="0" w:line="440" w:lineRule="exact"/>
              <w:ind w:left="0" w:right="0" w:rightChars="0" w:firstLine="420" w:firstLineChars="200"/>
              <w:jc w:val="both"/>
              <w:rPr>
                <w:rFonts w:hint="eastAsia" w:ascii="宋体" w:hAnsi="宋体" w:eastAsia="宋体" w:cs="宋体"/>
                <w:bCs/>
                <w:color w:val="auto"/>
                <w:sz w:val="21"/>
                <w:szCs w:val="21"/>
                <w:highlight w:val="none"/>
              </w:rPr>
            </w:pPr>
            <w:r>
              <w:rPr>
                <w:rFonts w:hint="eastAsia" w:ascii="宋体" w:hAnsi="宋体" w:eastAsia="宋体" w:cs="宋体"/>
                <w:bCs/>
                <w:color w:val="auto"/>
                <w:sz w:val="21"/>
                <w:szCs w:val="21"/>
                <w:highlight w:val="none"/>
              </w:rPr>
              <w:t>一档（</w:t>
            </w:r>
            <w:r>
              <w:rPr>
                <w:rFonts w:hint="eastAsia" w:ascii="宋体" w:hAnsi="宋体" w:cs="宋体"/>
                <w:bCs/>
                <w:color w:val="auto"/>
                <w:sz w:val="21"/>
                <w:szCs w:val="21"/>
                <w:highlight w:val="none"/>
                <w:lang w:val="en-US" w:eastAsia="zh-CN"/>
              </w:rPr>
              <w:t>4</w:t>
            </w:r>
            <w:r>
              <w:rPr>
                <w:rFonts w:hint="eastAsia" w:ascii="宋体" w:hAnsi="宋体" w:eastAsia="宋体" w:cs="宋体"/>
                <w:bCs/>
                <w:color w:val="auto"/>
                <w:sz w:val="21"/>
                <w:szCs w:val="21"/>
                <w:highlight w:val="none"/>
              </w:rPr>
              <w:t>分）：拟投入的技术力量及人员配置方案基本能满足项目实施需求，提供拟投入本项目的实施团队人员名单，但没有组织措施和明确的分工安排。</w:t>
            </w:r>
          </w:p>
          <w:p w14:paraId="4018C0F3">
            <w:pPr>
              <w:keepNext w:val="0"/>
              <w:keepLines w:val="0"/>
              <w:pageBreakBefore w:val="0"/>
              <w:widowControl w:val="0"/>
              <w:numPr>
                <w:ilvl w:val="0"/>
                <w:numId w:val="0"/>
              </w:numPr>
              <w:suppressLineNumbers w:val="0"/>
              <w:kinsoku/>
              <w:wordWrap/>
              <w:overflowPunct/>
              <w:topLinePunct w:val="0"/>
              <w:autoSpaceDE/>
              <w:autoSpaceDN/>
              <w:bidi w:val="0"/>
              <w:spacing w:before="0" w:beforeAutospacing="0" w:after="0" w:afterAutospacing="0" w:line="440" w:lineRule="exact"/>
              <w:ind w:left="0" w:right="0" w:rightChars="0" w:firstLine="420" w:firstLineChars="200"/>
              <w:jc w:val="both"/>
              <w:rPr>
                <w:rFonts w:hint="eastAsia" w:ascii="宋体" w:hAnsi="宋体" w:eastAsia="宋体" w:cs="宋体"/>
                <w:bCs/>
                <w:color w:val="auto"/>
                <w:sz w:val="21"/>
                <w:szCs w:val="21"/>
                <w:highlight w:val="none"/>
              </w:rPr>
            </w:pPr>
            <w:r>
              <w:rPr>
                <w:rFonts w:hint="eastAsia" w:ascii="宋体" w:hAnsi="宋体" w:eastAsia="宋体" w:cs="宋体"/>
                <w:bCs/>
                <w:color w:val="auto"/>
                <w:sz w:val="21"/>
                <w:szCs w:val="21"/>
                <w:highlight w:val="none"/>
              </w:rPr>
              <w:t>二档（</w:t>
            </w:r>
            <w:r>
              <w:rPr>
                <w:rFonts w:hint="eastAsia" w:ascii="宋体" w:hAnsi="宋体" w:cs="宋体"/>
                <w:bCs/>
                <w:color w:val="auto"/>
                <w:sz w:val="21"/>
                <w:szCs w:val="21"/>
                <w:highlight w:val="none"/>
                <w:lang w:val="en-US" w:eastAsia="zh-CN"/>
              </w:rPr>
              <w:t>8</w:t>
            </w:r>
            <w:r>
              <w:rPr>
                <w:rFonts w:hint="eastAsia" w:ascii="宋体" w:hAnsi="宋体" w:eastAsia="宋体" w:cs="宋体"/>
                <w:bCs/>
                <w:color w:val="auto"/>
                <w:sz w:val="21"/>
                <w:szCs w:val="21"/>
                <w:highlight w:val="none"/>
              </w:rPr>
              <w:t>分）：拟投入的技术力量及人员配置方案满足项目实施需求，提供拟投入本项目的实施团队人员名单，包括组织措施，分工安排明确。</w:t>
            </w:r>
          </w:p>
          <w:p w14:paraId="42E453A7">
            <w:pPr>
              <w:keepNext w:val="0"/>
              <w:keepLines w:val="0"/>
              <w:pageBreakBefore w:val="0"/>
              <w:widowControl w:val="0"/>
              <w:numPr>
                <w:ilvl w:val="0"/>
                <w:numId w:val="0"/>
              </w:numPr>
              <w:suppressLineNumbers w:val="0"/>
              <w:kinsoku/>
              <w:wordWrap/>
              <w:overflowPunct/>
              <w:topLinePunct w:val="0"/>
              <w:autoSpaceDE/>
              <w:autoSpaceDN/>
              <w:bidi w:val="0"/>
              <w:spacing w:before="0" w:beforeAutospacing="0" w:after="0" w:afterAutospacing="0" w:line="440" w:lineRule="exact"/>
              <w:ind w:left="0" w:right="0" w:firstLine="420" w:firstLineChars="200"/>
              <w:jc w:val="both"/>
              <w:rPr>
                <w:rFonts w:hint="eastAsia"/>
                <w:color w:val="auto"/>
                <w:sz w:val="21"/>
                <w:szCs w:val="21"/>
                <w:highlight w:val="none"/>
                <w:lang w:val="en-US" w:eastAsia="zh-CN"/>
              </w:rPr>
            </w:pPr>
            <w:r>
              <w:rPr>
                <w:rFonts w:hint="eastAsia" w:ascii="宋体" w:hAnsi="宋体" w:eastAsia="宋体" w:cs="宋体"/>
                <w:bCs/>
                <w:color w:val="auto"/>
                <w:sz w:val="21"/>
                <w:szCs w:val="21"/>
                <w:highlight w:val="none"/>
              </w:rPr>
              <w:t>三档（</w:t>
            </w:r>
            <w:r>
              <w:rPr>
                <w:rFonts w:hint="eastAsia" w:ascii="宋体" w:hAnsi="宋体" w:cs="宋体"/>
                <w:bCs/>
                <w:color w:val="auto"/>
                <w:sz w:val="21"/>
                <w:szCs w:val="21"/>
                <w:highlight w:val="none"/>
                <w:lang w:val="en-US" w:eastAsia="zh-CN"/>
              </w:rPr>
              <w:t>12</w:t>
            </w:r>
            <w:r>
              <w:rPr>
                <w:rFonts w:hint="eastAsia" w:ascii="宋体" w:hAnsi="宋体" w:eastAsia="宋体" w:cs="宋体"/>
                <w:bCs/>
                <w:color w:val="auto"/>
                <w:sz w:val="21"/>
                <w:szCs w:val="21"/>
                <w:highlight w:val="none"/>
              </w:rPr>
              <w:t>分）投入的技术力量及人员配置方案充分满足项目实施需求，包括拟投入本项目的实施团队人员名单、人员安排计划、有针对性的组织措施、细致明确的分工安排等配套措施。</w:t>
            </w:r>
            <w:r>
              <w:rPr>
                <w:rFonts w:hint="eastAsia" w:ascii="宋体" w:hAnsi="宋体" w:cs="宋体"/>
                <w:bCs/>
                <w:color w:val="auto"/>
                <w:sz w:val="21"/>
                <w:szCs w:val="21"/>
                <w:highlight w:val="none"/>
                <w:lang w:val="en-US" w:eastAsia="zh-CN"/>
              </w:rPr>
              <w:t>拟投入本项目人员</w:t>
            </w:r>
            <w:r>
              <w:rPr>
                <w:rFonts w:hint="eastAsia"/>
                <w:color w:val="auto"/>
                <w:sz w:val="21"/>
                <w:szCs w:val="21"/>
                <w:highlight w:val="none"/>
                <w:lang w:val="en-US" w:eastAsia="zh-CN"/>
              </w:rPr>
              <w:t>不得少于3人具有教育学、教育技术学有关专业毕业证书。</w:t>
            </w:r>
          </w:p>
          <w:p w14:paraId="52DE6141">
            <w:pPr>
              <w:keepNext w:val="0"/>
              <w:keepLines w:val="0"/>
              <w:pageBreakBefore w:val="0"/>
              <w:widowControl w:val="0"/>
              <w:numPr>
                <w:ilvl w:val="0"/>
                <w:numId w:val="0"/>
              </w:numPr>
              <w:suppressLineNumbers w:val="0"/>
              <w:kinsoku/>
              <w:wordWrap/>
              <w:overflowPunct/>
              <w:topLinePunct w:val="0"/>
              <w:autoSpaceDE/>
              <w:autoSpaceDN/>
              <w:bidi w:val="0"/>
              <w:spacing w:before="0" w:beforeAutospacing="0" w:after="0" w:afterAutospacing="0" w:line="440" w:lineRule="exact"/>
              <w:ind w:left="0" w:right="0" w:firstLine="422" w:firstLineChars="200"/>
              <w:jc w:val="both"/>
              <w:rPr>
                <w:rFonts w:hint="eastAsia"/>
                <w:color w:val="auto"/>
                <w:sz w:val="21"/>
                <w:szCs w:val="21"/>
                <w:highlight w:val="none"/>
                <w:lang w:val="zh-CN" w:eastAsia="zh-CN"/>
              </w:rPr>
            </w:pPr>
            <w:r>
              <w:rPr>
                <w:rFonts w:hint="eastAsia" w:ascii="宋体" w:hAnsi="宋体" w:eastAsia="宋体" w:cs="宋体"/>
                <w:b/>
                <w:bCs/>
                <w:color w:val="auto"/>
                <w:sz w:val="21"/>
                <w:szCs w:val="21"/>
                <w:highlight w:val="none"/>
              </w:rPr>
              <w:t>注：</w:t>
            </w:r>
            <w:r>
              <w:rPr>
                <w:rFonts w:hint="eastAsia" w:ascii="宋体" w:hAnsi="宋体" w:eastAsia="宋体" w:cs="宋体"/>
                <w:b/>
                <w:color w:val="auto"/>
                <w:sz w:val="21"/>
                <w:szCs w:val="21"/>
                <w:highlight w:val="none"/>
              </w:rPr>
              <w:t>供应商</w:t>
            </w:r>
            <w:r>
              <w:rPr>
                <w:rFonts w:hint="eastAsia" w:ascii="宋体" w:hAnsi="宋体" w:eastAsia="宋体" w:cs="宋体"/>
                <w:b/>
                <w:bCs/>
                <w:color w:val="auto"/>
                <w:sz w:val="21"/>
                <w:szCs w:val="21"/>
                <w:highlight w:val="none"/>
              </w:rPr>
              <w:t>未提人员配置方案或人员配置方案未达到</w:t>
            </w:r>
            <w:r>
              <w:rPr>
                <w:rFonts w:hint="eastAsia" w:ascii="宋体" w:hAnsi="宋体" w:eastAsia="宋体" w:cs="宋体"/>
                <w:b/>
                <w:bCs/>
                <w:color w:val="auto"/>
                <w:sz w:val="21"/>
                <w:szCs w:val="21"/>
                <w:highlight w:val="none"/>
                <w:lang w:val="en-US" w:eastAsia="zh-CN"/>
              </w:rPr>
              <w:t>一档</w:t>
            </w:r>
            <w:r>
              <w:rPr>
                <w:rFonts w:hint="eastAsia" w:ascii="宋体" w:hAnsi="宋体" w:eastAsia="宋体" w:cs="宋体"/>
                <w:b/>
                <w:bCs/>
                <w:color w:val="auto"/>
                <w:sz w:val="21"/>
                <w:szCs w:val="21"/>
                <w:highlight w:val="none"/>
              </w:rPr>
              <w:t>标准要求的，得0分。</w:t>
            </w:r>
          </w:p>
        </w:tc>
      </w:tr>
      <w:tr w14:paraId="7F147E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88" w:type="pct"/>
            <w:tcBorders>
              <w:left w:val="single" w:color="auto" w:sz="4" w:space="0"/>
              <w:bottom w:val="single" w:color="auto" w:sz="4" w:space="0"/>
              <w:right w:val="single" w:color="auto" w:sz="4" w:space="0"/>
            </w:tcBorders>
            <w:vAlign w:val="center"/>
          </w:tcPr>
          <w:p w14:paraId="22E48CC1">
            <w:pPr>
              <w:pStyle w:val="2"/>
              <w:keepNext w:val="0"/>
              <w:keepLines w:val="0"/>
              <w:pageBreakBefore w:val="0"/>
              <w:suppressLineNumbers w:val="0"/>
              <w:kinsoku/>
              <w:wordWrap/>
              <w:overflowPunct/>
              <w:topLinePunct w:val="0"/>
              <w:autoSpaceDE/>
              <w:autoSpaceDN/>
              <w:bidi w:val="0"/>
              <w:spacing w:before="0" w:beforeAutospacing="0" w:after="0" w:afterAutospacing="0" w:line="440" w:lineRule="exact"/>
              <w:ind w:right="0"/>
              <w:rPr>
                <w:rFonts w:hint="eastAsia" w:ascii="宋体" w:hAnsi="宋体" w:eastAsia="宋体" w:cs="宋体"/>
                <w:color w:val="auto"/>
                <w:sz w:val="21"/>
                <w:szCs w:val="21"/>
                <w:highlight w:val="none"/>
              </w:rPr>
            </w:pPr>
          </w:p>
        </w:tc>
        <w:tc>
          <w:tcPr>
            <w:tcW w:w="739" w:type="pct"/>
            <w:tcBorders>
              <w:left w:val="single" w:color="auto" w:sz="4" w:space="0"/>
              <w:bottom w:val="single" w:color="auto" w:sz="4" w:space="0"/>
              <w:right w:val="single" w:color="auto" w:sz="4" w:space="0"/>
            </w:tcBorders>
            <w:vAlign w:val="center"/>
          </w:tcPr>
          <w:p w14:paraId="0B08D0C1">
            <w:pPr>
              <w:keepNext w:val="0"/>
              <w:keepLines w:val="0"/>
              <w:pageBreakBefore w:val="0"/>
              <w:suppressLineNumbers w:val="0"/>
              <w:kinsoku/>
              <w:wordWrap/>
              <w:overflowPunct/>
              <w:topLinePunct w:val="0"/>
              <w:autoSpaceDE/>
              <w:autoSpaceDN/>
              <w:bidi w:val="0"/>
              <w:adjustRightInd w:val="0"/>
              <w:spacing w:before="0" w:beforeAutospacing="0" w:after="0" w:afterAutospacing="0" w:line="440" w:lineRule="exact"/>
              <w:ind w:left="0" w:right="0"/>
              <w:jc w:val="center"/>
              <w:textAlignment w:val="baseline"/>
              <w:rPr>
                <w:rFonts w:hint="eastAsia" w:ascii="宋体" w:hAnsi="宋体" w:eastAsia="宋体" w:cs="宋体"/>
                <w:b/>
                <w:bCs/>
                <w:color w:val="auto"/>
                <w:sz w:val="21"/>
                <w:szCs w:val="21"/>
                <w:highlight w:val="none"/>
              </w:rPr>
            </w:pPr>
          </w:p>
        </w:tc>
        <w:tc>
          <w:tcPr>
            <w:tcW w:w="1104" w:type="pct"/>
            <w:tcBorders>
              <w:top w:val="single" w:color="auto" w:sz="4" w:space="0"/>
              <w:left w:val="single" w:color="auto" w:sz="4" w:space="0"/>
              <w:bottom w:val="single" w:color="auto" w:sz="4" w:space="0"/>
              <w:right w:val="single" w:color="auto" w:sz="4" w:space="0"/>
            </w:tcBorders>
            <w:vAlign w:val="center"/>
          </w:tcPr>
          <w:p w14:paraId="3C8EFD40">
            <w:pPr>
              <w:keepNext w:val="0"/>
              <w:keepLines w:val="0"/>
              <w:pageBreakBefore w:val="0"/>
              <w:suppressLineNumbers w:val="0"/>
              <w:kinsoku/>
              <w:wordWrap/>
              <w:overflowPunct/>
              <w:topLinePunct w:val="0"/>
              <w:autoSpaceDE/>
              <w:autoSpaceDN/>
              <w:bidi w:val="0"/>
              <w:adjustRightInd w:val="0"/>
              <w:spacing w:before="0" w:beforeAutospacing="0" w:after="0" w:afterAutospacing="0" w:line="440" w:lineRule="exact"/>
              <w:ind w:left="0" w:right="0"/>
              <w:jc w:val="center"/>
              <w:textAlignment w:val="baseline"/>
              <w:rPr>
                <w:rFonts w:hint="eastAsia" w:ascii="宋体" w:hAnsi="宋体" w:eastAsia="宋体" w:cs="宋体"/>
                <w:bCs/>
                <w:color w:val="auto"/>
                <w:kern w:val="0"/>
                <w:sz w:val="21"/>
                <w:szCs w:val="21"/>
                <w:highlight w:val="none"/>
                <w:lang w:val="en-US" w:eastAsia="zh-CN"/>
              </w:rPr>
            </w:pPr>
            <w:r>
              <w:rPr>
                <w:rFonts w:hint="eastAsia" w:cs="宋体"/>
                <w:color w:val="auto"/>
                <w:szCs w:val="21"/>
                <w:highlight w:val="none"/>
              </w:rPr>
              <w:t>演示分（满分</w:t>
            </w:r>
            <w:r>
              <w:rPr>
                <w:rFonts w:hint="eastAsia" w:cs="宋体"/>
                <w:color w:val="auto"/>
                <w:szCs w:val="21"/>
                <w:highlight w:val="none"/>
                <w:lang w:val="en-US" w:eastAsia="zh-CN"/>
              </w:rPr>
              <w:t>10</w:t>
            </w:r>
            <w:r>
              <w:rPr>
                <w:rFonts w:hint="eastAsia" w:cs="宋体"/>
                <w:color w:val="auto"/>
                <w:szCs w:val="21"/>
                <w:highlight w:val="none"/>
              </w:rPr>
              <w:t>分）</w:t>
            </w:r>
          </w:p>
        </w:tc>
        <w:tc>
          <w:tcPr>
            <w:tcW w:w="2867" w:type="pct"/>
            <w:tcBorders>
              <w:top w:val="single" w:color="auto" w:sz="4" w:space="0"/>
              <w:left w:val="single" w:color="auto" w:sz="4" w:space="0"/>
              <w:bottom w:val="single" w:color="auto" w:sz="4" w:space="0"/>
              <w:right w:val="single" w:color="auto" w:sz="4" w:space="0"/>
            </w:tcBorders>
            <w:vAlign w:val="center"/>
          </w:tcPr>
          <w:p w14:paraId="5C7C5D1D">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420" w:firstLineChars="200"/>
              <w:textAlignment w:val="auto"/>
              <w:rPr>
                <w:rFonts w:hint="eastAsia" w:ascii="Calibri" w:hAnsi="Calibri" w:eastAsia="宋体" w:cs="Times New Roman"/>
                <w:color w:val="auto"/>
                <w:kern w:val="2"/>
                <w:sz w:val="21"/>
                <w:szCs w:val="21"/>
                <w:highlight w:val="none"/>
                <w:lang w:val="en-US" w:eastAsia="zh-CN" w:bidi="ar-SA"/>
              </w:rPr>
            </w:pPr>
            <w:r>
              <w:rPr>
                <w:rFonts w:hint="eastAsia" w:ascii="宋体" w:hAnsi="宋体" w:eastAsia="宋体" w:cs="Times New Roman"/>
                <w:bCs/>
                <w:color w:val="auto"/>
                <w:sz w:val="21"/>
                <w:szCs w:val="21"/>
                <w:highlight w:val="none"/>
                <w:lang w:val="en-US" w:eastAsia="zh-CN" w:bidi="ar"/>
              </w:rPr>
              <w:t>投标人能提供以下功能演示的，</w:t>
            </w:r>
            <w:r>
              <w:rPr>
                <w:rFonts w:hint="eastAsia" w:ascii="Calibri" w:hAnsi="Calibri" w:eastAsia="宋体" w:cs="Times New Roman"/>
                <w:color w:val="auto"/>
                <w:kern w:val="2"/>
                <w:sz w:val="21"/>
                <w:szCs w:val="21"/>
                <w:highlight w:val="none"/>
                <w:lang w:val="en-US" w:eastAsia="zh-CN" w:bidi="ar-SA"/>
              </w:rPr>
              <w:t>每完整演示 1 项</w:t>
            </w:r>
            <w:r>
              <w:rPr>
                <w:rFonts w:hint="eastAsia" w:ascii="Calibri" w:hAnsi="Calibri" w:cs="Times New Roman"/>
                <w:color w:val="auto"/>
                <w:kern w:val="2"/>
                <w:sz w:val="21"/>
                <w:szCs w:val="21"/>
                <w:highlight w:val="none"/>
                <w:lang w:val="en-US" w:eastAsia="zh-CN" w:bidi="ar-SA"/>
              </w:rPr>
              <w:t>并</w:t>
            </w:r>
            <w:r>
              <w:rPr>
                <w:rFonts w:hint="eastAsia" w:ascii="宋体" w:hAnsi="宋体" w:eastAsia="宋体" w:cs="Times New Roman"/>
                <w:bCs/>
                <w:color w:val="auto"/>
                <w:sz w:val="21"/>
                <w:szCs w:val="21"/>
                <w:highlight w:val="none"/>
                <w:lang w:val="en-US" w:eastAsia="zh-CN" w:bidi="ar"/>
              </w:rPr>
              <w:t>满足招标文件要求的得1分，</w:t>
            </w:r>
            <w:r>
              <w:rPr>
                <w:rFonts w:hint="eastAsia" w:ascii="宋体" w:hAnsi="宋体" w:eastAsia="宋体" w:cs="宋体"/>
                <w:color w:val="auto"/>
                <w:kern w:val="2"/>
                <w:sz w:val="21"/>
                <w:szCs w:val="21"/>
                <w:highlight w:val="none"/>
                <w:lang w:val="en-US" w:eastAsia="zh-CN" w:bidi="ar"/>
              </w:rPr>
              <w:t>满分10分，不演示或者演示功能不满足招标文件要求的该项不得分：</w:t>
            </w:r>
          </w:p>
          <w:p w14:paraId="5F5E2040">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textAlignment w:val="auto"/>
              <w:rPr>
                <w:rFonts w:hint="eastAsia" w:ascii="Calibri" w:hAnsi="Calibri" w:eastAsia="宋体" w:cs="Times New Roman"/>
                <w:color w:val="auto"/>
                <w:kern w:val="2"/>
                <w:sz w:val="21"/>
                <w:szCs w:val="21"/>
                <w:highlight w:val="none"/>
                <w:lang w:val="en-US" w:eastAsia="zh-CN" w:bidi="ar-SA"/>
              </w:rPr>
            </w:pPr>
            <w:r>
              <w:rPr>
                <w:rFonts w:hint="eastAsia" w:ascii="Calibri" w:hAnsi="Calibri" w:eastAsia="宋体" w:cs="Times New Roman"/>
                <w:color w:val="auto"/>
                <w:kern w:val="2"/>
                <w:sz w:val="21"/>
                <w:szCs w:val="21"/>
                <w:highlight w:val="none"/>
                <w:lang w:val="en-US" w:eastAsia="zh-CN" w:bidi="ar-SA"/>
              </w:rPr>
              <w:t>1、支持课程章节一键转化生成知识图谱，并同时进行资源关联；</w:t>
            </w:r>
          </w:p>
          <w:p w14:paraId="37E1E456">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textAlignment w:val="auto"/>
              <w:rPr>
                <w:rFonts w:hint="eastAsia" w:ascii="Calibri" w:hAnsi="Calibri" w:eastAsia="宋体" w:cs="Times New Roman"/>
                <w:color w:val="auto"/>
                <w:kern w:val="2"/>
                <w:sz w:val="21"/>
                <w:szCs w:val="21"/>
                <w:highlight w:val="none"/>
                <w:lang w:val="en-US" w:eastAsia="zh-CN" w:bidi="ar-SA"/>
              </w:rPr>
            </w:pPr>
            <w:r>
              <w:rPr>
                <w:rFonts w:hint="eastAsia" w:ascii="Calibri" w:hAnsi="Calibri" w:eastAsia="宋体" w:cs="Times New Roman"/>
                <w:color w:val="auto"/>
                <w:kern w:val="2"/>
                <w:sz w:val="21"/>
                <w:szCs w:val="21"/>
                <w:highlight w:val="none"/>
                <w:lang w:val="en-US" w:eastAsia="zh-CN" w:bidi="ar-SA"/>
              </w:rPr>
              <w:t>2、支持知识图谱自定义编辑功能，系统提供至少6种图谱形态，用户可根据课程性质选择合适的图谱形态进行编辑；</w:t>
            </w:r>
          </w:p>
          <w:p w14:paraId="4ACCDF56">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textAlignment w:val="auto"/>
              <w:rPr>
                <w:rFonts w:hint="eastAsia" w:ascii="Calibri" w:hAnsi="Calibri" w:eastAsia="宋体" w:cs="Times New Roman"/>
                <w:color w:val="auto"/>
                <w:kern w:val="2"/>
                <w:sz w:val="21"/>
                <w:szCs w:val="21"/>
                <w:highlight w:val="none"/>
                <w:lang w:val="en-US" w:eastAsia="zh-CN" w:bidi="ar-SA"/>
              </w:rPr>
            </w:pPr>
            <w:r>
              <w:rPr>
                <w:rFonts w:hint="eastAsia" w:ascii="Calibri" w:hAnsi="Calibri" w:eastAsia="宋体" w:cs="Times New Roman"/>
                <w:color w:val="auto"/>
                <w:kern w:val="2"/>
                <w:sz w:val="21"/>
                <w:szCs w:val="21"/>
                <w:highlight w:val="none"/>
                <w:lang w:val="en-US" w:eastAsia="zh-CN" w:bidi="ar-SA"/>
              </w:rPr>
              <w:t>3、知识图谱显示支持2D和3D展示效果，用户可自主的进行模式切换；</w:t>
            </w:r>
          </w:p>
          <w:p w14:paraId="3DCAFD54">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textAlignment w:val="auto"/>
              <w:rPr>
                <w:rFonts w:hint="eastAsia" w:ascii="Calibri" w:hAnsi="Calibri" w:eastAsia="宋体" w:cs="Times New Roman"/>
                <w:color w:val="auto"/>
                <w:kern w:val="2"/>
                <w:sz w:val="21"/>
                <w:szCs w:val="21"/>
                <w:highlight w:val="none"/>
                <w:lang w:val="en-US" w:eastAsia="zh-CN" w:bidi="ar-SA"/>
              </w:rPr>
            </w:pPr>
            <w:r>
              <w:rPr>
                <w:rFonts w:hint="eastAsia" w:ascii="Calibri" w:hAnsi="Calibri" w:eastAsia="宋体" w:cs="Times New Roman"/>
                <w:color w:val="auto"/>
                <w:kern w:val="2"/>
                <w:sz w:val="21"/>
                <w:szCs w:val="21"/>
                <w:highlight w:val="none"/>
                <w:lang w:val="en-US" w:eastAsia="zh-CN" w:bidi="ar-SA"/>
              </w:rPr>
              <w:t>4、具备知识图谱门户系统，能够提供对应的知识图谱门户模板，可展示课程介绍、知识图谱、知识关系、目标图谱、问题图谱；</w:t>
            </w:r>
          </w:p>
          <w:p w14:paraId="098FF7E9">
            <w:pPr>
              <w:keepNext w:val="0"/>
              <w:keepLines w:val="0"/>
              <w:pageBreakBefore w:val="0"/>
              <w:widowControl w:val="0"/>
              <w:suppressLineNumbers w:val="0"/>
              <w:kinsoku/>
              <w:wordWrap/>
              <w:overflowPunct/>
              <w:topLinePunct w:val="0"/>
              <w:bidi w:val="0"/>
              <w:adjustRightInd/>
              <w:spacing w:before="0" w:beforeAutospacing="0" w:after="0" w:afterAutospacing="0" w:line="360" w:lineRule="auto"/>
              <w:ind w:left="0" w:right="0"/>
              <w:textAlignment w:val="auto"/>
              <w:rPr>
                <w:rFonts w:hint="eastAsia" w:ascii="Calibri" w:hAnsi="Calibri" w:eastAsia="宋体" w:cs="Times New Roman"/>
                <w:color w:val="auto"/>
                <w:kern w:val="2"/>
                <w:sz w:val="21"/>
                <w:szCs w:val="21"/>
                <w:highlight w:val="none"/>
                <w:lang w:val="en-US" w:eastAsia="zh-CN" w:bidi="ar-SA"/>
              </w:rPr>
            </w:pPr>
            <w:r>
              <w:rPr>
                <w:rFonts w:hint="eastAsia" w:ascii="Calibri" w:hAnsi="Calibri" w:eastAsia="宋体" w:cs="Times New Roman"/>
                <w:color w:val="auto"/>
                <w:kern w:val="2"/>
                <w:sz w:val="21"/>
                <w:szCs w:val="21"/>
                <w:highlight w:val="none"/>
                <w:lang w:val="en-US" w:eastAsia="zh-CN" w:bidi="ar-SA"/>
              </w:rPr>
              <w:t>5、支持一键导出教案，并且支持按学校教案模板导出；</w:t>
            </w:r>
          </w:p>
          <w:p w14:paraId="3C7AA7CC">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textAlignment w:val="auto"/>
              <w:rPr>
                <w:rFonts w:hint="eastAsia" w:ascii="Calibri" w:hAnsi="Calibri" w:eastAsia="宋体" w:cs="Times New Roman"/>
                <w:color w:val="auto"/>
                <w:kern w:val="2"/>
                <w:sz w:val="21"/>
                <w:szCs w:val="21"/>
                <w:highlight w:val="none"/>
                <w:lang w:val="en-US" w:eastAsia="zh-CN" w:bidi="ar-SA"/>
              </w:rPr>
            </w:pPr>
            <w:r>
              <w:rPr>
                <w:rFonts w:hint="eastAsia" w:ascii="Calibri" w:hAnsi="Calibri" w:eastAsia="宋体" w:cs="Times New Roman"/>
                <w:color w:val="auto"/>
                <w:kern w:val="2"/>
                <w:sz w:val="21"/>
                <w:szCs w:val="21"/>
                <w:highlight w:val="none"/>
                <w:lang w:val="en-US" w:eastAsia="zh-CN" w:bidi="ar-SA"/>
              </w:rPr>
              <w:t>6、在线虚拟剪辑：支持在线虚拟剪辑视频：上传视频后，可以在任意时间点在线标注，无需物理剪切视频，即可实现任意视频段落在任意章节播放；</w:t>
            </w:r>
          </w:p>
          <w:p w14:paraId="781FDF9F">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textAlignment w:val="auto"/>
              <w:rPr>
                <w:rFonts w:hint="eastAsia" w:ascii="Calibri" w:hAnsi="Calibri" w:eastAsia="宋体" w:cs="Times New Roman"/>
                <w:color w:val="auto"/>
                <w:kern w:val="2"/>
                <w:sz w:val="21"/>
                <w:szCs w:val="21"/>
                <w:highlight w:val="none"/>
                <w:lang w:val="en-US" w:eastAsia="zh-CN" w:bidi="ar-SA"/>
              </w:rPr>
            </w:pPr>
            <w:r>
              <w:rPr>
                <w:rFonts w:hint="eastAsia" w:ascii="Calibri" w:hAnsi="Calibri" w:cs="Times New Roman"/>
                <w:color w:val="auto"/>
                <w:kern w:val="2"/>
                <w:sz w:val="21"/>
                <w:szCs w:val="21"/>
                <w:highlight w:val="none"/>
                <w:lang w:val="en-US" w:eastAsia="zh-CN" w:bidi="ar-SA"/>
              </w:rPr>
              <w:t>7</w:t>
            </w:r>
            <w:r>
              <w:rPr>
                <w:rFonts w:hint="eastAsia" w:ascii="Calibri" w:hAnsi="Calibri" w:eastAsia="宋体" w:cs="Times New Roman"/>
                <w:color w:val="auto"/>
                <w:kern w:val="2"/>
                <w:sz w:val="21"/>
                <w:szCs w:val="21"/>
                <w:highlight w:val="none"/>
                <w:lang w:val="en-US" w:eastAsia="zh-CN" w:bidi="ar-SA"/>
              </w:rPr>
              <w:t>、点击地面行走：可通过点击空间地面的任意位置实现精准移动，实现点位行走功能，具备路径规划和障碍规避能力；</w:t>
            </w:r>
          </w:p>
          <w:p w14:paraId="1023EC67">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textAlignment w:val="auto"/>
              <w:rPr>
                <w:rFonts w:hint="eastAsia" w:ascii="Calibri" w:hAnsi="Calibri" w:eastAsia="宋体" w:cs="Times New Roman"/>
                <w:color w:val="auto"/>
                <w:kern w:val="2"/>
                <w:sz w:val="21"/>
                <w:szCs w:val="21"/>
                <w:highlight w:val="none"/>
                <w:lang w:val="en-US" w:eastAsia="zh-CN" w:bidi="ar-SA"/>
              </w:rPr>
            </w:pPr>
            <w:r>
              <w:rPr>
                <w:rFonts w:hint="eastAsia" w:ascii="Calibri" w:hAnsi="Calibri" w:cs="Times New Roman"/>
                <w:color w:val="auto"/>
                <w:kern w:val="2"/>
                <w:sz w:val="21"/>
                <w:szCs w:val="21"/>
                <w:highlight w:val="none"/>
                <w:lang w:val="en-US" w:eastAsia="zh-CN" w:bidi="ar-SA"/>
              </w:rPr>
              <w:t>8、</w:t>
            </w:r>
            <w:r>
              <w:rPr>
                <w:rFonts w:hint="eastAsia" w:ascii="Calibri" w:hAnsi="Calibri" w:eastAsia="宋体" w:cs="Times New Roman"/>
                <w:color w:val="auto"/>
                <w:kern w:val="2"/>
                <w:sz w:val="21"/>
                <w:szCs w:val="21"/>
                <w:highlight w:val="none"/>
                <w:lang w:val="en-US" w:eastAsia="zh-CN" w:bidi="ar-SA"/>
              </w:rPr>
              <w:t>多媒体播放器：集成流媒体技术，支持空间内嵌视频、音频（背景音乐、解说词）的无缓冲播放与区域触发，确保用户可以自然而然地浏览和互动，视频内容提供进度控制、全屏、画中画、循环播放、倍速播放等播放控制能力；</w:t>
            </w:r>
          </w:p>
          <w:p w14:paraId="38ABBF7C">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textAlignment w:val="auto"/>
              <w:rPr>
                <w:rFonts w:hint="eastAsia" w:ascii="Calibri" w:hAnsi="Calibri" w:eastAsia="宋体" w:cs="Times New Roman"/>
                <w:color w:val="auto"/>
                <w:kern w:val="2"/>
                <w:sz w:val="21"/>
                <w:szCs w:val="21"/>
                <w:highlight w:val="none"/>
                <w:lang w:val="en-US" w:eastAsia="zh-CN" w:bidi="ar-SA"/>
              </w:rPr>
            </w:pPr>
            <w:r>
              <w:rPr>
                <w:rFonts w:hint="eastAsia" w:ascii="Calibri" w:hAnsi="Calibri" w:cs="Times New Roman"/>
                <w:color w:val="auto"/>
                <w:kern w:val="2"/>
                <w:sz w:val="21"/>
                <w:szCs w:val="21"/>
                <w:highlight w:val="none"/>
                <w:lang w:val="en-US" w:eastAsia="zh-CN" w:bidi="ar-SA"/>
              </w:rPr>
              <w:t>9、</w:t>
            </w:r>
            <w:r>
              <w:rPr>
                <w:rFonts w:hint="eastAsia" w:ascii="Calibri" w:hAnsi="Calibri" w:eastAsia="宋体" w:cs="Times New Roman"/>
                <w:color w:val="auto"/>
                <w:kern w:val="2"/>
                <w:sz w:val="21"/>
                <w:szCs w:val="21"/>
                <w:highlight w:val="none"/>
                <w:lang w:val="en-US" w:eastAsia="zh-CN" w:bidi="ar-SA"/>
              </w:rPr>
              <w:t>文本内容展示：支持2D文本、3D文本等文本格式嵌入，并实现添加音频简介以及富媒体链接嵌入；</w:t>
            </w:r>
          </w:p>
          <w:p w14:paraId="044E9CE5">
            <w:pPr>
              <w:keepNext w:val="0"/>
              <w:keepLines w:val="0"/>
              <w:pageBreakBefore w:val="0"/>
              <w:widowControl w:val="0"/>
              <w:suppressLineNumbers w:val="0"/>
              <w:kinsoku/>
              <w:wordWrap/>
              <w:overflowPunct/>
              <w:topLinePunct w:val="0"/>
              <w:autoSpaceDE/>
              <w:autoSpaceDN/>
              <w:bidi w:val="0"/>
              <w:spacing w:before="0" w:beforeAutospacing="0" w:after="0" w:afterAutospacing="0" w:line="360" w:lineRule="auto"/>
              <w:ind w:left="0" w:right="0" w:firstLine="0" w:firstLineChars="0"/>
              <w:jc w:val="left"/>
              <w:rPr>
                <w:rFonts w:hint="eastAsia" w:ascii="宋体" w:hAnsi="宋体" w:eastAsia="宋体" w:cs="宋体"/>
                <w:color w:val="auto"/>
                <w:kern w:val="2"/>
                <w:sz w:val="21"/>
                <w:szCs w:val="21"/>
                <w:highlight w:val="none"/>
                <w:lang w:val="en-US" w:eastAsia="zh-CN" w:bidi="ar"/>
              </w:rPr>
            </w:pPr>
            <w:r>
              <w:rPr>
                <w:rFonts w:hint="eastAsia" w:ascii="Calibri" w:hAnsi="Calibri" w:eastAsia="宋体" w:cs="Times New Roman"/>
                <w:color w:val="auto"/>
                <w:kern w:val="2"/>
                <w:sz w:val="21"/>
                <w:szCs w:val="21"/>
                <w:highlight w:val="none"/>
                <w:lang w:val="en-US" w:eastAsia="zh-CN" w:bidi="ar-SA"/>
              </w:rPr>
              <w:t>10</w:t>
            </w:r>
            <w:r>
              <w:rPr>
                <w:rFonts w:hint="eastAsia" w:ascii="Calibri" w:hAnsi="Calibri" w:cs="Times New Roman"/>
                <w:color w:val="auto"/>
                <w:kern w:val="2"/>
                <w:sz w:val="21"/>
                <w:szCs w:val="21"/>
                <w:highlight w:val="none"/>
                <w:lang w:val="en-US" w:eastAsia="zh-CN" w:bidi="ar-SA"/>
              </w:rPr>
              <w:t>、</w:t>
            </w:r>
            <w:r>
              <w:rPr>
                <w:rFonts w:hint="eastAsia" w:ascii="Calibri" w:hAnsi="Calibri" w:eastAsia="宋体" w:cs="Times New Roman"/>
                <w:color w:val="auto"/>
                <w:kern w:val="2"/>
                <w:sz w:val="21"/>
                <w:szCs w:val="21"/>
                <w:highlight w:val="none"/>
                <w:lang w:val="en-US" w:eastAsia="zh-CN" w:bidi="ar-SA"/>
              </w:rPr>
              <w:t>场景导航：支持用户在展厅中通过场景导航目录、缩略图预览等多种导航方式快速移动至特定场。</w:t>
            </w:r>
          </w:p>
        </w:tc>
      </w:tr>
      <w:tr w14:paraId="6CE010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3" w:hRule="atLeast"/>
          <w:jc w:val="center"/>
        </w:trPr>
        <w:tc>
          <w:tcPr>
            <w:tcW w:w="288" w:type="pct"/>
            <w:vMerge w:val="restart"/>
            <w:tcBorders>
              <w:top w:val="single" w:color="auto" w:sz="4" w:space="0"/>
              <w:left w:val="single" w:color="auto" w:sz="4" w:space="0"/>
              <w:right w:val="single" w:color="auto" w:sz="4" w:space="0"/>
            </w:tcBorders>
            <w:vAlign w:val="center"/>
          </w:tcPr>
          <w:p w14:paraId="54A23810">
            <w:pPr>
              <w:pStyle w:val="2"/>
              <w:keepNext w:val="0"/>
              <w:keepLines w:val="0"/>
              <w:pageBreakBefore w:val="0"/>
              <w:suppressLineNumbers w:val="0"/>
              <w:kinsoku/>
              <w:wordWrap/>
              <w:overflowPunct/>
              <w:topLinePunct w:val="0"/>
              <w:autoSpaceDE/>
              <w:autoSpaceDN/>
              <w:bidi w:val="0"/>
              <w:spacing w:before="0" w:beforeAutospacing="0" w:after="0" w:afterAutospacing="0" w:line="440" w:lineRule="exact"/>
              <w:ind w:left="0" w:leftChars="0" w:right="0" w:firstLine="0" w:firstLineChars="0"/>
              <w:jc w:val="center"/>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3</w:t>
            </w:r>
          </w:p>
        </w:tc>
        <w:tc>
          <w:tcPr>
            <w:tcW w:w="739" w:type="pct"/>
            <w:vMerge w:val="restart"/>
            <w:tcBorders>
              <w:top w:val="single" w:color="auto" w:sz="4" w:space="0"/>
              <w:left w:val="single" w:color="auto" w:sz="4" w:space="0"/>
              <w:right w:val="single" w:color="auto" w:sz="4" w:space="0"/>
            </w:tcBorders>
            <w:vAlign w:val="center"/>
          </w:tcPr>
          <w:p w14:paraId="1683F4AE">
            <w:pPr>
              <w:keepNext w:val="0"/>
              <w:keepLines w:val="0"/>
              <w:pageBreakBefore w:val="0"/>
              <w:suppressLineNumbers w:val="0"/>
              <w:kinsoku/>
              <w:wordWrap/>
              <w:overflowPunct/>
              <w:topLinePunct w:val="0"/>
              <w:autoSpaceDE/>
              <w:autoSpaceDN/>
              <w:bidi w:val="0"/>
              <w:adjustRightInd w:val="0"/>
              <w:spacing w:before="0" w:beforeAutospacing="0" w:after="0" w:afterAutospacing="0" w:line="440" w:lineRule="exact"/>
              <w:ind w:left="0" w:right="0"/>
              <w:jc w:val="center"/>
              <w:textAlignment w:val="baseline"/>
              <w:rPr>
                <w:rFonts w:hint="eastAsia" w:ascii="宋体" w:hAnsi="宋体" w:eastAsia="宋体" w:cs="宋体"/>
                <w:b/>
                <w:bCs/>
                <w:color w:val="auto"/>
                <w:sz w:val="21"/>
                <w:szCs w:val="21"/>
                <w:highlight w:val="none"/>
                <w:lang w:val="en-US" w:eastAsia="zh-CN"/>
              </w:rPr>
            </w:pPr>
            <w:r>
              <w:rPr>
                <w:rFonts w:hint="eastAsia" w:ascii="宋体" w:hAnsi="宋体" w:eastAsia="宋体" w:cs="宋体"/>
                <w:b/>
                <w:bCs/>
                <w:color w:val="auto"/>
                <w:sz w:val="21"/>
                <w:szCs w:val="21"/>
                <w:highlight w:val="none"/>
                <w:lang w:val="en-US" w:eastAsia="zh-CN"/>
              </w:rPr>
              <w:t>商务分</w:t>
            </w:r>
          </w:p>
          <w:p w14:paraId="5E4068FE">
            <w:pPr>
              <w:keepNext w:val="0"/>
              <w:keepLines w:val="0"/>
              <w:pageBreakBefore w:val="0"/>
              <w:suppressLineNumbers w:val="0"/>
              <w:kinsoku/>
              <w:wordWrap/>
              <w:overflowPunct/>
              <w:topLinePunct w:val="0"/>
              <w:autoSpaceDE/>
              <w:autoSpaceDN/>
              <w:bidi w:val="0"/>
              <w:adjustRightInd w:val="0"/>
              <w:spacing w:before="0" w:beforeAutospacing="0" w:after="0" w:afterAutospacing="0" w:line="440" w:lineRule="exact"/>
              <w:ind w:left="0" w:right="0"/>
              <w:jc w:val="center"/>
              <w:textAlignment w:val="baseline"/>
              <w:rPr>
                <w:rFonts w:hint="eastAsia" w:ascii="宋体" w:hAnsi="宋体" w:eastAsia="宋体" w:cs="宋体"/>
                <w:b/>
                <w:bCs/>
                <w:color w:val="auto"/>
                <w:sz w:val="21"/>
                <w:szCs w:val="21"/>
                <w:highlight w:val="none"/>
                <w:lang w:val="en-US" w:eastAsia="zh-CN"/>
              </w:rPr>
            </w:pPr>
            <w:r>
              <w:rPr>
                <w:rFonts w:hint="eastAsia" w:ascii="宋体" w:hAnsi="宋体" w:eastAsia="宋体" w:cs="宋体"/>
                <w:b/>
                <w:bCs/>
                <w:color w:val="auto"/>
                <w:sz w:val="21"/>
                <w:szCs w:val="21"/>
                <w:highlight w:val="none"/>
              </w:rPr>
              <w:t>（满分</w:t>
            </w:r>
            <w:r>
              <w:rPr>
                <w:rFonts w:hint="eastAsia" w:ascii="宋体" w:hAnsi="宋体" w:cs="宋体"/>
                <w:b/>
                <w:bCs/>
                <w:color w:val="auto"/>
                <w:sz w:val="21"/>
                <w:szCs w:val="21"/>
                <w:highlight w:val="none"/>
                <w:lang w:val="en-US" w:eastAsia="zh-CN"/>
              </w:rPr>
              <w:t>28</w:t>
            </w:r>
            <w:r>
              <w:rPr>
                <w:rFonts w:hint="eastAsia" w:ascii="宋体" w:hAnsi="宋体" w:eastAsia="宋体" w:cs="宋体"/>
                <w:b/>
                <w:bCs/>
                <w:color w:val="auto"/>
                <w:sz w:val="21"/>
                <w:szCs w:val="21"/>
                <w:highlight w:val="none"/>
              </w:rPr>
              <w:t>分）</w:t>
            </w:r>
          </w:p>
        </w:tc>
        <w:tc>
          <w:tcPr>
            <w:tcW w:w="1104" w:type="pct"/>
            <w:tcBorders>
              <w:top w:val="single" w:color="auto" w:sz="4" w:space="0"/>
              <w:left w:val="single" w:color="auto" w:sz="4" w:space="0"/>
              <w:right w:val="single" w:color="auto" w:sz="4" w:space="0"/>
            </w:tcBorders>
            <w:vAlign w:val="center"/>
          </w:tcPr>
          <w:p w14:paraId="2624E1CA">
            <w:pPr>
              <w:pStyle w:val="34"/>
              <w:keepNext w:val="0"/>
              <w:keepLines w:val="0"/>
              <w:pageBreakBefore w:val="0"/>
              <w:suppressLineNumbers w:val="0"/>
              <w:kinsoku/>
              <w:wordWrap/>
              <w:overflowPunct/>
              <w:topLinePunct w:val="0"/>
              <w:autoSpaceDE/>
              <w:autoSpaceDN/>
              <w:bidi w:val="0"/>
              <w:spacing w:before="0" w:beforeAutospacing="0" w:after="0" w:afterAutospacing="0" w:line="440" w:lineRule="exact"/>
              <w:ind w:left="0" w:right="0"/>
              <w:jc w:val="center"/>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业绩分</w:t>
            </w:r>
            <w:r>
              <w:rPr>
                <w:rFonts w:hint="eastAsia" w:ascii="宋体" w:hAnsi="宋体" w:eastAsia="宋体" w:cs="宋体"/>
                <w:color w:val="auto"/>
                <w:sz w:val="21"/>
                <w:szCs w:val="21"/>
                <w:highlight w:val="none"/>
                <w:lang w:val="zh-CN"/>
              </w:rPr>
              <w:t>（</w:t>
            </w:r>
            <w:r>
              <w:rPr>
                <w:rFonts w:hint="eastAsia" w:ascii="宋体" w:hAnsi="宋体" w:cs="宋体"/>
                <w:color w:val="auto"/>
                <w:sz w:val="21"/>
                <w:szCs w:val="21"/>
                <w:highlight w:val="none"/>
                <w:lang w:val="en-US" w:eastAsia="zh-CN"/>
              </w:rPr>
              <w:t>10</w:t>
            </w:r>
            <w:r>
              <w:rPr>
                <w:rFonts w:hint="eastAsia" w:ascii="宋体" w:hAnsi="宋体" w:eastAsia="宋体" w:cs="宋体"/>
                <w:color w:val="auto"/>
                <w:sz w:val="21"/>
                <w:szCs w:val="21"/>
                <w:highlight w:val="none"/>
                <w:lang w:val="zh-CN"/>
              </w:rPr>
              <w:t>分）</w:t>
            </w:r>
          </w:p>
          <w:p w14:paraId="4804BFE0">
            <w:pPr>
              <w:keepNext w:val="0"/>
              <w:keepLines w:val="0"/>
              <w:pageBreakBefore w:val="0"/>
              <w:suppressLineNumbers w:val="0"/>
              <w:kinsoku/>
              <w:wordWrap/>
              <w:overflowPunct/>
              <w:topLinePunct w:val="0"/>
              <w:autoSpaceDE/>
              <w:autoSpaceDN/>
              <w:bidi w:val="0"/>
              <w:adjustRightInd w:val="0"/>
              <w:spacing w:before="0" w:beforeAutospacing="0" w:after="0" w:afterAutospacing="0" w:line="440" w:lineRule="exact"/>
              <w:ind w:left="0" w:right="0"/>
              <w:jc w:val="center"/>
              <w:textAlignment w:val="baseline"/>
              <w:rPr>
                <w:rFonts w:hint="eastAsia" w:ascii="宋体" w:hAnsi="宋体" w:eastAsia="宋体" w:cs="宋体"/>
                <w:b/>
                <w:color w:val="auto"/>
                <w:sz w:val="21"/>
                <w:szCs w:val="21"/>
                <w:highlight w:val="none"/>
              </w:rPr>
            </w:pPr>
          </w:p>
        </w:tc>
        <w:tc>
          <w:tcPr>
            <w:tcW w:w="2867" w:type="pct"/>
            <w:tcBorders>
              <w:top w:val="single" w:color="auto" w:sz="4" w:space="0"/>
              <w:left w:val="single" w:color="auto" w:sz="4" w:space="0"/>
              <w:right w:val="single" w:color="auto" w:sz="4" w:space="0"/>
            </w:tcBorders>
            <w:vAlign w:val="center"/>
          </w:tcPr>
          <w:p w14:paraId="1535ED12">
            <w:pPr>
              <w:keepNext w:val="0"/>
              <w:keepLines w:val="0"/>
              <w:pageBreakBefore w:val="0"/>
              <w:suppressLineNumbers w:val="0"/>
              <w:kinsoku/>
              <w:wordWrap/>
              <w:overflowPunct/>
              <w:topLinePunct w:val="0"/>
              <w:autoSpaceDE/>
              <w:autoSpaceDN/>
              <w:bidi w:val="0"/>
              <w:adjustRightInd w:val="0"/>
              <w:spacing w:before="0" w:beforeAutospacing="0" w:after="0" w:afterAutospacing="0" w:line="440" w:lineRule="exact"/>
              <w:ind w:left="0" w:right="0" w:firstLine="420" w:firstLineChars="200"/>
              <w:jc w:val="left"/>
              <w:textAlignment w:val="baseline"/>
              <w:rPr>
                <w:rFonts w:hint="eastAsia" w:eastAsia="宋体" w:cs="Times New Roman"/>
                <w:color w:val="auto"/>
                <w:sz w:val="21"/>
                <w:szCs w:val="21"/>
                <w:highlight w:val="none"/>
                <w:lang w:val="en-US" w:eastAsia="zh-CN"/>
              </w:rPr>
            </w:pPr>
            <w:r>
              <w:rPr>
                <w:rFonts w:hint="eastAsia" w:eastAsia="宋体" w:cs="Times New Roman"/>
                <w:color w:val="auto"/>
                <w:sz w:val="21"/>
                <w:szCs w:val="21"/>
                <w:highlight w:val="none"/>
                <w:lang w:val="en-US" w:eastAsia="zh-CN"/>
              </w:rPr>
              <w:t>投标人提供202</w:t>
            </w:r>
            <w:r>
              <w:rPr>
                <w:rFonts w:hint="eastAsia" w:cs="Times New Roman"/>
                <w:color w:val="auto"/>
                <w:sz w:val="21"/>
                <w:szCs w:val="21"/>
                <w:highlight w:val="none"/>
                <w:lang w:val="en-US" w:eastAsia="zh-CN"/>
              </w:rPr>
              <w:t>3</w:t>
            </w:r>
            <w:r>
              <w:rPr>
                <w:rFonts w:hint="eastAsia" w:eastAsia="宋体" w:cs="Times New Roman"/>
                <w:color w:val="auto"/>
                <w:sz w:val="21"/>
                <w:szCs w:val="21"/>
                <w:highlight w:val="none"/>
                <w:lang w:val="en-US" w:eastAsia="zh-CN"/>
              </w:rPr>
              <w:t>年</w:t>
            </w:r>
            <w:r>
              <w:rPr>
                <w:rFonts w:hint="eastAsia" w:cs="Times New Roman"/>
                <w:color w:val="auto"/>
                <w:sz w:val="21"/>
                <w:szCs w:val="21"/>
                <w:highlight w:val="none"/>
                <w:lang w:val="en-US" w:eastAsia="zh-CN"/>
              </w:rPr>
              <w:t>5</w:t>
            </w:r>
            <w:r>
              <w:rPr>
                <w:rFonts w:hint="eastAsia" w:eastAsia="宋体" w:cs="Times New Roman"/>
                <w:color w:val="auto"/>
                <w:sz w:val="21"/>
                <w:szCs w:val="21"/>
                <w:highlight w:val="none"/>
                <w:lang w:val="en-US" w:eastAsia="zh-CN"/>
              </w:rPr>
              <w:t>月1日至今（以合同签订日期为准）关于知识图谱建设或智慧课程平台建设或精品课程建设项目</w:t>
            </w:r>
            <w:r>
              <w:rPr>
                <w:rFonts w:hint="eastAsia" w:cs="Times New Roman"/>
                <w:color w:val="auto"/>
                <w:sz w:val="21"/>
                <w:szCs w:val="21"/>
                <w:highlight w:val="none"/>
                <w:lang w:val="en-US" w:eastAsia="zh-CN"/>
              </w:rPr>
              <w:t>等与采购需求相关</w:t>
            </w:r>
            <w:r>
              <w:rPr>
                <w:rFonts w:hint="eastAsia" w:eastAsia="宋体" w:cs="Times New Roman"/>
                <w:color w:val="auto"/>
                <w:sz w:val="21"/>
                <w:szCs w:val="21"/>
                <w:highlight w:val="none"/>
                <w:lang w:val="en-US" w:eastAsia="zh-CN"/>
              </w:rPr>
              <w:t>的</w:t>
            </w:r>
            <w:r>
              <w:rPr>
                <w:rFonts w:hint="eastAsia" w:cs="Times New Roman"/>
                <w:color w:val="auto"/>
                <w:sz w:val="21"/>
                <w:szCs w:val="21"/>
                <w:highlight w:val="none"/>
                <w:lang w:val="en-US" w:eastAsia="zh-CN"/>
              </w:rPr>
              <w:t>项目业绩</w:t>
            </w:r>
            <w:r>
              <w:rPr>
                <w:rFonts w:hint="eastAsia" w:eastAsia="宋体" w:cs="Times New Roman"/>
                <w:color w:val="auto"/>
                <w:sz w:val="21"/>
                <w:szCs w:val="21"/>
                <w:highlight w:val="none"/>
                <w:lang w:val="en-US" w:eastAsia="zh-CN"/>
              </w:rPr>
              <w:t>，每提供1个得1分，满分10分。</w:t>
            </w:r>
          </w:p>
          <w:p w14:paraId="421DFBD5">
            <w:pPr>
              <w:pStyle w:val="34"/>
              <w:keepNext w:val="0"/>
              <w:keepLines w:val="0"/>
              <w:pageBreakBefore w:val="0"/>
              <w:suppressLineNumbers w:val="0"/>
              <w:kinsoku/>
              <w:wordWrap/>
              <w:overflowPunct/>
              <w:topLinePunct w:val="0"/>
              <w:autoSpaceDE/>
              <w:autoSpaceDN/>
              <w:bidi w:val="0"/>
              <w:spacing w:before="0" w:beforeAutospacing="0" w:after="0" w:afterAutospacing="0" w:line="440" w:lineRule="exact"/>
              <w:ind w:left="0" w:right="0" w:firstLine="420" w:firstLineChars="200"/>
              <w:rPr>
                <w:rFonts w:hint="eastAsia" w:ascii="宋体" w:hAnsi="宋体" w:eastAsia="宋体" w:cs="宋体"/>
                <w:color w:val="auto"/>
                <w:sz w:val="21"/>
                <w:szCs w:val="21"/>
                <w:highlight w:val="none"/>
                <w:lang w:val="zh-CN"/>
              </w:rPr>
            </w:pPr>
            <w:r>
              <w:rPr>
                <w:rFonts w:hint="eastAsia" w:ascii="宋体" w:hAnsi="宋体" w:eastAsia="宋体" w:cs="宋体"/>
                <w:bCs/>
                <w:color w:val="auto"/>
                <w:sz w:val="21"/>
                <w:szCs w:val="21"/>
                <w:highlight w:val="none"/>
              </w:rPr>
              <w:t>【须提供合同原件扫描件，能清晰反映该项目的项目名称、种类等（有合同首页、主要内容页及双方签字盖章页），未提供合同原件扫描件</w:t>
            </w:r>
            <w:r>
              <w:rPr>
                <w:rFonts w:hint="eastAsia" w:ascii="宋体" w:hAnsi="宋体" w:eastAsia="宋体" w:cs="宋体"/>
                <w:color w:val="auto"/>
                <w:sz w:val="21"/>
                <w:szCs w:val="21"/>
                <w:highlight w:val="none"/>
              </w:rPr>
              <w:t>不得分</w:t>
            </w:r>
            <w:r>
              <w:rPr>
                <w:rFonts w:hint="eastAsia" w:ascii="宋体" w:hAnsi="宋体" w:eastAsia="宋体" w:cs="宋体"/>
                <w:bCs/>
                <w:color w:val="auto"/>
                <w:sz w:val="21"/>
                <w:szCs w:val="21"/>
                <w:highlight w:val="none"/>
              </w:rPr>
              <w:t>】。</w:t>
            </w:r>
          </w:p>
        </w:tc>
      </w:tr>
      <w:tr w14:paraId="5D3CDF9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25" w:hRule="atLeast"/>
          <w:jc w:val="center"/>
        </w:trPr>
        <w:tc>
          <w:tcPr>
            <w:tcW w:w="288" w:type="pct"/>
            <w:vMerge w:val="continue"/>
            <w:tcBorders>
              <w:left w:val="single" w:color="auto" w:sz="4" w:space="0"/>
              <w:bottom w:val="single" w:color="auto" w:sz="4" w:space="0"/>
              <w:right w:val="single" w:color="auto" w:sz="4" w:space="0"/>
            </w:tcBorders>
            <w:vAlign w:val="center"/>
          </w:tcPr>
          <w:p w14:paraId="15646666">
            <w:pPr>
              <w:keepNext w:val="0"/>
              <w:keepLines w:val="0"/>
              <w:pageBreakBefore w:val="0"/>
              <w:suppressLineNumbers w:val="0"/>
              <w:kinsoku/>
              <w:wordWrap/>
              <w:overflowPunct/>
              <w:topLinePunct w:val="0"/>
              <w:autoSpaceDE/>
              <w:autoSpaceDN/>
              <w:bidi w:val="0"/>
              <w:adjustRightInd w:val="0"/>
              <w:spacing w:before="0" w:beforeAutospacing="0" w:after="0" w:afterAutospacing="0" w:line="440" w:lineRule="exact"/>
              <w:ind w:left="0" w:right="0"/>
              <w:jc w:val="center"/>
              <w:textAlignment w:val="baseline"/>
              <w:rPr>
                <w:rFonts w:hint="eastAsia" w:ascii="宋体" w:hAnsi="宋体" w:eastAsia="宋体" w:cs="宋体"/>
                <w:color w:val="auto"/>
                <w:sz w:val="21"/>
                <w:szCs w:val="21"/>
                <w:highlight w:val="none"/>
              </w:rPr>
            </w:pPr>
          </w:p>
        </w:tc>
        <w:tc>
          <w:tcPr>
            <w:tcW w:w="739" w:type="pct"/>
            <w:vMerge w:val="continue"/>
            <w:tcBorders>
              <w:left w:val="single" w:color="auto" w:sz="4" w:space="0"/>
              <w:right w:val="single" w:color="auto" w:sz="4" w:space="0"/>
            </w:tcBorders>
            <w:vAlign w:val="center"/>
          </w:tcPr>
          <w:p w14:paraId="5845B71D">
            <w:pPr>
              <w:keepNext w:val="0"/>
              <w:keepLines w:val="0"/>
              <w:pageBreakBefore w:val="0"/>
              <w:suppressLineNumbers w:val="0"/>
              <w:kinsoku/>
              <w:wordWrap/>
              <w:overflowPunct/>
              <w:topLinePunct w:val="0"/>
              <w:autoSpaceDE/>
              <w:autoSpaceDN/>
              <w:bidi w:val="0"/>
              <w:adjustRightInd w:val="0"/>
              <w:spacing w:before="0" w:beforeAutospacing="0" w:after="0" w:afterAutospacing="0" w:line="440" w:lineRule="exact"/>
              <w:ind w:left="0" w:right="0"/>
              <w:jc w:val="center"/>
              <w:textAlignment w:val="baseline"/>
              <w:rPr>
                <w:rFonts w:hint="eastAsia" w:ascii="宋体" w:hAnsi="宋体" w:eastAsia="宋体" w:cs="宋体"/>
                <w:color w:val="auto"/>
                <w:sz w:val="21"/>
                <w:szCs w:val="21"/>
                <w:highlight w:val="none"/>
              </w:rPr>
            </w:pPr>
          </w:p>
        </w:tc>
        <w:tc>
          <w:tcPr>
            <w:tcW w:w="1104" w:type="pct"/>
            <w:tcBorders>
              <w:top w:val="single" w:color="auto" w:sz="4" w:space="0"/>
              <w:left w:val="single" w:color="auto" w:sz="4" w:space="0"/>
              <w:right w:val="single" w:color="auto" w:sz="4" w:space="0"/>
            </w:tcBorders>
            <w:vAlign w:val="center"/>
          </w:tcPr>
          <w:p w14:paraId="0C91FB65">
            <w:pPr>
              <w:pStyle w:val="34"/>
              <w:keepNext w:val="0"/>
              <w:keepLines w:val="0"/>
              <w:pageBreakBefore w:val="0"/>
              <w:suppressLineNumbers w:val="0"/>
              <w:kinsoku/>
              <w:wordWrap/>
              <w:overflowPunct/>
              <w:topLinePunct w:val="0"/>
              <w:autoSpaceDE/>
              <w:autoSpaceDN/>
              <w:bidi w:val="0"/>
              <w:spacing w:before="0" w:beforeAutospacing="0" w:after="0" w:afterAutospacing="0" w:line="440" w:lineRule="exact"/>
              <w:ind w:left="0" w:right="0"/>
              <w:jc w:val="center"/>
              <w:rPr>
                <w:rFonts w:hint="eastAsia" w:ascii="宋体" w:hAnsi="宋体" w:eastAsia="宋体" w:cs="宋体"/>
                <w:color w:val="auto"/>
                <w:sz w:val="21"/>
                <w:szCs w:val="21"/>
                <w:highlight w:val="none"/>
                <w:lang w:eastAsia="zh-CN"/>
              </w:rPr>
            </w:pPr>
            <w:r>
              <w:rPr>
                <w:rFonts w:hint="eastAsia" w:ascii="宋体" w:hAnsi="宋体" w:eastAsia="宋体" w:cs="宋体"/>
                <w:color w:val="auto"/>
                <w:sz w:val="21"/>
                <w:szCs w:val="21"/>
                <w:highlight w:val="none"/>
                <w:lang w:val="en-US" w:eastAsia="zh-CN"/>
              </w:rPr>
              <w:t>信誉分（</w:t>
            </w:r>
            <w:r>
              <w:rPr>
                <w:rFonts w:hint="eastAsia" w:ascii="宋体" w:hAnsi="宋体" w:cs="宋体"/>
                <w:color w:val="auto"/>
                <w:sz w:val="21"/>
                <w:szCs w:val="21"/>
                <w:highlight w:val="none"/>
                <w:lang w:val="en-US" w:eastAsia="zh-CN"/>
              </w:rPr>
              <w:t>18</w:t>
            </w:r>
            <w:r>
              <w:rPr>
                <w:rFonts w:hint="eastAsia" w:ascii="宋体" w:hAnsi="宋体" w:eastAsia="宋体" w:cs="宋体"/>
                <w:color w:val="auto"/>
                <w:sz w:val="21"/>
                <w:szCs w:val="21"/>
                <w:highlight w:val="none"/>
                <w:lang w:val="en-US" w:eastAsia="zh-CN"/>
              </w:rPr>
              <w:t>分）</w:t>
            </w:r>
          </w:p>
          <w:p w14:paraId="357B5F47">
            <w:pPr>
              <w:keepNext w:val="0"/>
              <w:keepLines w:val="0"/>
              <w:pageBreakBefore w:val="0"/>
              <w:suppressLineNumbers w:val="0"/>
              <w:kinsoku/>
              <w:wordWrap/>
              <w:overflowPunct/>
              <w:topLinePunct w:val="0"/>
              <w:autoSpaceDE/>
              <w:autoSpaceDN/>
              <w:bidi w:val="0"/>
              <w:adjustRightInd w:val="0"/>
              <w:spacing w:before="0" w:beforeAutospacing="0" w:after="0" w:afterAutospacing="0" w:line="440" w:lineRule="exact"/>
              <w:ind w:left="0" w:right="0"/>
              <w:jc w:val="center"/>
              <w:textAlignment w:val="baseline"/>
              <w:rPr>
                <w:rFonts w:hint="eastAsia" w:ascii="宋体" w:hAnsi="宋体" w:eastAsia="宋体" w:cs="宋体"/>
                <w:b/>
                <w:bCs/>
                <w:color w:val="auto"/>
                <w:sz w:val="21"/>
                <w:szCs w:val="21"/>
                <w:highlight w:val="none"/>
                <w:lang w:val="en-US" w:eastAsia="zh-CN"/>
              </w:rPr>
            </w:pPr>
          </w:p>
        </w:tc>
        <w:tc>
          <w:tcPr>
            <w:tcW w:w="2867" w:type="pct"/>
            <w:tcBorders>
              <w:left w:val="single" w:color="auto" w:sz="4" w:space="0"/>
              <w:right w:val="single" w:color="auto" w:sz="4" w:space="0"/>
            </w:tcBorders>
            <w:vAlign w:val="center"/>
          </w:tcPr>
          <w:p w14:paraId="24D54C52">
            <w:pPr>
              <w:pStyle w:val="18"/>
              <w:keepNext w:val="0"/>
              <w:keepLines w:val="0"/>
              <w:pageBreakBefore w:val="0"/>
              <w:suppressLineNumbers w:val="0"/>
              <w:kinsoku/>
              <w:wordWrap/>
              <w:overflowPunct/>
              <w:topLinePunct w:val="0"/>
              <w:autoSpaceDE/>
              <w:autoSpaceDN/>
              <w:bidi w:val="0"/>
              <w:adjustRightInd w:val="0"/>
              <w:spacing w:before="0" w:beforeAutospacing="0" w:after="0" w:afterAutospacing="0"/>
              <w:ind w:left="0" w:right="0" w:firstLineChars="200"/>
              <w:jc w:val="left"/>
              <w:textAlignment w:val="baseline"/>
              <w:rPr>
                <w:rFonts w:hint="eastAsia" w:ascii="宋体" w:hAnsi="宋体" w:eastAsia="宋体" w:cs="宋体"/>
                <w:bCs/>
                <w:color w:val="auto"/>
                <w:kern w:val="2"/>
                <w:sz w:val="21"/>
                <w:szCs w:val="21"/>
                <w:highlight w:val="none"/>
                <w:lang w:val="en-US" w:eastAsia="zh-CN" w:bidi="ar-SA"/>
              </w:rPr>
            </w:pPr>
            <w:r>
              <w:rPr>
                <w:rFonts w:hint="eastAsia" w:ascii="宋体" w:hAnsi="宋体" w:eastAsia="宋体" w:cs="宋体"/>
                <w:bCs/>
                <w:color w:val="auto"/>
                <w:kern w:val="2"/>
                <w:sz w:val="21"/>
                <w:szCs w:val="21"/>
                <w:highlight w:val="none"/>
                <w:lang w:val="en-US" w:eastAsia="zh-CN" w:bidi="ar-SA"/>
              </w:rPr>
              <w:t xml:space="preserve"> 1、投标人自2022年1月1日以来参与过课程资源库相关项目，且项目获得省级（直辖市、自治区）及以上资源库认定，每提供一个得2分，满分6分。（投标文件中提供有效合同复印件及对应获奖证明（包括课程截图、获奖文件）相关文件材料证明，合同内容能清晰反应服务名称、金额，复印件均加盖供应商公章，同一个项目不重复计分）。</w:t>
            </w:r>
          </w:p>
          <w:p w14:paraId="74AC2ABB">
            <w:pPr>
              <w:pStyle w:val="18"/>
              <w:keepNext w:val="0"/>
              <w:keepLines w:val="0"/>
              <w:pageBreakBefore w:val="0"/>
              <w:suppressLineNumbers w:val="0"/>
              <w:kinsoku/>
              <w:wordWrap/>
              <w:overflowPunct/>
              <w:topLinePunct w:val="0"/>
              <w:autoSpaceDE/>
              <w:autoSpaceDN/>
              <w:bidi w:val="0"/>
              <w:adjustRightInd w:val="0"/>
              <w:spacing w:before="0" w:beforeAutospacing="0" w:after="0" w:afterAutospacing="0"/>
              <w:ind w:left="0" w:right="0" w:firstLineChars="200"/>
              <w:jc w:val="left"/>
              <w:textAlignment w:val="baseline"/>
              <w:rPr>
                <w:rFonts w:hint="eastAsia" w:ascii="宋体" w:hAnsi="宋体" w:eastAsia="宋体" w:cs="宋体"/>
                <w:bCs/>
                <w:color w:val="auto"/>
                <w:kern w:val="2"/>
                <w:sz w:val="21"/>
                <w:szCs w:val="21"/>
                <w:highlight w:val="none"/>
                <w:lang w:val="en-US" w:eastAsia="zh-CN" w:bidi="ar-SA"/>
              </w:rPr>
            </w:pPr>
            <w:r>
              <w:rPr>
                <w:rFonts w:hint="eastAsia" w:ascii="宋体" w:hAnsi="宋体" w:eastAsia="宋体" w:cs="宋体"/>
                <w:bCs/>
                <w:color w:val="auto"/>
                <w:kern w:val="2"/>
                <w:sz w:val="21"/>
                <w:szCs w:val="21"/>
                <w:highlight w:val="none"/>
                <w:lang w:val="en-US" w:eastAsia="zh-CN" w:bidi="ar-SA"/>
              </w:rPr>
              <w:t>2.投标人</w:t>
            </w:r>
            <w:r>
              <w:rPr>
                <w:rFonts w:hint="eastAsia" w:ascii="宋体" w:hAnsi="宋体" w:eastAsia="宋体" w:cs="宋体"/>
                <w:bCs/>
                <w:color w:val="auto"/>
                <w:kern w:val="2"/>
                <w:sz w:val="21"/>
                <w:szCs w:val="21"/>
                <w:highlight w:val="none"/>
                <w:lang w:val="zh-CN" w:eastAsia="zh-CN" w:bidi="ar-SA"/>
              </w:rPr>
              <w:t>拥有有效的质量管理体系认证（ISO9001）、社会责任管理体系认证证书（GB/T 39604-2020）、环境管理体系认证证书（IS0 14001:2015）</w:t>
            </w:r>
            <w:r>
              <w:rPr>
                <w:rFonts w:hint="eastAsia" w:ascii="宋体" w:hAnsi="宋体" w:eastAsia="宋体" w:cs="宋体"/>
                <w:bCs/>
                <w:color w:val="auto"/>
                <w:kern w:val="2"/>
                <w:sz w:val="21"/>
                <w:szCs w:val="21"/>
                <w:highlight w:val="none"/>
                <w:lang w:val="en-US" w:eastAsia="zh-CN" w:bidi="ar-SA"/>
              </w:rPr>
              <w:t>，每提供1个有效证书得2分，满分6分。注：提供上述对应的有效期内证书复印件并加盖投标人单位公章，且在全国认证认可信息公共服务平台上(http://cx.cnca.cn)查询有效的，不提供或证书状态非“有效”均不得分。</w:t>
            </w:r>
          </w:p>
          <w:p w14:paraId="09AE8412">
            <w:pPr>
              <w:pStyle w:val="18"/>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right="0" w:firstLineChars="200"/>
              <w:textAlignment w:val="auto"/>
              <w:rPr>
                <w:rFonts w:hint="eastAsia" w:ascii="宋体" w:hAnsi="宋体" w:eastAsia="宋体" w:cs="宋体"/>
                <w:b/>
                <w:bCs/>
                <w:color w:val="auto"/>
                <w:sz w:val="21"/>
                <w:szCs w:val="21"/>
                <w:highlight w:val="none"/>
                <w:lang w:val="en-US" w:eastAsia="zh-CN"/>
              </w:rPr>
            </w:pPr>
            <w:r>
              <w:rPr>
                <w:rFonts w:hint="eastAsia" w:ascii="宋体" w:hAnsi="宋体" w:eastAsia="宋体" w:cs="宋体"/>
                <w:bCs/>
                <w:color w:val="auto"/>
                <w:kern w:val="2"/>
                <w:sz w:val="21"/>
                <w:szCs w:val="21"/>
                <w:highlight w:val="none"/>
                <w:lang w:val="en-US" w:eastAsia="zh-CN" w:bidi="ar-SA"/>
              </w:rPr>
              <w:t>3.具有网络在线教学课程管理平台类或一体化智慧教学管理平台类或知识图谱服务平台类</w:t>
            </w:r>
            <w:r>
              <w:rPr>
                <w:rFonts w:hint="eastAsia" w:ascii="宋体" w:hAnsi="宋体" w:cs="宋体"/>
                <w:bCs/>
                <w:color w:val="auto"/>
                <w:kern w:val="2"/>
                <w:sz w:val="21"/>
                <w:szCs w:val="21"/>
                <w:highlight w:val="none"/>
                <w:lang w:val="en-US" w:eastAsia="zh-CN" w:bidi="ar-SA"/>
              </w:rPr>
              <w:t>等</w:t>
            </w:r>
            <w:r>
              <w:rPr>
                <w:rFonts w:hint="eastAsia" w:ascii="宋体" w:hAnsi="宋体" w:eastAsia="宋体" w:cs="宋体"/>
                <w:bCs/>
                <w:color w:val="auto"/>
                <w:kern w:val="2"/>
                <w:sz w:val="21"/>
                <w:szCs w:val="21"/>
                <w:highlight w:val="none"/>
                <w:lang w:val="en-US" w:eastAsia="zh-CN" w:bidi="ar-SA"/>
              </w:rPr>
              <w:t>相关教学资源平台建设</w:t>
            </w:r>
            <w:r>
              <w:rPr>
                <w:rFonts w:hint="eastAsia" w:ascii="宋体" w:hAnsi="宋体" w:cs="宋体"/>
                <w:bCs/>
                <w:color w:val="auto"/>
                <w:kern w:val="2"/>
                <w:sz w:val="21"/>
                <w:szCs w:val="21"/>
                <w:highlight w:val="none"/>
                <w:lang w:val="en-US" w:eastAsia="zh-CN" w:bidi="ar-SA"/>
              </w:rPr>
              <w:t>的</w:t>
            </w:r>
            <w:r>
              <w:rPr>
                <w:rFonts w:hint="eastAsia" w:ascii="宋体" w:hAnsi="宋体" w:eastAsia="宋体" w:cs="宋体"/>
                <w:bCs/>
                <w:color w:val="auto"/>
                <w:kern w:val="2"/>
                <w:sz w:val="21"/>
                <w:szCs w:val="21"/>
                <w:highlight w:val="none"/>
                <w:lang w:val="en-US" w:eastAsia="zh-CN" w:bidi="ar-SA"/>
              </w:rPr>
              <w:t>计算机软件著作权登记证书，每个得2分，满分6分。</w:t>
            </w:r>
          </w:p>
        </w:tc>
      </w:tr>
      <w:tr w14:paraId="0BB2A1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88" w:type="pct"/>
            <w:tcBorders>
              <w:left w:val="single" w:color="auto" w:sz="4" w:space="0"/>
              <w:right w:val="single" w:color="auto" w:sz="4" w:space="0"/>
            </w:tcBorders>
            <w:vAlign w:val="center"/>
          </w:tcPr>
          <w:p w14:paraId="2875370D">
            <w:pPr>
              <w:keepNext w:val="0"/>
              <w:keepLines w:val="0"/>
              <w:pageBreakBefore w:val="0"/>
              <w:widowControl/>
              <w:suppressLineNumbers w:val="0"/>
              <w:kinsoku/>
              <w:wordWrap/>
              <w:overflowPunct/>
              <w:topLinePunct w:val="0"/>
              <w:autoSpaceDE/>
              <w:autoSpaceDN/>
              <w:bidi w:val="0"/>
              <w:spacing w:before="0" w:beforeAutospacing="0" w:after="0" w:afterAutospacing="0" w:line="440" w:lineRule="exact"/>
              <w:ind w:left="0" w:right="0"/>
              <w:jc w:val="center"/>
              <w:rPr>
                <w:rFonts w:hint="eastAsia" w:ascii="宋体" w:hAnsi="宋体" w:eastAsia="宋体" w:cs="宋体"/>
                <w:color w:val="auto"/>
                <w:sz w:val="21"/>
                <w:szCs w:val="21"/>
                <w:highlight w:val="none"/>
              </w:rPr>
            </w:pPr>
            <w:r>
              <w:rPr>
                <w:rFonts w:hint="eastAsia" w:ascii="宋体" w:hAnsi="宋体" w:eastAsia="宋体" w:cs="宋体"/>
                <w:b/>
                <w:bCs/>
                <w:color w:val="auto"/>
                <w:sz w:val="21"/>
                <w:szCs w:val="21"/>
                <w:highlight w:val="none"/>
              </w:rPr>
              <w:t>4</w:t>
            </w:r>
          </w:p>
        </w:tc>
        <w:tc>
          <w:tcPr>
            <w:tcW w:w="739" w:type="pct"/>
            <w:tcBorders>
              <w:left w:val="single" w:color="auto" w:sz="4" w:space="0"/>
              <w:right w:val="single" w:color="auto" w:sz="4" w:space="0"/>
            </w:tcBorders>
            <w:vAlign w:val="center"/>
          </w:tcPr>
          <w:p w14:paraId="6EC1A556">
            <w:pPr>
              <w:keepNext w:val="0"/>
              <w:keepLines w:val="0"/>
              <w:pageBreakBefore w:val="0"/>
              <w:widowControl/>
              <w:suppressLineNumbers w:val="0"/>
              <w:kinsoku/>
              <w:wordWrap/>
              <w:overflowPunct/>
              <w:topLinePunct w:val="0"/>
              <w:autoSpaceDE/>
              <w:autoSpaceDN/>
              <w:bidi w:val="0"/>
              <w:spacing w:before="0" w:beforeAutospacing="0" w:after="0" w:afterAutospacing="0" w:line="440" w:lineRule="exact"/>
              <w:ind w:left="0" w:right="0"/>
              <w:jc w:val="center"/>
              <w:rPr>
                <w:rFonts w:hint="eastAsia" w:ascii="宋体" w:hAnsi="宋体" w:eastAsia="宋体" w:cs="宋体"/>
                <w:b/>
                <w:color w:val="auto"/>
                <w:sz w:val="21"/>
                <w:szCs w:val="21"/>
                <w:highlight w:val="none"/>
              </w:rPr>
            </w:pPr>
            <w:r>
              <w:rPr>
                <w:rFonts w:hint="eastAsia" w:ascii="宋体" w:hAnsi="宋体" w:eastAsia="宋体" w:cs="宋体"/>
                <w:b/>
                <w:bCs/>
                <w:color w:val="auto"/>
                <w:sz w:val="21"/>
                <w:szCs w:val="21"/>
                <w:highlight w:val="none"/>
              </w:rPr>
              <w:t>诚信分</w:t>
            </w:r>
          </w:p>
        </w:tc>
        <w:tc>
          <w:tcPr>
            <w:tcW w:w="1104" w:type="pct"/>
            <w:tcBorders>
              <w:top w:val="single" w:color="auto" w:sz="4" w:space="0"/>
              <w:left w:val="single" w:color="auto" w:sz="4" w:space="0"/>
              <w:bottom w:val="single" w:color="auto" w:sz="4" w:space="0"/>
              <w:right w:val="single" w:color="auto" w:sz="4" w:space="0"/>
            </w:tcBorders>
            <w:vAlign w:val="center"/>
          </w:tcPr>
          <w:p w14:paraId="4C15E03E">
            <w:pPr>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440" w:lineRule="exact"/>
              <w:ind w:left="0" w:right="0" w:firstLine="422"/>
              <w:jc w:val="center"/>
              <w:textAlignment w:val="baseline"/>
              <w:rPr>
                <w:rFonts w:hint="eastAsia" w:ascii="宋体" w:hAnsi="宋体" w:eastAsia="宋体" w:cs="宋体"/>
                <w:color w:val="auto"/>
                <w:sz w:val="21"/>
                <w:szCs w:val="21"/>
                <w:highlight w:val="none"/>
              </w:rPr>
            </w:pPr>
          </w:p>
        </w:tc>
        <w:tc>
          <w:tcPr>
            <w:tcW w:w="2867" w:type="pct"/>
            <w:tcBorders>
              <w:top w:val="single" w:color="auto" w:sz="4" w:space="0"/>
              <w:left w:val="single" w:color="auto" w:sz="4" w:space="0"/>
              <w:bottom w:val="single" w:color="auto" w:sz="4" w:space="0"/>
              <w:right w:val="single" w:color="auto" w:sz="4" w:space="0"/>
            </w:tcBorders>
            <w:vAlign w:val="center"/>
          </w:tcPr>
          <w:p w14:paraId="504185C2">
            <w:pPr>
              <w:keepNext w:val="0"/>
              <w:keepLines w:val="0"/>
              <w:pageBreakBefore w:val="0"/>
              <w:widowControl/>
              <w:suppressLineNumbers w:val="0"/>
              <w:kinsoku/>
              <w:wordWrap/>
              <w:overflowPunct/>
              <w:topLinePunct w:val="0"/>
              <w:autoSpaceDE/>
              <w:autoSpaceDN/>
              <w:bidi w:val="0"/>
              <w:adjustRightInd w:val="0"/>
              <w:spacing w:before="0" w:beforeAutospacing="0" w:after="0" w:afterAutospacing="0" w:line="440" w:lineRule="exact"/>
              <w:ind w:left="0" w:right="0" w:firstLine="420" w:firstLineChars="200"/>
              <w:jc w:val="left"/>
              <w:textAlignment w:val="baseline"/>
              <w:rPr>
                <w:rFonts w:hint="eastAsia" w:ascii="宋体" w:hAnsi="宋体" w:eastAsia="宋体" w:cs="宋体"/>
                <w:color w:val="auto"/>
                <w:sz w:val="21"/>
                <w:szCs w:val="21"/>
                <w:highlight w:val="none"/>
              </w:rPr>
            </w:pPr>
            <w:bookmarkStart w:id="352" w:name="_GoBack"/>
            <w:r>
              <w:rPr>
                <w:rFonts w:hint="eastAsia" w:ascii="宋体" w:hAnsi="宋体" w:eastAsia="宋体" w:cs="宋体"/>
                <w:color w:val="auto"/>
                <w:sz w:val="21"/>
                <w:szCs w:val="21"/>
                <w:highlight w:val="none"/>
              </w:rPr>
              <w:t>投标人在截标日前1年内在政府采购活动中存在违约违规情形的（以财政部门出具的书面材料为评分依据），每次扣除3分，最高扣分6分。</w:t>
            </w:r>
            <w:bookmarkEnd w:id="352"/>
          </w:p>
        </w:tc>
      </w:tr>
      <w:tr w14:paraId="3A2A0A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19" w:hRule="atLeast"/>
          <w:jc w:val="center"/>
        </w:trPr>
        <w:tc>
          <w:tcPr>
            <w:tcW w:w="5000" w:type="pct"/>
            <w:gridSpan w:val="4"/>
            <w:tcBorders>
              <w:top w:val="single" w:color="auto" w:sz="4" w:space="0"/>
              <w:left w:val="single" w:color="auto" w:sz="4" w:space="0"/>
              <w:bottom w:val="single" w:color="auto" w:sz="4" w:space="0"/>
              <w:right w:val="single" w:color="auto" w:sz="4" w:space="0"/>
            </w:tcBorders>
            <w:vAlign w:val="center"/>
          </w:tcPr>
          <w:p w14:paraId="03309EC7">
            <w:pPr>
              <w:pStyle w:val="7"/>
              <w:keepNext w:val="0"/>
              <w:keepLines w:val="0"/>
              <w:pageBreakBefore w:val="0"/>
              <w:suppressLineNumbers w:val="0"/>
              <w:kinsoku/>
              <w:wordWrap/>
              <w:overflowPunct/>
              <w:topLinePunct w:val="0"/>
              <w:autoSpaceDE/>
              <w:autoSpaceDN/>
              <w:bidi w:val="0"/>
              <w:snapToGrid w:val="0"/>
              <w:spacing w:before="0" w:beforeAutospacing="0" w:after="0" w:afterAutospacing="0" w:line="440" w:lineRule="exact"/>
              <w:ind w:left="0" w:right="0"/>
              <w:rPr>
                <w:rFonts w:hint="eastAsia" w:ascii="宋体" w:hAnsi="宋体" w:eastAsia="宋体" w:cs="宋体"/>
                <w:b/>
                <w:bCs/>
                <w:color w:val="auto"/>
                <w:sz w:val="21"/>
                <w:szCs w:val="21"/>
                <w:highlight w:val="none"/>
                <w:lang w:val="en-US" w:eastAsia="zh-CN"/>
              </w:rPr>
            </w:pPr>
            <w:r>
              <w:rPr>
                <w:rFonts w:hint="eastAsia" w:ascii="宋体" w:hAnsi="宋体" w:eastAsia="宋体" w:cs="宋体"/>
                <w:color w:val="auto"/>
                <w:sz w:val="21"/>
                <w:szCs w:val="21"/>
                <w:highlight w:val="none"/>
                <w:lang w:bidi="ar"/>
              </w:rPr>
              <w:t>总得分=1+2+3+4</w:t>
            </w:r>
            <w:r>
              <w:rPr>
                <w:rFonts w:hint="eastAsia" w:ascii="宋体" w:hAnsi="宋体" w:eastAsia="宋体" w:cs="宋体"/>
                <w:color w:val="auto"/>
                <w:sz w:val="21"/>
                <w:szCs w:val="21"/>
                <w:highlight w:val="none"/>
                <w:lang w:eastAsia="zh-CN" w:bidi="ar"/>
              </w:rPr>
              <w:t>，</w:t>
            </w:r>
            <w:r>
              <w:rPr>
                <w:rFonts w:hint="eastAsia" w:ascii="宋体" w:hAnsi="宋体" w:eastAsia="宋体" w:cs="宋体"/>
                <w:color w:val="auto"/>
                <w:sz w:val="21"/>
                <w:szCs w:val="21"/>
                <w:highlight w:val="none"/>
                <w:lang w:val="en-US" w:eastAsia="zh-CN" w:bidi="ar"/>
              </w:rPr>
              <w:t>满分100分。</w:t>
            </w:r>
          </w:p>
        </w:tc>
      </w:tr>
    </w:tbl>
    <w:p w14:paraId="1C0879CA">
      <w:pPr>
        <w:pStyle w:val="10"/>
        <w:keepNext w:val="0"/>
        <w:keepLines w:val="0"/>
        <w:spacing w:line="360" w:lineRule="auto"/>
        <w:ind w:firstLine="420"/>
        <w:rPr>
          <w:rFonts w:asciiTheme="minorEastAsia" w:hAnsiTheme="minorEastAsia" w:eastAsiaTheme="minorEastAsia"/>
          <w:b w:val="0"/>
          <w:color w:val="auto"/>
          <w:sz w:val="21"/>
          <w:szCs w:val="21"/>
          <w:highlight w:val="none"/>
        </w:rPr>
      </w:pPr>
      <w:bookmarkStart w:id="128" w:name="_Toc187761567"/>
      <w:r>
        <w:rPr>
          <w:rFonts w:hint="eastAsia" w:asciiTheme="minorEastAsia" w:hAnsiTheme="minorEastAsia" w:eastAsiaTheme="minorEastAsia"/>
          <w:b w:val="0"/>
          <w:color w:val="auto"/>
          <w:sz w:val="21"/>
          <w:szCs w:val="21"/>
          <w:highlight w:val="none"/>
        </w:rPr>
        <w:t>注：计分方法按四舍五入取至百分位。</w:t>
      </w:r>
      <w:bookmarkEnd w:id="128"/>
    </w:p>
    <w:p w14:paraId="34CAD9E1">
      <w:pPr>
        <w:pStyle w:val="7"/>
        <w:spacing w:line="360" w:lineRule="auto"/>
        <w:ind w:firstLine="420"/>
        <w:rPr>
          <w:rFonts w:hint="eastAsia" w:hAnsi="宋体" w:eastAsia="宋体"/>
          <w:bCs/>
          <w:color w:val="auto"/>
          <w:highlight w:val="none"/>
          <w:u w:val="single"/>
          <w:lang w:eastAsia="zh-CN"/>
        </w:rPr>
      </w:pPr>
      <w:r>
        <w:rPr>
          <w:rFonts w:hint="eastAsia" w:hAnsi="宋体"/>
          <w:b/>
          <w:bCs/>
          <w:color w:val="auto"/>
          <w:highlight w:val="none"/>
        </w:rPr>
        <w:t>本项目为服务采购项目，不属于财政部规定的节能产品和环境标志产品范畴，不适用财库〔2019〕9号及财库〔2019〕19号文件规定</w:t>
      </w:r>
      <w:r>
        <w:rPr>
          <w:rFonts w:hint="eastAsia" w:hAnsi="宋体"/>
          <w:b/>
          <w:bCs/>
          <w:color w:val="auto"/>
          <w:highlight w:val="none"/>
          <w:lang w:eastAsia="zh-CN"/>
        </w:rPr>
        <w:t>。</w:t>
      </w:r>
    </w:p>
    <w:bookmarkEnd w:id="127"/>
    <w:p w14:paraId="6A9CB564">
      <w:pPr>
        <w:rPr>
          <w:rFonts w:hint="eastAsia"/>
          <w:b w:val="0"/>
          <w:color w:val="auto"/>
          <w:sz w:val="30"/>
          <w:szCs w:val="30"/>
          <w:highlight w:val="none"/>
        </w:rPr>
      </w:pPr>
      <w:bookmarkStart w:id="129" w:name="_Toc187761568"/>
      <w:r>
        <w:rPr>
          <w:rFonts w:hint="eastAsia"/>
          <w:b w:val="0"/>
          <w:color w:val="auto"/>
          <w:sz w:val="30"/>
          <w:szCs w:val="30"/>
          <w:highlight w:val="none"/>
        </w:rPr>
        <w:br w:type="page"/>
      </w:r>
    </w:p>
    <w:p w14:paraId="16A291B1">
      <w:pPr>
        <w:pStyle w:val="9"/>
        <w:jc w:val="center"/>
        <w:rPr>
          <w:b w:val="0"/>
          <w:color w:val="auto"/>
          <w:sz w:val="30"/>
          <w:szCs w:val="30"/>
          <w:highlight w:val="none"/>
        </w:rPr>
      </w:pPr>
      <w:r>
        <w:rPr>
          <w:rFonts w:hint="eastAsia"/>
          <w:b w:val="0"/>
          <w:color w:val="auto"/>
          <w:sz w:val="30"/>
          <w:szCs w:val="30"/>
          <w:highlight w:val="none"/>
        </w:rPr>
        <w:t>第四节中标候选人推荐原则</w:t>
      </w:r>
      <w:bookmarkEnd w:id="129"/>
    </w:p>
    <w:p w14:paraId="542AC6B5">
      <w:pPr>
        <w:pStyle w:val="7"/>
        <w:numPr>
          <w:ilvl w:val="0"/>
          <w:numId w:val="4"/>
        </w:numPr>
        <w:spacing w:line="360" w:lineRule="auto"/>
        <w:contextualSpacing/>
        <w:rPr>
          <w:rFonts w:hAnsi="宋体"/>
          <w:b/>
          <w:bCs/>
          <w:color w:val="auto"/>
          <w:sz w:val="24"/>
          <w:szCs w:val="24"/>
          <w:highlight w:val="none"/>
        </w:rPr>
      </w:pPr>
      <w:r>
        <w:rPr>
          <w:rFonts w:hint="eastAsia" w:hAnsi="宋体"/>
          <w:b/>
          <w:bCs/>
          <w:color w:val="auto"/>
          <w:sz w:val="24"/>
          <w:szCs w:val="24"/>
          <w:highlight w:val="none"/>
        </w:rPr>
        <w:t>综合评分法</w:t>
      </w:r>
    </w:p>
    <w:p w14:paraId="19ADF32A">
      <w:pPr>
        <w:pStyle w:val="7"/>
        <w:spacing w:line="360" w:lineRule="auto"/>
        <w:ind w:firstLine="420" w:firstLineChars="200"/>
        <w:rPr>
          <w:rFonts w:hAnsi="宋体"/>
          <w:color w:val="auto"/>
          <w:highlight w:val="none"/>
        </w:rPr>
      </w:pPr>
      <w:r>
        <w:rPr>
          <w:rFonts w:hint="eastAsia" w:hAnsi="宋体"/>
          <w:color w:val="auto"/>
          <w:highlight w:val="none"/>
        </w:rPr>
        <w:t>评标委员会将根据总得分由高到低排列次序并推荐中标候选人。总得分相同的，以投标报价由低到高顺序排列。得分相同且投标报价相同的并列，投标文件满足招标文件全部实质性要求，且按照评审因素的量化指标评审得分最高的投标人为排名第一的中标候选人。</w:t>
      </w:r>
    </w:p>
    <w:p w14:paraId="3033B535">
      <w:pPr>
        <w:pStyle w:val="9"/>
        <w:spacing w:before="0" w:after="0" w:line="360" w:lineRule="auto"/>
        <w:ind w:firstLine="600" w:firstLineChars="200"/>
        <w:jc w:val="center"/>
        <w:rPr>
          <w:b w:val="0"/>
          <w:color w:val="auto"/>
          <w:sz w:val="30"/>
          <w:szCs w:val="30"/>
          <w:highlight w:val="none"/>
        </w:rPr>
      </w:pPr>
      <w:bookmarkStart w:id="130" w:name="_Toc187761569"/>
      <w:r>
        <w:rPr>
          <w:rFonts w:hint="eastAsia"/>
          <w:b w:val="0"/>
          <w:color w:val="auto"/>
          <w:sz w:val="30"/>
          <w:szCs w:val="30"/>
          <w:highlight w:val="none"/>
        </w:rPr>
        <w:t>第五节评标报告</w:t>
      </w:r>
      <w:bookmarkEnd w:id="130"/>
    </w:p>
    <w:p w14:paraId="02497E7C">
      <w:pPr>
        <w:pStyle w:val="77"/>
        <w:spacing w:before="0"/>
        <w:ind w:firstLine="482"/>
        <w:rPr>
          <w:rFonts w:ascii="宋体" w:hAnsi="宋体"/>
          <w:b/>
          <w:bCs/>
          <w:color w:val="auto"/>
          <w:szCs w:val="24"/>
          <w:highlight w:val="none"/>
        </w:rPr>
      </w:pPr>
      <w:r>
        <w:rPr>
          <w:rFonts w:hint="eastAsia" w:ascii="宋体" w:hAnsi="宋体"/>
          <w:b/>
          <w:bCs/>
          <w:color w:val="auto"/>
          <w:szCs w:val="24"/>
          <w:highlight w:val="none"/>
        </w:rPr>
        <w:t>（一）评标报告与推荐中标候选人</w:t>
      </w:r>
    </w:p>
    <w:p w14:paraId="77F6BDC6">
      <w:pPr>
        <w:pStyle w:val="7"/>
        <w:tabs>
          <w:tab w:val="left" w:pos="2472"/>
        </w:tabs>
        <w:spacing w:line="360" w:lineRule="auto"/>
        <w:ind w:firstLine="420" w:firstLineChars="200"/>
        <w:rPr>
          <w:rFonts w:hAnsi="宋体"/>
          <w:color w:val="auto"/>
          <w:highlight w:val="none"/>
        </w:rPr>
      </w:pPr>
      <w:r>
        <w:rPr>
          <w:rFonts w:hint="eastAsia" w:hAnsi="宋体"/>
          <w:color w:val="auto"/>
          <w:highlight w:val="none"/>
        </w:rPr>
        <w:t>评标委员会根据原始评标记录和评标结果编写评标报告，并通过电子交易平台向采购人、采购代理机构提交。</w:t>
      </w:r>
    </w:p>
    <w:p w14:paraId="7E61ABBF">
      <w:pPr>
        <w:widowControl/>
        <w:spacing w:line="360" w:lineRule="auto"/>
        <w:ind w:firstLine="482" w:firstLineChars="200"/>
        <w:jc w:val="left"/>
        <w:rPr>
          <w:rFonts w:ascii="宋体" w:hAnsi="宋体"/>
          <w:b/>
          <w:bCs/>
          <w:color w:val="auto"/>
          <w:sz w:val="24"/>
          <w:highlight w:val="none"/>
        </w:rPr>
      </w:pPr>
      <w:r>
        <w:rPr>
          <w:rFonts w:hint="eastAsia" w:ascii="宋体" w:hAnsi="宋体"/>
          <w:b/>
          <w:bCs/>
          <w:color w:val="auto"/>
          <w:sz w:val="24"/>
          <w:highlight w:val="none"/>
        </w:rPr>
        <w:t>（二）评标争议事项处理</w:t>
      </w:r>
    </w:p>
    <w:p w14:paraId="0D7B61B1">
      <w:pPr>
        <w:pStyle w:val="7"/>
        <w:spacing w:line="360" w:lineRule="auto"/>
        <w:ind w:firstLine="420" w:firstLineChars="200"/>
        <w:rPr>
          <w:rFonts w:hAnsi="宋体"/>
          <w:color w:val="auto"/>
          <w:highlight w:val="none"/>
        </w:rPr>
      </w:pPr>
      <w:r>
        <w:rPr>
          <w:rFonts w:hint="eastAsia" w:hAnsi="宋体"/>
          <w:color w:val="auto"/>
          <w:highlight w:val="none"/>
        </w:rPr>
        <w:t>评标委员会成员对需要共同认定的事项存在争议的，应当按照少数服从多数的原则作出结论。持不同意见的评标委员会成员应当在评标报告上签署不同意见及理由，否则视为同意评标报告。</w:t>
      </w:r>
    </w:p>
    <w:p w14:paraId="212E4CC7">
      <w:pPr>
        <w:widowControl/>
        <w:jc w:val="left"/>
        <w:rPr>
          <w:b/>
          <w:color w:val="auto"/>
          <w:sz w:val="36"/>
          <w:szCs w:val="20"/>
          <w:highlight w:val="none"/>
        </w:rPr>
        <w:sectPr>
          <w:pgSz w:w="11906" w:h="16838"/>
          <w:pgMar w:top="1134" w:right="1134" w:bottom="1134" w:left="1134" w:header="720" w:footer="720" w:gutter="0"/>
          <w:pgNumType w:fmt="decimal"/>
          <w:cols w:space="720" w:num="1"/>
          <w:docGrid w:type="lines" w:linePitch="331" w:charSpace="0"/>
        </w:sectPr>
      </w:pPr>
    </w:p>
    <w:p w14:paraId="7C3BBFC1">
      <w:pPr>
        <w:pStyle w:val="7"/>
        <w:tabs>
          <w:tab w:val="left" w:pos="2472"/>
        </w:tabs>
        <w:spacing w:line="460" w:lineRule="exact"/>
        <w:jc w:val="center"/>
        <w:rPr>
          <w:rFonts w:ascii="Times New Roman" w:hAnsi="Times New Roman"/>
          <w:b/>
          <w:color w:val="auto"/>
          <w:sz w:val="36"/>
          <w:highlight w:val="none"/>
        </w:rPr>
      </w:pPr>
    </w:p>
    <w:p w14:paraId="19AFB05F">
      <w:pPr>
        <w:pStyle w:val="7"/>
        <w:tabs>
          <w:tab w:val="left" w:pos="2472"/>
        </w:tabs>
        <w:spacing w:line="460" w:lineRule="exact"/>
        <w:jc w:val="center"/>
        <w:rPr>
          <w:rFonts w:ascii="Times New Roman" w:hAnsi="Times New Roman"/>
          <w:b/>
          <w:color w:val="auto"/>
          <w:sz w:val="36"/>
          <w:highlight w:val="none"/>
        </w:rPr>
      </w:pPr>
    </w:p>
    <w:p w14:paraId="521285ED">
      <w:pPr>
        <w:pStyle w:val="7"/>
        <w:tabs>
          <w:tab w:val="left" w:pos="2472"/>
        </w:tabs>
        <w:spacing w:line="460" w:lineRule="exact"/>
        <w:jc w:val="center"/>
        <w:rPr>
          <w:rFonts w:ascii="Times New Roman" w:hAnsi="Times New Roman"/>
          <w:b/>
          <w:color w:val="auto"/>
          <w:sz w:val="36"/>
          <w:highlight w:val="none"/>
        </w:rPr>
      </w:pPr>
    </w:p>
    <w:p w14:paraId="15081FA6">
      <w:pPr>
        <w:pStyle w:val="7"/>
        <w:tabs>
          <w:tab w:val="left" w:pos="2472"/>
        </w:tabs>
        <w:spacing w:line="460" w:lineRule="exact"/>
        <w:jc w:val="center"/>
        <w:rPr>
          <w:rFonts w:ascii="Times New Roman" w:hAnsi="Times New Roman"/>
          <w:b/>
          <w:color w:val="auto"/>
          <w:sz w:val="36"/>
          <w:highlight w:val="none"/>
        </w:rPr>
      </w:pPr>
    </w:p>
    <w:p w14:paraId="3163279F">
      <w:pPr>
        <w:pStyle w:val="7"/>
        <w:tabs>
          <w:tab w:val="left" w:pos="2472"/>
        </w:tabs>
        <w:spacing w:line="460" w:lineRule="exact"/>
        <w:jc w:val="center"/>
        <w:rPr>
          <w:rFonts w:ascii="Times New Roman" w:hAnsi="Times New Roman"/>
          <w:b/>
          <w:color w:val="auto"/>
          <w:sz w:val="36"/>
          <w:highlight w:val="none"/>
        </w:rPr>
      </w:pPr>
    </w:p>
    <w:p w14:paraId="77853CBA">
      <w:pPr>
        <w:pStyle w:val="7"/>
        <w:tabs>
          <w:tab w:val="left" w:pos="2472"/>
        </w:tabs>
        <w:spacing w:line="460" w:lineRule="exact"/>
        <w:jc w:val="center"/>
        <w:rPr>
          <w:rFonts w:ascii="Times New Roman" w:hAnsi="Times New Roman"/>
          <w:b/>
          <w:color w:val="auto"/>
          <w:sz w:val="36"/>
          <w:highlight w:val="none"/>
        </w:rPr>
      </w:pPr>
    </w:p>
    <w:p w14:paraId="77E2D414">
      <w:pPr>
        <w:pStyle w:val="7"/>
        <w:tabs>
          <w:tab w:val="left" w:pos="2472"/>
        </w:tabs>
        <w:spacing w:line="460" w:lineRule="exact"/>
        <w:jc w:val="center"/>
        <w:rPr>
          <w:rFonts w:ascii="Times New Roman" w:hAnsi="Times New Roman"/>
          <w:b/>
          <w:color w:val="auto"/>
          <w:sz w:val="36"/>
          <w:highlight w:val="none"/>
        </w:rPr>
      </w:pPr>
    </w:p>
    <w:p w14:paraId="39C0B7D0">
      <w:pPr>
        <w:pStyle w:val="7"/>
        <w:tabs>
          <w:tab w:val="left" w:pos="2472"/>
        </w:tabs>
        <w:spacing w:line="460" w:lineRule="exact"/>
        <w:jc w:val="center"/>
        <w:rPr>
          <w:rFonts w:ascii="Times New Roman" w:hAnsi="Times New Roman"/>
          <w:b/>
          <w:color w:val="auto"/>
          <w:sz w:val="36"/>
          <w:highlight w:val="none"/>
        </w:rPr>
      </w:pPr>
    </w:p>
    <w:p w14:paraId="1D49B2CF">
      <w:pPr>
        <w:pStyle w:val="7"/>
        <w:tabs>
          <w:tab w:val="left" w:pos="2472"/>
        </w:tabs>
        <w:spacing w:line="460" w:lineRule="exact"/>
        <w:jc w:val="center"/>
        <w:rPr>
          <w:rFonts w:ascii="Times New Roman" w:hAnsi="Times New Roman"/>
          <w:b/>
          <w:color w:val="auto"/>
          <w:sz w:val="36"/>
          <w:highlight w:val="none"/>
        </w:rPr>
      </w:pPr>
    </w:p>
    <w:p w14:paraId="207513DA">
      <w:pPr>
        <w:pStyle w:val="7"/>
        <w:tabs>
          <w:tab w:val="left" w:pos="2472"/>
        </w:tabs>
        <w:spacing w:line="460" w:lineRule="exact"/>
        <w:jc w:val="center"/>
        <w:rPr>
          <w:rFonts w:ascii="Times New Roman" w:hAnsi="Times New Roman"/>
          <w:b/>
          <w:color w:val="auto"/>
          <w:sz w:val="36"/>
          <w:highlight w:val="none"/>
        </w:rPr>
      </w:pPr>
    </w:p>
    <w:p w14:paraId="134F754E">
      <w:pPr>
        <w:pStyle w:val="7"/>
        <w:tabs>
          <w:tab w:val="left" w:pos="2472"/>
        </w:tabs>
        <w:spacing w:line="460" w:lineRule="exact"/>
        <w:jc w:val="center"/>
        <w:rPr>
          <w:rFonts w:ascii="Times New Roman" w:hAnsi="Times New Roman"/>
          <w:b/>
          <w:color w:val="auto"/>
          <w:sz w:val="36"/>
          <w:highlight w:val="none"/>
        </w:rPr>
      </w:pPr>
    </w:p>
    <w:p w14:paraId="48E199B9">
      <w:pPr>
        <w:pStyle w:val="7"/>
        <w:tabs>
          <w:tab w:val="left" w:pos="2472"/>
        </w:tabs>
        <w:spacing w:line="460" w:lineRule="exact"/>
        <w:jc w:val="center"/>
        <w:rPr>
          <w:rFonts w:ascii="Times New Roman" w:hAnsi="Times New Roman"/>
          <w:b/>
          <w:color w:val="auto"/>
          <w:sz w:val="36"/>
          <w:highlight w:val="none"/>
        </w:rPr>
      </w:pPr>
    </w:p>
    <w:p w14:paraId="14FC291A">
      <w:pPr>
        <w:pStyle w:val="7"/>
        <w:tabs>
          <w:tab w:val="left" w:pos="2472"/>
        </w:tabs>
        <w:spacing w:line="460" w:lineRule="exact"/>
        <w:jc w:val="center"/>
        <w:rPr>
          <w:rFonts w:ascii="Times New Roman" w:hAnsi="Times New Roman"/>
          <w:b/>
          <w:color w:val="auto"/>
          <w:sz w:val="36"/>
          <w:highlight w:val="none"/>
        </w:rPr>
      </w:pPr>
    </w:p>
    <w:p w14:paraId="3D3D340F">
      <w:pPr>
        <w:pStyle w:val="7"/>
        <w:tabs>
          <w:tab w:val="left" w:pos="2472"/>
        </w:tabs>
        <w:spacing w:line="460" w:lineRule="exact"/>
        <w:jc w:val="center"/>
        <w:outlineLvl w:val="0"/>
        <w:rPr>
          <w:rFonts w:ascii="Times New Roman" w:hAnsi="Times New Roman"/>
          <w:b/>
          <w:color w:val="auto"/>
          <w:sz w:val="36"/>
          <w:highlight w:val="none"/>
        </w:rPr>
      </w:pPr>
      <w:bookmarkStart w:id="131" w:name="_Toc187761570"/>
      <w:r>
        <w:rPr>
          <w:rFonts w:hint="eastAsia" w:ascii="Times New Roman" w:hAnsi="Times New Roman"/>
          <w:b/>
          <w:color w:val="auto"/>
          <w:sz w:val="36"/>
          <w:highlight w:val="none"/>
        </w:rPr>
        <w:t>第五章拟签订的合同文本</w:t>
      </w:r>
      <w:bookmarkEnd w:id="131"/>
    </w:p>
    <w:p w14:paraId="5A8505E5">
      <w:pPr>
        <w:widowControl/>
        <w:jc w:val="left"/>
        <w:rPr>
          <w:rFonts w:ascii="宋体" w:hAnsi="Courier New"/>
          <w:bCs/>
          <w:color w:val="auto"/>
          <w:szCs w:val="20"/>
          <w:highlight w:val="none"/>
        </w:rPr>
        <w:sectPr>
          <w:pgSz w:w="11906" w:h="16838"/>
          <w:pgMar w:top="1134" w:right="1134" w:bottom="1134" w:left="1134" w:header="720" w:footer="720" w:gutter="0"/>
          <w:pgNumType w:fmt="decimal"/>
          <w:cols w:space="720" w:num="1"/>
          <w:docGrid w:type="lines" w:linePitch="331" w:charSpace="0"/>
        </w:sectPr>
      </w:pPr>
    </w:p>
    <w:p w14:paraId="0BF6E2D2">
      <w:pPr>
        <w:spacing w:line="360" w:lineRule="auto"/>
        <w:rPr>
          <w:rFonts w:ascii="方正仿宋_GB2312" w:hAnsi="楷体" w:eastAsia="方正仿宋_GB2312"/>
          <w:color w:val="auto"/>
          <w:sz w:val="24"/>
          <w:highlight w:val="none"/>
        </w:rPr>
      </w:pPr>
    </w:p>
    <w:p w14:paraId="7990C56B">
      <w:pPr>
        <w:spacing w:line="360" w:lineRule="auto"/>
        <w:rPr>
          <w:rFonts w:ascii="方正仿宋_GB2312" w:hAnsi="楷体" w:eastAsia="方正仿宋_GB2312"/>
          <w:color w:val="auto"/>
          <w:sz w:val="24"/>
          <w:highlight w:val="none"/>
          <w:u w:val="single"/>
        </w:rPr>
      </w:pPr>
      <w:r>
        <w:rPr>
          <w:rFonts w:hint="eastAsia" w:ascii="方正仿宋_GB2312" w:hAnsi="楷体" w:eastAsia="方正仿宋_GB2312"/>
          <w:color w:val="auto"/>
          <w:sz w:val="24"/>
          <w:highlight w:val="none"/>
        </w:rPr>
        <w:t>“广西政府采购云”平台合同编号：</w:t>
      </w:r>
    </w:p>
    <w:p w14:paraId="744277BA">
      <w:pPr>
        <w:spacing w:line="360" w:lineRule="auto"/>
        <w:jc w:val="center"/>
        <w:rPr>
          <w:rFonts w:ascii="宋体"/>
          <w:b/>
          <w:bCs/>
          <w:color w:val="auto"/>
          <w:sz w:val="52"/>
          <w:highlight w:val="none"/>
        </w:rPr>
      </w:pPr>
    </w:p>
    <w:p w14:paraId="462EB458">
      <w:pPr>
        <w:spacing w:line="360" w:lineRule="auto"/>
        <w:jc w:val="center"/>
        <w:rPr>
          <w:rFonts w:ascii="宋体"/>
          <w:b/>
          <w:bCs/>
          <w:color w:val="auto"/>
          <w:sz w:val="52"/>
          <w:highlight w:val="none"/>
        </w:rPr>
      </w:pPr>
    </w:p>
    <w:p w14:paraId="3BA577F2">
      <w:pPr>
        <w:spacing w:line="360" w:lineRule="auto"/>
        <w:jc w:val="center"/>
        <w:rPr>
          <w:rFonts w:ascii="宋体"/>
          <w:b/>
          <w:bCs/>
          <w:color w:val="auto"/>
          <w:sz w:val="52"/>
          <w:highlight w:val="none"/>
        </w:rPr>
      </w:pPr>
      <w:r>
        <w:rPr>
          <w:rFonts w:hint="eastAsia" w:ascii="宋体"/>
          <w:b/>
          <w:bCs/>
          <w:color w:val="auto"/>
          <w:sz w:val="52"/>
          <w:highlight w:val="none"/>
        </w:rPr>
        <w:t>南 宁 市 政 府 采 购</w:t>
      </w:r>
    </w:p>
    <w:p w14:paraId="0A81757C">
      <w:pPr>
        <w:spacing w:line="360" w:lineRule="auto"/>
        <w:ind w:firstLine="420" w:firstLineChars="200"/>
        <w:rPr>
          <w:rFonts w:ascii="宋体"/>
          <w:color w:val="auto"/>
          <w:highlight w:val="none"/>
        </w:rPr>
      </w:pPr>
    </w:p>
    <w:p w14:paraId="05288B89">
      <w:pPr>
        <w:spacing w:line="360" w:lineRule="auto"/>
        <w:ind w:firstLine="420" w:firstLineChars="200"/>
        <w:rPr>
          <w:rFonts w:ascii="宋体"/>
          <w:color w:val="auto"/>
          <w:highlight w:val="none"/>
        </w:rPr>
      </w:pPr>
    </w:p>
    <w:p w14:paraId="5B1F8936">
      <w:pPr>
        <w:spacing w:line="360" w:lineRule="auto"/>
        <w:jc w:val="center"/>
        <w:rPr>
          <w:rFonts w:ascii="宋体"/>
          <w:b/>
          <w:bCs/>
          <w:color w:val="auto"/>
          <w:sz w:val="44"/>
          <w:highlight w:val="none"/>
        </w:rPr>
      </w:pPr>
      <w:bookmarkStart w:id="132" w:name="PO_3000001866_PM002_19"/>
      <w:r>
        <w:rPr>
          <w:rFonts w:hint="eastAsia" w:ascii="宋体"/>
          <w:b/>
          <w:bCs/>
          <w:color w:val="auto"/>
          <w:sz w:val="44"/>
          <w:highlight w:val="none"/>
          <w:u w:val="single"/>
        </w:rPr>
        <w:t>[项目采购-项目名称_]</w:t>
      </w:r>
      <w:bookmarkEnd w:id="132"/>
      <w:r>
        <w:rPr>
          <w:rFonts w:hint="eastAsia" w:ascii="宋体"/>
          <w:b/>
          <w:bCs/>
          <w:color w:val="auto"/>
          <w:sz w:val="44"/>
          <w:highlight w:val="none"/>
        </w:rPr>
        <w:t>合同</w:t>
      </w:r>
    </w:p>
    <w:p w14:paraId="51DD0AF8">
      <w:pPr>
        <w:spacing w:line="360" w:lineRule="auto"/>
        <w:jc w:val="center"/>
        <w:rPr>
          <w:rFonts w:ascii="宋体"/>
          <w:b/>
          <w:bCs/>
          <w:color w:val="auto"/>
          <w:sz w:val="44"/>
          <w:highlight w:val="none"/>
        </w:rPr>
      </w:pPr>
    </w:p>
    <w:p w14:paraId="00F41B44">
      <w:pPr>
        <w:spacing w:line="360" w:lineRule="auto"/>
        <w:jc w:val="center"/>
        <w:rPr>
          <w:rFonts w:ascii="宋体"/>
          <w:b/>
          <w:bCs/>
          <w:color w:val="auto"/>
          <w:sz w:val="44"/>
          <w:highlight w:val="none"/>
        </w:rPr>
      </w:pPr>
    </w:p>
    <w:p w14:paraId="61D262B1">
      <w:pPr>
        <w:spacing w:line="240" w:lineRule="auto"/>
        <w:rPr>
          <w:rFonts w:ascii="宋体"/>
          <w:b/>
          <w:bCs/>
          <w:color w:val="auto"/>
          <w:sz w:val="44"/>
          <w:highlight w:val="none"/>
        </w:rPr>
      </w:pPr>
    </w:p>
    <w:p w14:paraId="458FF5A6">
      <w:pPr>
        <w:ind w:firstLine="1995" w:firstLineChars="552"/>
        <w:rPr>
          <w:rFonts w:ascii="宋体" w:hAnsi="宋体"/>
          <w:b/>
          <w:color w:val="auto"/>
          <w:sz w:val="36"/>
          <w:szCs w:val="36"/>
          <w:highlight w:val="none"/>
        </w:rPr>
      </w:pPr>
      <w:r>
        <w:rPr>
          <w:rFonts w:hint="eastAsia" w:ascii="宋体" w:hAnsi="宋体"/>
          <w:b/>
          <w:color w:val="auto"/>
          <w:sz w:val="36"/>
          <w:szCs w:val="36"/>
          <w:highlight w:val="none"/>
        </w:rPr>
        <w:t>项目编号：</w:t>
      </w:r>
      <w:bookmarkStart w:id="133" w:name="PO_3000001866_PM001_15"/>
      <w:r>
        <w:rPr>
          <w:rFonts w:hint="eastAsia" w:ascii="宋体" w:hAnsi="宋体"/>
          <w:b/>
          <w:color w:val="auto"/>
          <w:sz w:val="36"/>
          <w:szCs w:val="36"/>
          <w:highlight w:val="none"/>
          <w:u w:val="single"/>
        </w:rPr>
        <w:t>[项目采购-项目编号_]</w:t>
      </w:r>
      <w:bookmarkEnd w:id="133"/>
    </w:p>
    <w:p w14:paraId="0D230560">
      <w:pPr>
        <w:ind w:firstLine="1995" w:firstLineChars="552"/>
        <w:rPr>
          <w:rFonts w:ascii="宋体" w:hAnsi="宋体"/>
          <w:b/>
          <w:color w:val="auto"/>
          <w:sz w:val="36"/>
          <w:szCs w:val="36"/>
          <w:highlight w:val="none"/>
        </w:rPr>
      </w:pPr>
      <w:r>
        <w:rPr>
          <w:rFonts w:hint="eastAsia" w:ascii="宋体" w:hAnsi="宋体"/>
          <w:b/>
          <w:color w:val="auto"/>
          <w:sz w:val="36"/>
          <w:szCs w:val="36"/>
          <w:highlight w:val="none"/>
        </w:rPr>
        <w:t>计划编号：</w:t>
      </w:r>
      <w:bookmarkStart w:id="134" w:name="PO_3000001866_PM001WMC001"/>
      <w:r>
        <w:rPr>
          <w:rFonts w:hint="eastAsia" w:ascii="宋体" w:hAnsi="宋体"/>
          <w:b/>
          <w:color w:val="auto"/>
          <w:sz w:val="36"/>
          <w:szCs w:val="36"/>
          <w:highlight w:val="none"/>
          <w:u w:val="single"/>
        </w:rPr>
        <w:t>[采购计划文号]</w:t>
      </w:r>
      <w:bookmarkEnd w:id="134"/>
    </w:p>
    <w:p w14:paraId="3AD16114">
      <w:pPr>
        <w:ind w:firstLine="1970" w:firstLineChars="545"/>
        <w:rPr>
          <w:rFonts w:ascii="宋体" w:hAnsi="宋体"/>
          <w:b/>
          <w:color w:val="auto"/>
          <w:sz w:val="36"/>
          <w:szCs w:val="36"/>
          <w:highlight w:val="none"/>
          <w:u w:val="single"/>
        </w:rPr>
      </w:pPr>
    </w:p>
    <w:p w14:paraId="7C8494D4">
      <w:pPr>
        <w:tabs>
          <w:tab w:val="left" w:pos="7200"/>
        </w:tabs>
        <w:spacing w:line="360" w:lineRule="auto"/>
        <w:ind w:firstLine="1995" w:firstLineChars="552"/>
        <w:rPr>
          <w:rFonts w:ascii="宋体" w:hAnsi="宋体"/>
          <w:b/>
          <w:color w:val="auto"/>
          <w:sz w:val="36"/>
          <w:szCs w:val="36"/>
          <w:highlight w:val="none"/>
          <w:u w:val="single"/>
        </w:rPr>
      </w:pPr>
      <w:r>
        <w:rPr>
          <w:rFonts w:hint="eastAsia" w:ascii="宋体" w:hAnsi="宋体"/>
          <w:b/>
          <w:color w:val="auto"/>
          <w:sz w:val="36"/>
          <w:szCs w:val="36"/>
          <w:highlight w:val="none"/>
        </w:rPr>
        <w:t>采购人：</w:t>
      </w:r>
      <w:bookmarkStart w:id="135" w:name="PO_3000001866_PM026_5"/>
      <w:r>
        <w:rPr>
          <w:rFonts w:hint="eastAsia" w:ascii="宋体" w:hAnsi="宋体"/>
          <w:b/>
          <w:color w:val="auto"/>
          <w:sz w:val="36"/>
          <w:szCs w:val="36"/>
          <w:highlight w:val="none"/>
          <w:u w:val="single"/>
        </w:rPr>
        <w:t>[项目采购-采购人_]</w:t>
      </w:r>
      <w:bookmarkEnd w:id="135"/>
    </w:p>
    <w:p w14:paraId="654FA48B">
      <w:pPr>
        <w:tabs>
          <w:tab w:val="left" w:pos="7380"/>
        </w:tabs>
        <w:spacing w:line="360" w:lineRule="auto"/>
        <w:ind w:firstLine="1995" w:firstLineChars="552"/>
        <w:rPr>
          <w:rFonts w:ascii="宋体"/>
          <w:b/>
          <w:bCs/>
          <w:color w:val="auto"/>
          <w:sz w:val="44"/>
          <w:highlight w:val="none"/>
        </w:rPr>
      </w:pPr>
      <w:r>
        <w:rPr>
          <w:rFonts w:hint="eastAsia" w:ascii="宋体" w:hAnsi="宋体"/>
          <w:b/>
          <w:color w:val="auto"/>
          <w:sz w:val="36"/>
          <w:szCs w:val="36"/>
          <w:highlight w:val="none"/>
        </w:rPr>
        <w:t>中标供应商：</w:t>
      </w:r>
    </w:p>
    <w:p w14:paraId="3EA7269C">
      <w:pPr>
        <w:tabs>
          <w:tab w:val="left" w:pos="7380"/>
        </w:tabs>
        <w:spacing w:line="360" w:lineRule="auto"/>
        <w:rPr>
          <w:rFonts w:ascii="宋体"/>
          <w:b/>
          <w:bCs/>
          <w:color w:val="auto"/>
          <w:sz w:val="44"/>
          <w:highlight w:val="none"/>
        </w:rPr>
      </w:pPr>
    </w:p>
    <w:p w14:paraId="32D27BE8">
      <w:pPr>
        <w:spacing w:before="120" w:line="360" w:lineRule="auto"/>
        <w:rPr>
          <w:rFonts w:ascii="方正仿宋_GB2312" w:hAnsi="楷体" w:eastAsia="方正仿宋_GB2312"/>
          <w:color w:val="auto"/>
          <w:sz w:val="24"/>
          <w:highlight w:val="none"/>
        </w:rPr>
      </w:pPr>
    </w:p>
    <w:p w14:paraId="22C4424B">
      <w:pPr>
        <w:spacing w:before="120" w:line="360" w:lineRule="auto"/>
        <w:ind w:firstLine="2280" w:firstLineChars="950"/>
        <w:rPr>
          <w:rFonts w:ascii="宋体"/>
          <w:b/>
          <w:bCs/>
          <w:color w:val="auto"/>
          <w:sz w:val="44"/>
          <w:highlight w:val="none"/>
        </w:rPr>
      </w:pPr>
      <w:r>
        <w:rPr>
          <w:rFonts w:hint="eastAsia" w:ascii="方正仿宋_GB2312" w:hAnsi="楷体" w:eastAsia="方正仿宋_GB2312"/>
          <w:color w:val="auto"/>
          <w:sz w:val="24"/>
          <w:highlight w:val="none"/>
        </w:rPr>
        <w:t>签订日期：年月日</w:t>
      </w:r>
    </w:p>
    <w:p w14:paraId="7516FAC5">
      <w:pPr>
        <w:snapToGrid w:val="0"/>
        <w:spacing w:line="360" w:lineRule="auto"/>
        <w:jc w:val="center"/>
        <w:rPr>
          <w:rFonts w:ascii="方正仿宋_GB2312" w:hAnsi="楷体" w:eastAsia="方正仿宋_GB2312"/>
          <w:b/>
          <w:color w:val="auto"/>
          <w:sz w:val="24"/>
          <w:highlight w:val="none"/>
        </w:rPr>
      </w:pPr>
      <w:r>
        <w:rPr>
          <w:rFonts w:hint="eastAsia" w:ascii="宋体"/>
          <w:b/>
          <w:bCs/>
          <w:color w:val="auto"/>
          <w:sz w:val="44"/>
          <w:highlight w:val="none"/>
        </w:rPr>
        <w:br w:type="page"/>
      </w:r>
      <w:r>
        <w:rPr>
          <w:rFonts w:hint="eastAsia" w:ascii="方正仿宋_GB2312" w:hAnsi="楷体" w:eastAsia="方正仿宋_GB2312"/>
          <w:b/>
          <w:color w:val="auto"/>
          <w:sz w:val="24"/>
          <w:highlight w:val="none"/>
        </w:rPr>
        <w:t>合同目录</w:t>
      </w:r>
    </w:p>
    <w:p w14:paraId="01665496">
      <w:pPr>
        <w:snapToGrid w:val="0"/>
        <w:spacing w:line="360" w:lineRule="auto"/>
        <w:jc w:val="center"/>
        <w:rPr>
          <w:rFonts w:ascii="宋体"/>
          <w:b/>
          <w:bCs/>
          <w:color w:val="auto"/>
          <w:sz w:val="44"/>
          <w:highlight w:val="none"/>
        </w:rPr>
      </w:pPr>
    </w:p>
    <w:p w14:paraId="72AA4786">
      <w:pPr>
        <w:snapToGrid w:val="0"/>
        <w:spacing w:line="360" w:lineRule="auto"/>
        <w:rPr>
          <w:rFonts w:ascii="方正仿宋_GB2312" w:hAnsi="仿宋" w:eastAsia="方正仿宋_GB2312" w:cs="方正仿宋_GB2312"/>
          <w:color w:val="auto"/>
          <w:kern w:val="0"/>
          <w:sz w:val="24"/>
          <w:highlight w:val="none"/>
        </w:rPr>
      </w:pPr>
      <w:r>
        <w:rPr>
          <w:rFonts w:hint="eastAsia" w:ascii="方正仿宋_GB2312" w:hAnsi="仿宋" w:eastAsia="方正仿宋_GB2312" w:cs="方正仿宋_GB2312"/>
          <w:color w:val="auto"/>
          <w:kern w:val="0"/>
          <w:sz w:val="24"/>
          <w:highlight w:val="none"/>
        </w:rPr>
        <w:t>一、</w:t>
      </w:r>
      <w:r>
        <w:rPr>
          <w:rFonts w:hint="eastAsia" w:ascii="方正仿宋_GB2312" w:hAnsi="仿宋" w:eastAsia="方正仿宋_GB2312"/>
          <w:color w:val="auto"/>
          <w:sz w:val="24"/>
          <w:highlight w:val="none"/>
        </w:rPr>
        <w:t>第一部分 合同书</w:t>
      </w:r>
      <w:r>
        <w:rPr>
          <w:rFonts w:hint="eastAsia" w:ascii="方正仿宋_GB2312" w:hAnsi="仿宋" w:eastAsia="方正仿宋_GB2312" w:cs="方正仿宋_GB2312"/>
          <w:color w:val="auto"/>
          <w:kern w:val="0"/>
          <w:sz w:val="24"/>
          <w:highlight w:val="none"/>
        </w:rPr>
        <w:t>……………………………………………………………（页码）</w:t>
      </w:r>
    </w:p>
    <w:p w14:paraId="074487EB">
      <w:pPr>
        <w:snapToGrid w:val="0"/>
        <w:spacing w:line="360" w:lineRule="auto"/>
        <w:rPr>
          <w:rFonts w:ascii="方正仿宋_GB2312" w:hAnsi="仿宋" w:eastAsia="方正仿宋_GB2312" w:cs="方正仿宋_GB2312"/>
          <w:color w:val="auto"/>
          <w:kern w:val="0"/>
          <w:sz w:val="24"/>
          <w:highlight w:val="none"/>
        </w:rPr>
      </w:pPr>
      <w:r>
        <w:rPr>
          <w:rFonts w:hint="eastAsia" w:ascii="方正仿宋_GB2312" w:hAnsi="仿宋" w:eastAsia="方正仿宋_GB2312" w:cs="方正仿宋_GB2312"/>
          <w:color w:val="auto"/>
          <w:kern w:val="0"/>
          <w:sz w:val="24"/>
          <w:highlight w:val="none"/>
        </w:rPr>
        <w:t>二、第二部分 合同一般条款……………………………………………………（页码）</w:t>
      </w:r>
    </w:p>
    <w:p w14:paraId="0A270F88">
      <w:pPr>
        <w:snapToGrid w:val="0"/>
        <w:spacing w:line="360" w:lineRule="auto"/>
        <w:rPr>
          <w:rFonts w:ascii="方正仿宋_GB2312" w:hAnsi="仿宋" w:eastAsia="方正仿宋_GB2312" w:cs="方正仿宋_GB2312"/>
          <w:color w:val="auto"/>
          <w:kern w:val="0"/>
          <w:sz w:val="24"/>
          <w:highlight w:val="none"/>
        </w:rPr>
      </w:pPr>
      <w:r>
        <w:rPr>
          <w:rFonts w:hint="eastAsia" w:ascii="方正仿宋_GB2312" w:hAnsi="仿宋" w:eastAsia="方正仿宋_GB2312" w:cs="方正仿宋_GB2312"/>
          <w:color w:val="auto"/>
          <w:kern w:val="0"/>
          <w:sz w:val="24"/>
          <w:highlight w:val="none"/>
        </w:rPr>
        <w:t>三、第三部分 合同专用条款……………………………………………………（页码）</w:t>
      </w:r>
    </w:p>
    <w:p w14:paraId="154473CA">
      <w:pPr>
        <w:snapToGrid w:val="0"/>
        <w:spacing w:line="360" w:lineRule="auto"/>
        <w:rPr>
          <w:rFonts w:ascii="方正仿宋_GB2312" w:hAnsi="仿宋" w:eastAsia="方正仿宋_GB2312" w:cs="方正仿宋_GB2312"/>
          <w:color w:val="auto"/>
          <w:kern w:val="0"/>
          <w:sz w:val="24"/>
          <w:highlight w:val="none"/>
        </w:rPr>
      </w:pPr>
      <w:r>
        <w:rPr>
          <w:rFonts w:hint="eastAsia" w:ascii="方正仿宋_GB2312" w:hAnsi="仿宋" w:eastAsia="方正仿宋_GB2312" w:cs="方正仿宋_GB2312"/>
          <w:color w:val="auto"/>
          <w:kern w:val="0"/>
          <w:sz w:val="24"/>
          <w:highlight w:val="none"/>
        </w:rPr>
        <w:t>四、</w:t>
      </w:r>
      <w:r>
        <w:rPr>
          <w:rFonts w:hint="eastAsia" w:ascii="方正仿宋_GB2312" w:hAnsi="仿宋" w:eastAsia="方正仿宋_GB2312"/>
          <w:color w:val="auto"/>
          <w:sz w:val="24"/>
          <w:highlight w:val="none"/>
        </w:rPr>
        <w:t>第四部分 合同附件</w:t>
      </w:r>
      <w:r>
        <w:rPr>
          <w:rFonts w:hint="eastAsia" w:ascii="方正仿宋_GB2312" w:hAnsi="仿宋" w:eastAsia="方正仿宋_GB2312" w:cs="方正仿宋_GB2312"/>
          <w:color w:val="auto"/>
          <w:kern w:val="0"/>
          <w:sz w:val="24"/>
          <w:highlight w:val="none"/>
        </w:rPr>
        <w:t>…………………………………………………………（页码）</w:t>
      </w:r>
    </w:p>
    <w:p w14:paraId="0FFEB551">
      <w:pPr>
        <w:snapToGrid w:val="0"/>
        <w:spacing w:line="360" w:lineRule="auto"/>
        <w:rPr>
          <w:rFonts w:ascii="方正仿宋_GB2312" w:hAnsi="仿宋" w:eastAsia="方正仿宋_GB2312" w:cs="方正仿宋_GB2312"/>
          <w:color w:val="auto"/>
          <w:kern w:val="0"/>
          <w:sz w:val="24"/>
          <w:highlight w:val="none"/>
        </w:rPr>
      </w:pPr>
      <w:r>
        <w:rPr>
          <w:rFonts w:hint="eastAsia" w:ascii="方正仿宋_GB2312" w:hAnsi="仿宋" w:eastAsia="方正仿宋_GB2312" w:cs="方正仿宋_GB2312"/>
          <w:color w:val="auto"/>
          <w:kern w:val="0"/>
          <w:sz w:val="24"/>
          <w:highlight w:val="none"/>
        </w:rPr>
        <w:t>4.1中标通知书 …………………………………………………………………（页码）</w:t>
      </w:r>
    </w:p>
    <w:p w14:paraId="7035C33D">
      <w:pPr>
        <w:snapToGrid w:val="0"/>
        <w:spacing w:line="360" w:lineRule="auto"/>
        <w:rPr>
          <w:rFonts w:ascii="方正仿宋_GB2312" w:hAnsi="仿宋" w:eastAsia="方正仿宋_GB2312" w:cs="方正仿宋_GB2312"/>
          <w:color w:val="auto"/>
          <w:kern w:val="0"/>
          <w:sz w:val="24"/>
          <w:highlight w:val="none"/>
        </w:rPr>
      </w:pPr>
      <w:r>
        <w:rPr>
          <w:rFonts w:hint="eastAsia" w:ascii="方正仿宋_GB2312" w:hAnsi="仿宋" w:eastAsia="方正仿宋_GB2312" w:cs="方正仿宋_GB2312"/>
          <w:color w:val="auto"/>
          <w:kern w:val="0"/>
          <w:sz w:val="24"/>
          <w:highlight w:val="none"/>
        </w:rPr>
        <w:t>4.2招标文件服务需求一览表 …………………………………………………（页码）</w:t>
      </w:r>
    </w:p>
    <w:p w14:paraId="3F9A5E57">
      <w:pPr>
        <w:snapToGrid w:val="0"/>
        <w:spacing w:line="360" w:lineRule="auto"/>
        <w:rPr>
          <w:rFonts w:ascii="方正仿宋_GB2312" w:hAnsi="仿宋" w:eastAsia="方正仿宋_GB2312" w:cs="方正仿宋_GB2312"/>
          <w:color w:val="auto"/>
          <w:kern w:val="0"/>
          <w:sz w:val="24"/>
          <w:highlight w:val="none"/>
        </w:rPr>
      </w:pPr>
      <w:r>
        <w:rPr>
          <w:rFonts w:hint="eastAsia" w:ascii="方正仿宋_GB2312" w:hAnsi="仿宋" w:eastAsia="方正仿宋_GB2312" w:cs="方正仿宋_GB2312"/>
          <w:color w:val="auto"/>
          <w:kern w:val="0"/>
          <w:sz w:val="24"/>
          <w:highlight w:val="none"/>
        </w:rPr>
        <w:t>4.3招标文件的更改通知（如有） ……………………………………………（页码）</w:t>
      </w:r>
    </w:p>
    <w:p w14:paraId="2A9087B0">
      <w:pPr>
        <w:snapToGrid w:val="0"/>
        <w:spacing w:line="360" w:lineRule="auto"/>
        <w:rPr>
          <w:rFonts w:ascii="方正仿宋_GB2312" w:hAnsi="仿宋" w:eastAsia="方正仿宋_GB2312" w:cs="方正仿宋_GB2312"/>
          <w:color w:val="auto"/>
          <w:kern w:val="0"/>
          <w:sz w:val="24"/>
          <w:highlight w:val="none"/>
        </w:rPr>
      </w:pPr>
      <w:r>
        <w:rPr>
          <w:rFonts w:hint="eastAsia" w:ascii="方正仿宋_GB2312" w:hAnsi="仿宋" w:eastAsia="方正仿宋_GB2312" w:cs="方正仿宋_GB2312"/>
          <w:color w:val="auto"/>
          <w:kern w:val="0"/>
          <w:sz w:val="24"/>
          <w:highlight w:val="none"/>
        </w:rPr>
        <w:t>4.4投标函 ………………………………………………………………………（页码）</w:t>
      </w:r>
    </w:p>
    <w:p w14:paraId="45318774">
      <w:pPr>
        <w:snapToGrid w:val="0"/>
        <w:spacing w:line="360" w:lineRule="auto"/>
        <w:rPr>
          <w:rFonts w:ascii="方正仿宋_GB2312" w:hAnsi="仿宋" w:eastAsia="方正仿宋_GB2312" w:cs="方正仿宋_GB2312"/>
          <w:color w:val="auto"/>
          <w:kern w:val="0"/>
          <w:sz w:val="24"/>
          <w:highlight w:val="none"/>
        </w:rPr>
      </w:pPr>
      <w:r>
        <w:rPr>
          <w:rFonts w:hint="eastAsia" w:ascii="方正仿宋_GB2312" w:hAnsi="仿宋" w:eastAsia="方正仿宋_GB2312" w:cs="方正仿宋_GB2312"/>
          <w:color w:val="auto"/>
          <w:kern w:val="0"/>
          <w:sz w:val="24"/>
          <w:highlight w:val="none"/>
        </w:rPr>
        <w:t>4.5报价表 ………………………………………………………………………（页码）</w:t>
      </w:r>
    </w:p>
    <w:p w14:paraId="46D5558A">
      <w:pPr>
        <w:snapToGrid w:val="0"/>
        <w:spacing w:line="360" w:lineRule="auto"/>
        <w:rPr>
          <w:rFonts w:ascii="方正仿宋_GB2312" w:hAnsi="仿宋" w:eastAsia="方正仿宋_GB2312" w:cs="方正仿宋_GB2312"/>
          <w:color w:val="auto"/>
          <w:kern w:val="0"/>
          <w:sz w:val="24"/>
          <w:highlight w:val="none"/>
        </w:rPr>
      </w:pPr>
      <w:r>
        <w:rPr>
          <w:rFonts w:hint="eastAsia" w:ascii="方正仿宋_GB2312" w:hAnsi="仿宋" w:eastAsia="方正仿宋_GB2312" w:cs="方正仿宋_GB2312"/>
          <w:color w:val="auto"/>
          <w:kern w:val="0"/>
          <w:sz w:val="24"/>
          <w:highlight w:val="none"/>
        </w:rPr>
        <w:t>4.6投标服务技术资料表 ………………………………………………………（页码）</w:t>
      </w:r>
    </w:p>
    <w:p w14:paraId="33D69DA8">
      <w:pPr>
        <w:snapToGrid w:val="0"/>
        <w:spacing w:line="360" w:lineRule="auto"/>
        <w:rPr>
          <w:rFonts w:ascii="方正仿宋_GB2312" w:hAnsi="仿宋" w:eastAsia="方正仿宋_GB2312" w:cs="方正仿宋_GB2312"/>
          <w:color w:val="auto"/>
          <w:kern w:val="0"/>
          <w:sz w:val="24"/>
          <w:highlight w:val="none"/>
        </w:rPr>
      </w:pPr>
      <w:r>
        <w:rPr>
          <w:rFonts w:hint="eastAsia" w:ascii="方正仿宋_GB2312" w:hAnsi="仿宋" w:eastAsia="方正仿宋_GB2312" w:cs="方正仿宋_GB2312"/>
          <w:color w:val="auto"/>
          <w:kern w:val="0"/>
          <w:sz w:val="24"/>
          <w:highlight w:val="none"/>
        </w:rPr>
        <w:t>4.7商务条款偏离表 ……………………………………………………………（页码）</w:t>
      </w:r>
    </w:p>
    <w:p w14:paraId="33B5FE05">
      <w:pPr>
        <w:snapToGrid w:val="0"/>
        <w:spacing w:line="360" w:lineRule="auto"/>
        <w:rPr>
          <w:rFonts w:ascii="方正仿宋_GB2312" w:hAnsi="仿宋" w:eastAsia="方正仿宋_GB2312" w:cs="方正仿宋_GB2312"/>
          <w:color w:val="auto"/>
          <w:kern w:val="0"/>
          <w:sz w:val="24"/>
          <w:highlight w:val="none"/>
        </w:rPr>
      </w:pPr>
      <w:r>
        <w:rPr>
          <w:rFonts w:hint="eastAsia" w:ascii="方正仿宋_GB2312" w:hAnsi="仿宋" w:eastAsia="方正仿宋_GB2312" w:cs="方正仿宋_GB2312"/>
          <w:color w:val="auto"/>
          <w:kern w:val="0"/>
          <w:sz w:val="24"/>
          <w:highlight w:val="none"/>
        </w:rPr>
        <w:t>4.8中标供应商澄清函（如有请提供） ………………………………………（页码）</w:t>
      </w:r>
    </w:p>
    <w:p w14:paraId="234DDB27">
      <w:pPr>
        <w:snapToGrid w:val="0"/>
        <w:spacing w:line="360" w:lineRule="auto"/>
        <w:rPr>
          <w:rFonts w:ascii="方正仿宋_GB2312" w:hAnsi="仿宋" w:eastAsia="方正仿宋_GB2312" w:cs="方正仿宋_GB2312"/>
          <w:color w:val="auto"/>
          <w:kern w:val="0"/>
          <w:sz w:val="24"/>
          <w:highlight w:val="none"/>
        </w:rPr>
      </w:pPr>
      <w:r>
        <w:rPr>
          <w:rFonts w:hint="eastAsia" w:ascii="方正仿宋_GB2312" w:hAnsi="仿宋" w:eastAsia="方正仿宋_GB2312" w:cs="方正仿宋_GB2312"/>
          <w:color w:val="auto"/>
          <w:kern w:val="0"/>
          <w:sz w:val="24"/>
          <w:highlight w:val="none"/>
        </w:rPr>
        <w:t>4.9其他与本合同相关的资料（如有请提供） ………………………………（页码）</w:t>
      </w:r>
    </w:p>
    <w:p w14:paraId="4C57F4B3">
      <w:pPr>
        <w:snapToGrid w:val="0"/>
        <w:spacing w:line="360" w:lineRule="auto"/>
        <w:rPr>
          <w:rFonts w:ascii="方正仿宋_GB2312" w:hAnsi="仿宋" w:eastAsia="方正仿宋_GB2312" w:cs="方正仿宋_GB2312"/>
          <w:color w:val="auto"/>
          <w:kern w:val="0"/>
          <w:sz w:val="24"/>
          <w:highlight w:val="none"/>
        </w:rPr>
      </w:pPr>
    </w:p>
    <w:p w14:paraId="3C078FBC">
      <w:pPr>
        <w:widowControl/>
        <w:jc w:val="left"/>
        <w:rPr>
          <w:rFonts w:ascii="宋体" w:hAnsi="Courier New"/>
          <w:color w:val="auto"/>
          <w:spacing w:val="-4"/>
          <w:sz w:val="18"/>
          <w:szCs w:val="20"/>
          <w:highlight w:val="none"/>
        </w:rPr>
        <w:sectPr>
          <w:pgSz w:w="11906" w:h="16838"/>
          <w:pgMar w:top="1134" w:right="1134" w:bottom="1134" w:left="1134" w:header="720" w:footer="720" w:gutter="0"/>
          <w:pgNumType w:fmt="decimal"/>
          <w:cols w:space="720" w:num="1"/>
          <w:docGrid w:type="lines" w:linePitch="331" w:charSpace="0"/>
        </w:sectPr>
      </w:pPr>
    </w:p>
    <w:p w14:paraId="4992C59E">
      <w:pPr>
        <w:pStyle w:val="101"/>
        <w:ind w:firstLine="562"/>
        <w:jc w:val="center"/>
        <w:rPr>
          <w:rFonts w:ascii="方正仿宋_GB2312" w:hAnsi="楷体" w:eastAsia="方正仿宋_GB2312"/>
          <w:b/>
          <w:color w:val="auto"/>
          <w:sz w:val="28"/>
          <w:szCs w:val="28"/>
          <w:highlight w:val="none"/>
        </w:rPr>
      </w:pPr>
      <w:r>
        <w:rPr>
          <w:rFonts w:hint="eastAsia" w:ascii="方正仿宋_GB2312" w:hAnsi="楷体" w:eastAsia="方正仿宋_GB2312"/>
          <w:b/>
          <w:color w:val="auto"/>
          <w:sz w:val="28"/>
          <w:szCs w:val="28"/>
          <w:highlight w:val="none"/>
        </w:rPr>
        <w:t>第一部分 合同书</w:t>
      </w:r>
    </w:p>
    <w:p w14:paraId="56B00584">
      <w:pPr>
        <w:spacing w:line="360" w:lineRule="auto"/>
        <w:ind w:firstLine="480" w:firstLineChars="200"/>
        <w:rPr>
          <w:rFonts w:ascii="方正仿宋_GB2312" w:hAnsi="楷体" w:eastAsia="方正仿宋_GB2312"/>
          <w:color w:val="auto"/>
          <w:sz w:val="24"/>
          <w:highlight w:val="none"/>
        </w:rPr>
      </w:pPr>
      <w:r>
        <w:rPr>
          <w:rFonts w:hint="eastAsia" w:ascii="方正仿宋_GB2312" w:hAnsi="楷体" w:eastAsia="方正仿宋_GB2312"/>
          <w:color w:val="auto"/>
          <w:sz w:val="24"/>
          <w:highlight w:val="none"/>
          <w:lang w:val="zh-CN"/>
        </w:rPr>
        <w:t>年月日</w:t>
      </w:r>
      <w:r>
        <w:rPr>
          <w:rFonts w:hint="eastAsia" w:ascii="方正仿宋_GB2312" w:hAnsi="楷体" w:eastAsia="方正仿宋_GB2312"/>
          <w:color w:val="auto"/>
          <w:sz w:val="24"/>
          <w:highlight w:val="none"/>
        </w:rPr>
        <w:t>，</w:t>
      </w:r>
      <w:bookmarkStart w:id="136" w:name="PO_3000001866_PM026_6"/>
      <w:r>
        <w:rPr>
          <w:rFonts w:hint="eastAsia" w:ascii="方正仿宋_GB2312" w:hAnsi="仿宋" w:eastAsia="方正仿宋_GB2312"/>
          <w:color w:val="auto"/>
          <w:sz w:val="24"/>
          <w:highlight w:val="none"/>
          <w:u w:val="single"/>
        </w:rPr>
        <w:t>[项目采购-采购人]</w:t>
      </w:r>
      <w:bookmarkEnd w:id="136"/>
      <w:r>
        <w:rPr>
          <w:rFonts w:hint="eastAsia" w:ascii="方正仿宋_GB2312" w:hAnsi="仿宋" w:eastAsia="方正仿宋_GB2312"/>
          <w:color w:val="auto"/>
          <w:sz w:val="24"/>
          <w:highlight w:val="none"/>
        </w:rPr>
        <w:t>以</w:t>
      </w:r>
      <w:r>
        <w:rPr>
          <w:rFonts w:hint="eastAsia" w:ascii="方正仿宋_GB2312" w:hAnsi="仿宋" w:eastAsia="方正仿宋_GB2312"/>
          <w:color w:val="auto"/>
          <w:sz w:val="24"/>
          <w:highlight w:val="none"/>
          <w:u w:val="single"/>
        </w:rPr>
        <w:t xml:space="preserve">   公开招标方式  </w:t>
      </w:r>
      <w:r>
        <w:rPr>
          <w:rFonts w:hint="eastAsia" w:ascii="方正仿宋_GB2312" w:hAnsi="仿宋" w:eastAsia="方正仿宋_GB2312"/>
          <w:color w:val="auto"/>
          <w:sz w:val="24"/>
          <w:highlight w:val="none"/>
        </w:rPr>
        <w:t>对</w:t>
      </w:r>
      <w:bookmarkStart w:id="137" w:name="PO_3000001866_PM002_20"/>
      <w:r>
        <w:rPr>
          <w:rFonts w:hint="eastAsia" w:ascii="方正仿宋_GB2312" w:hAnsi="仿宋" w:eastAsia="方正仿宋_GB2312"/>
          <w:color w:val="auto"/>
          <w:sz w:val="24"/>
          <w:highlight w:val="none"/>
          <w:u w:val="single"/>
        </w:rPr>
        <w:t>[项目采购-项目名称_20]</w:t>
      </w:r>
      <w:bookmarkEnd w:id="137"/>
      <w:r>
        <w:rPr>
          <w:rFonts w:hint="eastAsia" w:ascii="方正仿宋_GB2312" w:hAnsi="楷体" w:eastAsia="方正仿宋_GB2312"/>
          <w:color w:val="auto"/>
          <w:sz w:val="24"/>
          <w:highlight w:val="none"/>
        </w:rPr>
        <w:t>项目进行了采购。经</w:t>
      </w:r>
      <w:r>
        <w:rPr>
          <w:rFonts w:hint="eastAsia" w:ascii="方正仿宋_GB2312" w:hAnsi="楷体" w:eastAsia="方正仿宋_GB2312"/>
          <w:color w:val="auto"/>
          <w:sz w:val="24"/>
          <w:highlight w:val="none"/>
          <w:u w:val="single"/>
        </w:rPr>
        <w:t xml:space="preserve">   （相关评定主体名称）   </w:t>
      </w:r>
      <w:r>
        <w:rPr>
          <w:rFonts w:hint="eastAsia" w:ascii="方正仿宋_GB2312" w:hAnsi="楷体" w:eastAsia="方正仿宋_GB2312"/>
          <w:color w:val="auto"/>
          <w:sz w:val="24"/>
          <w:highlight w:val="none"/>
        </w:rPr>
        <w:t>评定，</w:t>
      </w:r>
      <w:r>
        <w:rPr>
          <w:rFonts w:hint="eastAsia" w:ascii="方正仿宋_GB2312" w:hAnsi="楷体" w:eastAsia="方正仿宋_GB2312"/>
          <w:color w:val="auto"/>
          <w:sz w:val="24"/>
          <w:highlight w:val="none"/>
          <w:u w:val="single"/>
        </w:rPr>
        <w:t xml:space="preserve">   （中标人名称）</w:t>
      </w:r>
      <w:r>
        <w:rPr>
          <w:rFonts w:hint="eastAsia" w:ascii="方正仿宋_GB2312" w:hAnsi="楷体" w:eastAsia="方正仿宋_GB2312"/>
          <w:color w:val="auto"/>
          <w:sz w:val="24"/>
          <w:highlight w:val="none"/>
        </w:rPr>
        <w:t>为该项目中标人。现于中标通知书发出之日起</w:t>
      </w:r>
      <w:r>
        <w:rPr>
          <w:rFonts w:ascii="方正仿宋_GB2312" w:hAnsi="楷体" w:eastAsia="方正仿宋_GB2312"/>
          <w:color w:val="auto"/>
          <w:sz w:val="24"/>
          <w:highlight w:val="none"/>
          <w:u w:val="single"/>
        </w:rPr>
        <w:t>25</w:t>
      </w:r>
      <w:r>
        <w:rPr>
          <w:rFonts w:hint="eastAsia" w:ascii="方正仿宋_GB2312" w:hAnsi="楷体" w:eastAsia="方正仿宋_GB2312"/>
          <w:color w:val="auto"/>
          <w:sz w:val="24"/>
          <w:highlight w:val="none"/>
        </w:rPr>
        <w:t>日内，按照采购文件确定的事项签订本合同。</w:t>
      </w:r>
    </w:p>
    <w:p w14:paraId="79234053">
      <w:pPr>
        <w:spacing w:line="360" w:lineRule="auto"/>
        <w:ind w:firstLine="480" w:firstLineChars="200"/>
        <w:rPr>
          <w:rFonts w:ascii="方正仿宋_GB2312" w:hAnsi="楷体" w:eastAsia="方正仿宋_GB2312"/>
          <w:color w:val="auto"/>
          <w:sz w:val="24"/>
          <w:highlight w:val="none"/>
        </w:rPr>
      </w:pPr>
      <w:r>
        <w:rPr>
          <w:rFonts w:hint="eastAsia" w:ascii="方正仿宋_GB2312" w:hAnsi="楷体" w:eastAsia="方正仿宋_GB2312"/>
          <w:color w:val="auto"/>
          <w:sz w:val="24"/>
          <w:highlight w:val="none"/>
          <w:lang w:val="zh-CN"/>
        </w:rPr>
        <w:t>根据《中华人民共和国民法典》、《中华人民共和国政府采购法》等相关法律法规之规定，按照平等、自愿、公平和诚实信用的原则，经</w:t>
      </w:r>
      <w:bookmarkStart w:id="138" w:name="PO_3000001866_PM026_7"/>
      <w:r>
        <w:rPr>
          <w:rFonts w:hint="eastAsia" w:ascii="方正仿宋_GB2312" w:hAnsi="楷体" w:eastAsia="方正仿宋_GB2312"/>
          <w:color w:val="auto"/>
          <w:sz w:val="24"/>
          <w:highlight w:val="none"/>
          <w:u w:val="single"/>
        </w:rPr>
        <w:t>[项目采购-采购人]</w:t>
      </w:r>
      <w:bookmarkEnd w:id="138"/>
      <w:r>
        <w:rPr>
          <w:rFonts w:hint="eastAsia" w:ascii="方正仿宋_GB2312" w:hAnsi="楷体" w:eastAsia="方正仿宋_GB2312"/>
          <w:color w:val="auto"/>
          <w:sz w:val="24"/>
          <w:highlight w:val="none"/>
          <w:lang w:val="zh-CN"/>
        </w:rPr>
        <w:t>(以下简称：甲方)和</w:t>
      </w:r>
      <w:r>
        <w:rPr>
          <w:rFonts w:hint="eastAsia" w:ascii="方正仿宋_GB2312" w:hAnsi="楷体" w:eastAsia="方正仿宋_GB2312"/>
          <w:color w:val="auto"/>
          <w:sz w:val="24"/>
          <w:highlight w:val="none"/>
          <w:u w:val="single"/>
        </w:rPr>
        <w:t xml:space="preserve">   （中标人名称）   </w:t>
      </w:r>
      <w:r>
        <w:rPr>
          <w:rFonts w:hint="eastAsia" w:ascii="方正仿宋_GB2312" w:hAnsi="楷体" w:eastAsia="方正仿宋_GB2312"/>
          <w:color w:val="auto"/>
          <w:sz w:val="24"/>
          <w:highlight w:val="none"/>
          <w:lang w:val="zh-CN"/>
        </w:rPr>
        <w:t>(以下简称：乙方)协商一致，约定以下合同</w:t>
      </w:r>
      <w:r>
        <w:rPr>
          <w:rFonts w:hint="eastAsia" w:ascii="方正仿宋_GB2312" w:hAnsi="楷体" w:eastAsia="方正仿宋_GB2312"/>
          <w:color w:val="auto"/>
          <w:sz w:val="24"/>
          <w:highlight w:val="none"/>
        </w:rPr>
        <w:t>条款，以兹共同遵守、全面履行。</w:t>
      </w:r>
    </w:p>
    <w:p w14:paraId="2D2E568A">
      <w:pPr>
        <w:spacing w:line="360" w:lineRule="auto"/>
        <w:ind w:firstLine="482" w:firstLineChars="200"/>
        <w:rPr>
          <w:rFonts w:ascii="方正仿宋_GB2312" w:hAnsi="楷体" w:eastAsia="方正仿宋_GB2312"/>
          <w:b/>
          <w:color w:val="auto"/>
          <w:sz w:val="24"/>
          <w:highlight w:val="none"/>
        </w:rPr>
      </w:pPr>
      <w:bookmarkStart w:id="139" w:name="_Toc24059"/>
      <w:bookmarkStart w:id="140" w:name="_Toc2232"/>
      <w:bookmarkStart w:id="141" w:name="_Toc3029"/>
      <w:r>
        <w:rPr>
          <w:rFonts w:hint="eastAsia" w:ascii="方正仿宋_GB2312" w:hAnsi="楷体" w:eastAsia="方正仿宋_GB2312"/>
          <w:b/>
          <w:color w:val="auto"/>
          <w:sz w:val="24"/>
          <w:highlight w:val="none"/>
        </w:rPr>
        <w:t>1.1 合同组成部分</w:t>
      </w:r>
      <w:bookmarkEnd w:id="139"/>
      <w:bookmarkEnd w:id="140"/>
      <w:bookmarkEnd w:id="141"/>
    </w:p>
    <w:p w14:paraId="71F20817">
      <w:pPr>
        <w:spacing w:line="360" w:lineRule="auto"/>
        <w:ind w:firstLine="480" w:firstLineChars="200"/>
        <w:rPr>
          <w:rFonts w:ascii="方正仿宋_GB2312" w:hAnsi="楷体" w:eastAsia="方正仿宋_GB2312"/>
          <w:color w:val="auto"/>
          <w:sz w:val="24"/>
          <w:highlight w:val="none"/>
        </w:rPr>
      </w:pPr>
      <w:r>
        <w:rPr>
          <w:rFonts w:hint="eastAsia" w:ascii="方正仿宋_GB2312" w:hAnsi="楷体" w:eastAsia="方正仿宋_GB2312"/>
          <w:color w:val="auto"/>
          <w:sz w:val="24"/>
          <w:highlight w:val="none"/>
        </w:rPr>
        <w:t>下列文件为本合同的组成部分，并构成一个整体，需综合解释、相互补充。如果下列文件内容出现不一致的情形，在保证按照采购文件确定的事项的前提下，组成本合同的多个文件的优先适用顺序如下：</w:t>
      </w:r>
    </w:p>
    <w:p w14:paraId="04159F8E">
      <w:pPr>
        <w:spacing w:line="360" w:lineRule="auto"/>
        <w:ind w:firstLine="480" w:firstLineChars="200"/>
        <w:rPr>
          <w:rFonts w:ascii="方正仿宋_GB2312" w:hAnsi="楷体" w:eastAsia="方正仿宋_GB2312"/>
          <w:color w:val="auto"/>
          <w:sz w:val="24"/>
          <w:highlight w:val="none"/>
        </w:rPr>
      </w:pPr>
      <w:r>
        <w:rPr>
          <w:rFonts w:hint="eastAsia" w:ascii="方正仿宋_GB2312" w:hAnsi="楷体" w:eastAsia="方正仿宋_GB2312"/>
          <w:color w:val="auto"/>
          <w:sz w:val="24"/>
          <w:highlight w:val="none"/>
        </w:rPr>
        <w:t>1.1.1 本合同及其补充合同、变更协议；</w:t>
      </w:r>
    </w:p>
    <w:p w14:paraId="5D82F808">
      <w:pPr>
        <w:spacing w:line="360" w:lineRule="auto"/>
        <w:ind w:firstLine="480" w:firstLineChars="200"/>
        <w:rPr>
          <w:rFonts w:ascii="方正仿宋_GB2312" w:hAnsi="楷体" w:eastAsia="方正仿宋_GB2312"/>
          <w:color w:val="auto"/>
          <w:sz w:val="24"/>
          <w:highlight w:val="none"/>
        </w:rPr>
      </w:pPr>
      <w:r>
        <w:rPr>
          <w:rFonts w:hint="eastAsia" w:ascii="方正仿宋_GB2312" w:hAnsi="楷体" w:eastAsia="方正仿宋_GB2312"/>
          <w:color w:val="auto"/>
          <w:sz w:val="24"/>
          <w:highlight w:val="none"/>
        </w:rPr>
        <w:t>1.1.2 中标通知书；</w:t>
      </w:r>
    </w:p>
    <w:p w14:paraId="3D6F49A4">
      <w:pPr>
        <w:spacing w:line="360" w:lineRule="auto"/>
        <w:ind w:firstLine="480" w:firstLineChars="200"/>
        <w:rPr>
          <w:rFonts w:ascii="方正仿宋_GB2312" w:hAnsi="楷体" w:eastAsia="方正仿宋_GB2312"/>
          <w:color w:val="auto"/>
          <w:sz w:val="24"/>
          <w:highlight w:val="none"/>
        </w:rPr>
      </w:pPr>
      <w:r>
        <w:rPr>
          <w:rFonts w:hint="eastAsia" w:ascii="方正仿宋_GB2312" w:hAnsi="楷体" w:eastAsia="方正仿宋_GB2312"/>
          <w:color w:val="auto"/>
          <w:sz w:val="24"/>
          <w:highlight w:val="none"/>
        </w:rPr>
        <w:t>1.1.3 投标文件及“投标报价”（含澄清或者说明文件）；</w:t>
      </w:r>
    </w:p>
    <w:p w14:paraId="0C974286">
      <w:pPr>
        <w:spacing w:line="360" w:lineRule="auto"/>
        <w:ind w:firstLine="480" w:firstLineChars="200"/>
        <w:rPr>
          <w:rFonts w:ascii="方正仿宋_GB2312" w:hAnsi="楷体" w:eastAsia="方正仿宋_GB2312"/>
          <w:color w:val="auto"/>
          <w:sz w:val="24"/>
          <w:highlight w:val="none"/>
        </w:rPr>
      </w:pPr>
      <w:r>
        <w:rPr>
          <w:rFonts w:hint="eastAsia" w:ascii="方正仿宋_GB2312" w:hAnsi="楷体" w:eastAsia="方正仿宋_GB2312"/>
          <w:color w:val="auto"/>
          <w:sz w:val="24"/>
          <w:highlight w:val="none"/>
        </w:rPr>
        <w:t>1.1.4 招标文件（含澄清或者修改文件）；</w:t>
      </w:r>
    </w:p>
    <w:p w14:paraId="591EBBEE">
      <w:pPr>
        <w:spacing w:line="360" w:lineRule="auto"/>
        <w:ind w:firstLine="480" w:firstLineChars="200"/>
        <w:rPr>
          <w:rFonts w:ascii="方正仿宋_GB2312" w:hAnsi="楷体" w:eastAsia="方正仿宋_GB2312"/>
          <w:color w:val="auto"/>
          <w:sz w:val="24"/>
          <w:highlight w:val="none"/>
        </w:rPr>
      </w:pPr>
      <w:r>
        <w:rPr>
          <w:rFonts w:hint="eastAsia" w:ascii="方正仿宋_GB2312" w:hAnsi="楷体" w:eastAsia="方正仿宋_GB2312"/>
          <w:color w:val="auto"/>
          <w:sz w:val="24"/>
          <w:highlight w:val="none"/>
        </w:rPr>
        <w:t>1.1.5 其他相关采购文件。</w:t>
      </w:r>
    </w:p>
    <w:p w14:paraId="0EA7F7BB">
      <w:pPr>
        <w:spacing w:line="360" w:lineRule="auto"/>
        <w:ind w:firstLine="482" w:firstLineChars="200"/>
        <w:rPr>
          <w:rFonts w:ascii="方正仿宋_GB2312" w:hAnsi="楷体" w:eastAsia="方正仿宋_GB2312"/>
          <w:b/>
          <w:color w:val="auto"/>
          <w:sz w:val="24"/>
          <w:highlight w:val="none"/>
        </w:rPr>
      </w:pPr>
      <w:bookmarkStart w:id="142" w:name="_Toc24300"/>
      <w:bookmarkStart w:id="143" w:name="_Toc27126"/>
      <w:bookmarkStart w:id="144" w:name="_Toc21295"/>
      <w:r>
        <w:rPr>
          <w:rFonts w:hint="eastAsia" w:ascii="方正仿宋_GB2312" w:hAnsi="楷体" w:eastAsia="方正仿宋_GB2312"/>
          <w:b/>
          <w:color w:val="auto"/>
          <w:sz w:val="24"/>
          <w:highlight w:val="none"/>
        </w:rPr>
        <w:t>1.2 标的物</w:t>
      </w:r>
      <w:bookmarkEnd w:id="142"/>
      <w:bookmarkEnd w:id="143"/>
      <w:bookmarkEnd w:id="144"/>
    </w:p>
    <w:p w14:paraId="49AE2329">
      <w:pPr>
        <w:spacing w:line="360" w:lineRule="auto"/>
        <w:ind w:firstLine="480" w:firstLineChars="200"/>
        <w:rPr>
          <w:rFonts w:ascii="方正仿宋_GB2312" w:hAnsi="楷体" w:eastAsia="方正仿宋_GB2312"/>
          <w:color w:val="auto"/>
          <w:sz w:val="24"/>
          <w:highlight w:val="none"/>
        </w:rPr>
      </w:pPr>
      <w:r>
        <w:rPr>
          <w:rFonts w:hint="eastAsia" w:ascii="方正仿宋_GB2312" w:hAnsi="楷体" w:eastAsia="方正仿宋_GB2312"/>
          <w:color w:val="auto"/>
          <w:sz w:val="24"/>
          <w:highlight w:val="none"/>
        </w:rPr>
        <w:t>1.2.1 标的物1信息</w:t>
      </w:r>
    </w:p>
    <w:p w14:paraId="271B1843">
      <w:pPr>
        <w:spacing w:line="360" w:lineRule="auto"/>
        <w:ind w:firstLine="480" w:firstLineChars="200"/>
        <w:rPr>
          <w:rFonts w:ascii="方正仿宋_GB2312" w:hAnsi="楷体" w:eastAsia="方正仿宋_GB2312"/>
          <w:color w:val="auto"/>
          <w:sz w:val="24"/>
          <w:highlight w:val="none"/>
          <w:u w:val="single"/>
        </w:rPr>
      </w:pPr>
      <w:r>
        <w:rPr>
          <w:rFonts w:hint="eastAsia" w:ascii="方正仿宋_GB2312" w:hAnsi="楷体" w:eastAsia="方正仿宋_GB2312"/>
          <w:color w:val="auto"/>
          <w:sz w:val="24"/>
          <w:highlight w:val="none"/>
        </w:rPr>
        <w:t>1.2.1.1名称：；</w:t>
      </w:r>
    </w:p>
    <w:p w14:paraId="5ACC0AEB">
      <w:pPr>
        <w:spacing w:line="360" w:lineRule="auto"/>
        <w:ind w:firstLine="480" w:firstLineChars="200"/>
        <w:rPr>
          <w:rFonts w:ascii="方正仿宋_GB2312" w:hAnsi="楷体" w:eastAsia="方正仿宋_GB2312"/>
          <w:color w:val="auto"/>
          <w:sz w:val="24"/>
          <w:highlight w:val="none"/>
          <w:u w:val="single"/>
        </w:rPr>
      </w:pPr>
      <w:r>
        <w:rPr>
          <w:rFonts w:hint="eastAsia" w:ascii="方正仿宋_GB2312" w:hAnsi="楷体" w:eastAsia="方正仿宋_GB2312"/>
          <w:color w:val="auto"/>
          <w:sz w:val="24"/>
          <w:highlight w:val="none"/>
        </w:rPr>
        <w:t>1.2.1.2数量：；</w:t>
      </w:r>
    </w:p>
    <w:p w14:paraId="6CE67A51">
      <w:pPr>
        <w:spacing w:line="360" w:lineRule="auto"/>
        <w:ind w:firstLine="480" w:firstLineChars="200"/>
        <w:rPr>
          <w:rFonts w:ascii="方正仿宋_GB2312" w:hAnsi="楷体" w:eastAsia="方正仿宋_GB2312"/>
          <w:color w:val="auto"/>
          <w:sz w:val="24"/>
          <w:highlight w:val="none"/>
        </w:rPr>
      </w:pPr>
      <w:r>
        <w:rPr>
          <w:rFonts w:hint="eastAsia" w:ascii="方正仿宋_GB2312" w:hAnsi="楷体" w:eastAsia="方正仿宋_GB2312"/>
          <w:color w:val="auto"/>
          <w:sz w:val="24"/>
          <w:highlight w:val="none"/>
        </w:rPr>
        <w:t>1.2.1.3质量：</w:t>
      </w:r>
      <w:r>
        <w:rPr>
          <w:rFonts w:hint="eastAsia" w:ascii="方正仿宋_GB2312" w:hAnsi="楷体" w:eastAsia="方正仿宋_GB2312"/>
          <w:color w:val="auto"/>
          <w:sz w:val="24"/>
          <w:highlight w:val="none"/>
          <w:u w:val="single"/>
        </w:rPr>
        <w:t xml:space="preserve">　                                      </w:t>
      </w:r>
      <w:r>
        <w:rPr>
          <w:rFonts w:hint="eastAsia" w:ascii="方正仿宋_GB2312" w:hAnsi="楷体" w:eastAsia="方正仿宋_GB2312"/>
          <w:color w:val="auto"/>
          <w:sz w:val="24"/>
          <w:highlight w:val="none"/>
        </w:rPr>
        <w:t>。</w:t>
      </w:r>
    </w:p>
    <w:p w14:paraId="38EC5C32">
      <w:pPr>
        <w:spacing w:line="360" w:lineRule="auto"/>
        <w:ind w:firstLine="480" w:firstLineChars="200"/>
        <w:rPr>
          <w:rFonts w:ascii="方正仿宋_GB2312" w:hAnsi="楷体" w:eastAsia="方正仿宋_GB2312"/>
          <w:color w:val="auto"/>
          <w:sz w:val="24"/>
          <w:highlight w:val="none"/>
        </w:rPr>
      </w:pPr>
      <w:r>
        <w:rPr>
          <w:rFonts w:hint="eastAsia" w:ascii="方正仿宋_GB2312" w:hAnsi="楷体" w:eastAsia="方正仿宋_GB2312"/>
          <w:color w:val="auto"/>
          <w:sz w:val="24"/>
          <w:highlight w:val="none"/>
        </w:rPr>
        <w:t>……</w:t>
      </w:r>
    </w:p>
    <w:p w14:paraId="0B4B0B5C">
      <w:pPr>
        <w:spacing w:line="360" w:lineRule="auto"/>
        <w:ind w:firstLine="482" w:firstLineChars="200"/>
        <w:rPr>
          <w:rFonts w:ascii="方正仿宋_GB2312" w:hAnsi="楷体" w:eastAsia="方正仿宋_GB2312"/>
          <w:b/>
          <w:color w:val="auto"/>
          <w:sz w:val="24"/>
          <w:highlight w:val="none"/>
        </w:rPr>
      </w:pPr>
      <w:bookmarkStart w:id="145" w:name="_Toc23292"/>
      <w:bookmarkStart w:id="146" w:name="_Toc21551"/>
      <w:bookmarkStart w:id="147" w:name="_Toc21631"/>
      <w:r>
        <w:rPr>
          <w:rFonts w:hint="eastAsia" w:ascii="方正仿宋_GB2312" w:hAnsi="楷体" w:eastAsia="方正仿宋_GB2312"/>
          <w:b/>
          <w:color w:val="auto"/>
          <w:sz w:val="24"/>
          <w:highlight w:val="none"/>
        </w:rPr>
        <w:t>1.3 价款</w:t>
      </w:r>
      <w:bookmarkEnd w:id="145"/>
      <w:bookmarkEnd w:id="146"/>
      <w:bookmarkEnd w:id="147"/>
    </w:p>
    <w:p w14:paraId="3CE138BF">
      <w:pPr>
        <w:spacing w:line="360" w:lineRule="auto"/>
        <w:ind w:firstLine="480" w:firstLineChars="200"/>
        <w:rPr>
          <w:rFonts w:ascii="方正仿宋_GB2312" w:hAnsi="楷体" w:eastAsia="方正仿宋_GB2312"/>
          <w:color w:val="auto"/>
          <w:sz w:val="24"/>
          <w:highlight w:val="none"/>
        </w:rPr>
      </w:pPr>
      <w:r>
        <w:rPr>
          <w:rFonts w:hint="eastAsia" w:ascii="方正仿宋_GB2312" w:hAnsi="楷体" w:eastAsia="方正仿宋_GB2312"/>
          <w:color w:val="auto"/>
          <w:sz w:val="24"/>
          <w:highlight w:val="none"/>
        </w:rPr>
        <w:t>本合同总价为：人民币元（大写：元人民币，含税）。</w:t>
      </w:r>
    </w:p>
    <w:p w14:paraId="6D929536">
      <w:pPr>
        <w:spacing w:line="360" w:lineRule="auto"/>
        <w:ind w:firstLine="480" w:firstLineChars="200"/>
        <w:rPr>
          <w:rFonts w:ascii="方正仿宋_GB2312" w:hAnsi="楷体" w:eastAsia="方正仿宋_GB2312"/>
          <w:color w:val="auto"/>
          <w:sz w:val="24"/>
          <w:highlight w:val="none"/>
          <w:u w:val="single"/>
        </w:rPr>
      </w:pPr>
      <w:r>
        <w:rPr>
          <w:rFonts w:hint="eastAsia" w:ascii="方正仿宋_GB2312" w:hAnsi="楷体" w:eastAsia="方正仿宋_GB2312"/>
          <w:color w:val="auto"/>
          <w:sz w:val="24"/>
          <w:highlight w:val="none"/>
        </w:rPr>
        <w:t>分项价格：</w:t>
      </w:r>
    </w:p>
    <w:tbl>
      <w:tblPr>
        <w:tblStyle w:val="37"/>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201"/>
        <w:gridCol w:w="3402"/>
        <w:gridCol w:w="2552"/>
      </w:tblGrid>
      <w:tr w14:paraId="508700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1201" w:type="dxa"/>
            <w:tcBorders>
              <w:top w:val="single" w:color="auto" w:sz="4" w:space="0"/>
              <w:left w:val="single" w:color="auto" w:sz="4" w:space="0"/>
              <w:bottom w:val="single" w:color="auto" w:sz="4" w:space="0"/>
              <w:right w:val="single" w:color="auto" w:sz="4" w:space="0"/>
            </w:tcBorders>
            <w:vAlign w:val="center"/>
          </w:tcPr>
          <w:p w14:paraId="4974A1B1">
            <w:pPr>
              <w:keepNext w:val="0"/>
              <w:keepLines w:val="0"/>
              <w:suppressLineNumbers w:val="0"/>
              <w:spacing w:before="0" w:beforeAutospacing="0" w:after="0" w:afterAutospacing="0" w:line="360" w:lineRule="auto"/>
              <w:ind w:left="0" w:right="0" w:firstLine="480" w:firstLineChars="200"/>
              <w:rPr>
                <w:rFonts w:hint="default" w:ascii="方正仿宋_GB2312" w:hAnsi="楷体" w:eastAsia="方正仿宋_GB2312"/>
                <w:color w:val="auto"/>
                <w:sz w:val="24"/>
                <w:highlight w:val="none"/>
              </w:rPr>
            </w:pPr>
            <w:r>
              <w:rPr>
                <w:rFonts w:hint="eastAsia" w:ascii="方正仿宋_GB2312" w:hAnsi="楷体" w:eastAsia="方正仿宋_GB2312"/>
                <w:color w:val="auto"/>
                <w:sz w:val="24"/>
                <w:highlight w:val="none"/>
              </w:rPr>
              <w:t>序号</w:t>
            </w:r>
          </w:p>
        </w:tc>
        <w:tc>
          <w:tcPr>
            <w:tcW w:w="3402" w:type="dxa"/>
            <w:tcBorders>
              <w:top w:val="single" w:color="auto" w:sz="4" w:space="0"/>
              <w:left w:val="single" w:color="auto" w:sz="4" w:space="0"/>
              <w:bottom w:val="single" w:color="auto" w:sz="4" w:space="0"/>
              <w:right w:val="single" w:color="auto" w:sz="4" w:space="0"/>
            </w:tcBorders>
            <w:vAlign w:val="center"/>
          </w:tcPr>
          <w:p w14:paraId="5AEBC00F">
            <w:pPr>
              <w:keepNext w:val="0"/>
              <w:keepLines w:val="0"/>
              <w:suppressLineNumbers w:val="0"/>
              <w:spacing w:before="0" w:beforeAutospacing="0" w:after="0" w:afterAutospacing="0" w:line="360" w:lineRule="auto"/>
              <w:ind w:left="0" w:right="0" w:firstLine="480" w:firstLineChars="200"/>
              <w:rPr>
                <w:rFonts w:hint="default" w:ascii="方正仿宋_GB2312" w:hAnsi="楷体" w:eastAsia="方正仿宋_GB2312"/>
                <w:color w:val="auto"/>
                <w:sz w:val="24"/>
                <w:highlight w:val="none"/>
              </w:rPr>
            </w:pPr>
            <w:r>
              <w:rPr>
                <w:rFonts w:hint="eastAsia" w:ascii="方正仿宋_GB2312" w:hAnsi="楷体" w:eastAsia="方正仿宋_GB2312"/>
                <w:color w:val="auto"/>
                <w:sz w:val="24"/>
                <w:highlight w:val="none"/>
              </w:rPr>
              <w:t>分项名称</w:t>
            </w:r>
          </w:p>
        </w:tc>
        <w:tc>
          <w:tcPr>
            <w:tcW w:w="2552" w:type="dxa"/>
            <w:tcBorders>
              <w:top w:val="single" w:color="auto" w:sz="4" w:space="0"/>
              <w:left w:val="single" w:color="auto" w:sz="4" w:space="0"/>
              <w:bottom w:val="single" w:color="auto" w:sz="4" w:space="0"/>
              <w:right w:val="single" w:color="auto" w:sz="4" w:space="0"/>
            </w:tcBorders>
            <w:vAlign w:val="center"/>
          </w:tcPr>
          <w:p w14:paraId="45C7DCE0">
            <w:pPr>
              <w:keepNext w:val="0"/>
              <w:keepLines w:val="0"/>
              <w:suppressLineNumbers w:val="0"/>
              <w:spacing w:before="0" w:beforeAutospacing="0" w:after="0" w:afterAutospacing="0" w:line="360" w:lineRule="auto"/>
              <w:ind w:left="0" w:right="0" w:firstLine="480" w:firstLineChars="200"/>
              <w:rPr>
                <w:rFonts w:hint="default" w:ascii="方正仿宋_GB2312" w:hAnsi="楷体" w:eastAsia="方正仿宋_GB2312"/>
                <w:color w:val="auto"/>
                <w:sz w:val="24"/>
                <w:highlight w:val="none"/>
              </w:rPr>
            </w:pPr>
            <w:r>
              <w:rPr>
                <w:rFonts w:hint="eastAsia" w:ascii="方正仿宋_GB2312" w:hAnsi="楷体" w:eastAsia="方正仿宋_GB2312"/>
                <w:color w:val="auto"/>
                <w:sz w:val="24"/>
                <w:highlight w:val="none"/>
              </w:rPr>
              <w:t>分项价格</w:t>
            </w:r>
          </w:p>
        </w:tc>
      </w:tr>
      <w:tr w14:paraId="17CFD6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1201" w:type="dxa"/>
            <w:tcBorders>
              <w:top w:val="single" w:color="auto" w:sz="4" w:space="0"/>
              <w:left w:val="single" w:color="auto" w:sz="4" w:space="0"/>
              <w:bottom w:val="single" w:color="auto" w:sz="4" w:space="0"/>
              <w:right w:val="single" w:color="auto" w:sz="4" w:space="0"/>
            </w:tcBorders>
            <w:vAlign w:val="center"/>
          </w:tcPr>
          <w:p w14:paraId="71030C3B">
            <w:pPr>
              <w:keepNext w:val="0"/>
              <w:keepLines w:val="0"/>
              <w:suppressLineNumbers w:val="0"/>
              <w:spacing w:before="0" w:beforeAutospacing="0" w:after="0" w:afterAutospacing="0" w:line="360" w:lineRule="auto"/>
              <w:ind w:left="0" w:right="0" w:firstLine="480" w:firstLineChars="200"/>
              <w:rPr>
                <w:rFonts w:hint="default" w:ascii="方正仿宋_GB2312" w:hAnsi="楷体" w:eastAsia="方正仿宋_GB2312"/>
                <w:color w:val="auto"/>
                <w:sz w:val="24"/>
                <w:highlight w:val="none"/>
              </w:rPr>
            </w:pPr>
          </w:p>
        </w:tc>
        <w:tc>
          <w:tcPr>
            <w:tcW w:w="3402" w:type="dxa"/>
            <w:tcBorders>
              <w:top w:val="single" w:color="auto" w:sz="4" w:space="0"/>
              <w:left w:val="single" w:color="auto" w:sz="4" w:space="0"/>
              <w:bottom w:val="single" w:color="auto" w:sz="4" w:space="0"/>
              <w:right w:val="single" w:color="auto" w:sz="4" w:space="0"/>
            </w:tcBorders>
            <w:vAlign w:val="center"/>
          </w:tcPr>
          <w:p w14:paraId="2E8C7B2D">
            <w:pPr>
              <w:keepNext w:val="0"/>
              <w:keepLines w:val="0"/>
              <w:suppressLineNumbers w:val="0"/>
              <w:spacing w:before="0" w:beforeAutospacing="0" w:after="0" w:afterAutospacing="0" w:line="360" w:lineRule="auto"/>
              <w:ind w:left="0" w:right="0" w:firstLine="480" w:firstLineChars="200"/>
              <w:rPr>
                <w:rFonts w:hint="default" w:ascii="方正仿宋_GB2312" w:hAnsi="楷体" w:eastAsia="方正仿宋_GB2312"/>
                <w:color w:val="auto"/>
                <w:sz w:val="24"/>
                <w:highlight w:val="none"/>
              </w:rPr>
            </w:pPr>
          </w:p>
        </w:tc>
        <w:tc>
          <w:tcPr>
            <w:tcW w:w="2552" w:type="dxa"/>
            <w:tcBorders>
              <w:top w:val="single" w:color="auto" w:sz="4" w:space="0"/>
              <w:left w:val="single" w:color="auto" w:sz="4" w:space="0"/>
              <w:bottom w:val="single" w:color="auto" w:sz="4" w:space="0"/>
              <w:right w:val="single" w:color="auto" w:sz="4" w:space="0"/>
            </w:tcBorders>
            <w:vAlign w:val="center"/>
          </w:tcPr>
          <w:p w14:paraId="2621A40B">
            <w:pPr>
              <w:keepNext w:val="0"/>
              <w:keepLines w:val="0"/>
              <w:suppressLineNumbers w:val="0"/>
              <w:spacing w:before="0" w:beforeAutospacing="0" w:after="0" w:afterAutospacing="0" w:line="360" w:lineRule="auto"/>
              <w:ind w:left="0" w:right="0" w:firstLine="480" w:firstLineChars="200"/>
              <w:rPr>
                <w:rFonts w:hint="default" w:ascii="方正仿宋_GB2312" w:hAnsi="楷体" w:eastAsia="方正仿宋_GB2312"/>
                <w:color w:val="auto"/>
                <w:sz w:val="24"/>
                <w:highlight w:val="none"/>
              </w:rPr>
            </w:pPr>
          </w:p>
        </w:tc>
      </w:tr>
      <w:tr w14:paraId="0CD72D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1201" w:type="dxa"/>
            <w:tcBorders>
              <w:top w:val="single" w:color="auto" w:sz="4" w:space="0"/>
              <w:left w:val="single" w:color="auto" w:sz="4" w:space="0"/>
              <w:bottom w:val="single" w:color="auto" w:sz="4" w:space="0"/>
              <w:right w:val="single" w:color="auto" w:sz="4" w:space="0"/>
            </w:tcBorders>
            <w:vAlign w:val="center"/>
          </w:tcPr>
          <w:p w14:paraId="100FEC94">
            <w:pPr>
              <w:keepNext w:val="0"/>
              <w:keepLines w:val="0"/>
              <w:suppressLineNumbers w:val="0"/>
              <w:spacing w:before="0" w:beforeAutospacing="0" w:after="0" w:afterAutospacing="0" w:line="360" w:lineRule="auto"/>
              <w:ind w:left="0" w:right="0" w:firstLine="480" w:firstLineChars="200"/>
              <w:rPr>
                <w:rFonts w:hint="default" w:ascii="方正仿宋_GB2312" w:hAnsi="楷体" w:eastAsia="方正仿宋_GB2312"/>
                <w:color w:val="auto"/>
                <w:sz w:val="24"/>
                <w:highlight w:val="none"/>
              </w:rPr>
            </w:pPr>
          </w:p>
        </w:tc>
        <w:tc>
          <w:tcPr>
            <w:tcW w:w="3402" w:type="dxa"/>
            <w:tcBorders>
              <w:top w:val="single" w:color="auto" w:sz="4" w:space="0"/>
              <w:left w:val="single" w:color="auto" w:sz="4" w:space="0"/>
              <w:bottom w:val="single" w:color="auto" w:sz="4" w:space="0"/>
              <w:right w:val="single" w:color="auto" w:sz="4" w:space="0"/>
            </w:tcBorders>
            <w:vAlign w:val="center"/>
          </w:tcPr>
          <w:p w14:paraId="5B592887">
            <w:pPr>
              <w:keepNext w:val="0"/>
              <w:keepLines w:val="0"/>
              <w:suppressLineNumbers w:val="0"/>
              <w:spacing w:before="0" w:beforeAutospacing="0" w:after="0" w:afterAutospacing="0" w:line="360" w:lineRule="auto"/>
              <w:ind w:left="0" w:right="0" w:firstLine="480" w:firstLineChars="200"/>
              <w:rPr>
                <w:rFonts w:hint="default" w:ascii="方正仿宋_GB2312" w:hAnsi="楷体" w:eastAsia="方正仿宋_GB2312"/>
                <w:color w:val="auto"/>
                <w:sz w:val="24"/>
                <w:highlight w:val="none"/>
              </w:rPr>
            </w:pPr>
          </w:p>
        </w:tc>
        <w:tc>
          <w:tcPr>
            <w:tcW w:w="2552" w:type="dxa"/>
            <w:tcBorders>
              <w:top w:val="single" w:color="auto" w:sz="4" w:space="0"/>
              <w:left w:val="single" w:color="auto" w:sz="4" w:space="0"/>
              <w:bottom w:val="single" w:color="auto" w:sz="4" w:space="0"/>
              <w:right w:val="single" w:color="auto" w:sz="4" w:space="0"/>
            </w:tcBorders>
            <w:vAlign w:val="center"/>
          </w:tcPr>
          <w:p w14:paraId="58DA0943">
            <w:pPr>
              <w:keepNext w:val="0"/>
              <w:keepLines w:val="0"/>
              <w:suppressLineNumbers w:val="0"/>
              <w:spacing w:before="0" w:beforeAutospacing="0" w:after="0" w:afterAutospacing="0" w:line="360" w:lineRule="auto"/>
              <w:ind w:left="0" w:right="0" w:firstLine="480" w:firstLineChars="200"/>
              <w:rPr>
                <w:rFonts w:hint="default" w:ascii="方正仿宋_GB2312" w:hAnsi="楷体" w:eastAsia="方正仿宋_GB2312"/>
                <w:color w:val="auto"/>
                <w:sz w:val="24"/>
                <w:highlight w:val="none"/>
              </w:rPr>
            </w:pPr>
          </w:p>
        </w:tc>
      </w:tr>
      <w:tr w14:paraId="07DEE5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1201" w:type="dxa"/>
            <w:tcBorders>
              <w:top w:val="single" w:color="auto" w:sz="4" w:space="0"/>
              <w:left w:val="single" w:color="auto" w:sz="4" w:space="0"/>
              <w:bottom w:val="single" w:color="auto" w:sz="4" w:space="0"/>
              <w:right w:val="single" w:color="auto" w:sz="4" w:space="0"/>
            </w:tcBorders>
            <w:vAlign w:val="center"/>
          </w:tcPr>
          <w:p w14:paraId="173DD2CC">
            <w:pPr>
              <w:keepNext w:val="0"/>
              <w:keepLines w:val="0"/>
              <w:suppressLineNumbers w:val="0"/>
              <w:spacing w:before="0" w:beforeAutospacing="0" w:after="0" w:afterAutospacing="0" w:line="360" w:lineRule="auto"/>
              <w:ind w:left="0" w:right="0" w:firstLine="480" w:firstLineChars="200"/>
              <w:rPr>
                <w:rFonts w:hint="default" w:ascii="方正仿宋_GB2312" w:hAnsi="楷体" w:eastAsia="方正仿宋_GB2312"/>
                <w:color w:val="auto"/>
                <w:sz w:val="24"/>
                <w:highlight w:val="none"/>
              </w:rPr>
            </w:pPr>
          </w:p>
        </w:tc>
        <w:tc>
          <w:tcPr>
            <w:tcW w:w="3402" w:type="dxa"/>
            <w:tcBorders>
              <w:top w:val="single" w:color="auto" w:sz="4" w:space="0"/>
              <w:left w:val="single" w:color="auto" w:sz="4" w:space="0"/>
              <w:bottom w:val="single" w:color="auto" w:sz="4" w:space="0"/>
              <w:right w:val="single" w:color="auto" w:sz="4" w:space="0"/>
            </w:tcBorders>
            <w:vAlign w:val="center"/>
          </w:tcPr>
          <w:p w14:paraId="35F7F901">
            <w:pPr>
              <w:keepNext w:val="0"/>
              <w:keepLines w:val="0"/>
              <w:suppressLineNumbers w:val="0"/>
              <w:spacing w:before="0" w:beforeAutospacing="0" w:after="0" w:afterAutospacing="0" w:line="360" w:lineRule="auto"/>
              <w:ind w:left="0" w:right="0" w:firstLine="480" w:firstLineChars="200"/>
              <w:rPr>
                <w:rFonts w:hint="default" w:ascii="方正仿宋_GB2312" w:hAnsi="楷体" w:eastAsia="方正仿宋_GB2312"/>
                <w:color w:val="auto"/>
                <w:sz w:val="24"/>
                <w:highlight w:val="none"/>
              </w:rPr>
            </w:pPr>
          </w:p>
        </w:tc>
        <w:tc>
          <w:tcPr>
            <w:tcW w:w="2552" w:type="dxa"/>
            <w:tcBorders>
              <w:top w:val="single" w:color="auto" w:sz="4" w:space="0"/>
              <w:left w:val="single" w:color="auto" w:sz="4" w:space="0"/>
              <w:bottom w:val="single" w:color="auto" w:sz="4" w:space="0"/>
              <w:right w:val="single" w:color="auto" w:sz="4" w:space="0"/>
            </w:tcBorders>
            <w:vAlign w:val="center"/>
          </w:tcPr>
          <w:p w14:paraId="20718583">
            <w:pPr>
              <w:keepNext w:val="0"/>
              <w:keepLines w:val="0"/>
              <w:suppressLineNumbers w:val="0"/>
              <w:spacing w:before="0" w:beforeAutospacing="0" w:after="0" w:afterAutospacing="0" w:line="360" w:lineRule="auto"/>
              <w:ind w:left="0" w:right="0" w:firstLine="480" w:firstLineChars="200"/>
              <w:rPr>
                <w:rFonts w:hint="default" w:ascii="方正仿宋_GB2312" w:hAnsi="楷体" w:eastAsia="方正仿宋_GB2312"/>
                <w:color w:val="auto"/>
                <w:sz w:val="24"/>
                <w:highlight w:val="none"/>
              </w:rPr>
            </w:pPr>
          </w:p>
        </w:tc>
      </w:tr>
      <w:tr w14:paraId="0E7A6C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4603" w:type="dxa"/>
            <w:gridSpan w:val="2"/>
            <w:tcBorders>
              <w:top w:val="single" w:color="auto" w:sz="4" w:space="0"/>
              <w:left w:val="single" w:color="auto" w:sz="4" w:space="0"/>
              <w:bottom w:val="single" w:color="auto" w:sz="4" w:space="0"/>
              <w:right w:val="single" w:color="auto" w:sz="4" w:space="0"/>
            </w:tcBorders>
            <w:vAlign w:val="center"/>
          </w:tcPr>
          <w:p w14:paraId="74664F34">
            <w:pPr>
              <w:keepNext w:val="0"/>
              <w:keepLines w:val="0"/>
              <w:suppressLineNumbers w:val="0"/>
              <w:spacing w:before="0" w:beforeAutospacing="0" w:after="0" w:afterAutospacing="0" w:line="360" w:lineRule="auto"/>
              <w:ind w:left="0" w:right="0" w:firstLine="480" w:firstLineChars="200"/>
              <w:rPr>
                <w:rFonts w:hint="default" w:ascii="方正仿宋_GB2312" w:hAnsi="楷体" w:eastAsia="方正仿宋_GB2312"/>
                <w:color w:val="auto"/>
                <w:sz w:val="24"/>
                <w:highlight w:val="none"/>
              </w:rPr>
            </w:pPr>
            <w:r>
              <w:rPr>
                <w:rFonts w:hint="eastAsia" w:ascii="方正仿宋_GB2312" w:hAnsi="楷体" w:eastAsia="方正仿宋_GB2312"/>
                <w:color w:val="auto"/>
                <w:sz w:val="24"/>
                <w:highlight w:val="none"/>
              </w:rPr>
              <w:t>总价</w:t>
            </w:r>
          </w:p>
        </w:tc>
        <w:tc>
          <w:tcPr>
            <w:tcW w:w="2552" w:type="dxa"/>
            <w:tcBorders>
              <w:top w:val="single" w:color="auto" w:sz="4" w:space="0"/>
              <w:left w:val="single" w:color="auto" w:sz="4" w:space="0"/>
              <w:bottom w:val="single" w:color="auto" w:sz="4" w:space="0"/>
              <w:right w:val="single" w:color="auto" w:sz="4" w:space="0"/>
            </w:tcBorders>
            <w:vAlign w:val="center"/>
          </w:tcPr>
          <w:p w14:paraId="5D8D403D">
            <w:pPr>
              <w:keepNext w:val="0"/>
              <w:keepLines w:val="0"/>
              <w:suppressLineNumbers w:val="0"/>
              <w:spacing w:before="0" w:beforeAutospacing="0" w:after="0" w:afterAutospacing="0" w:line="360" w:lineRule="auto"/>
              <w:ind w:left="0" w:right="0" w:firstLine="480" w:firstLineChars="200"/>
              <w:rPr>
                <w:rFonts w:hint="default" w:ascii="方正仿宋_GB2312" w:hAnsi="楷体" w:eastAsia="方正仿宋_GB2312"/>
                <w:color w:val="auto"/>
                <w:sz w:val="24"/>
                <w:highlight w:val="none"/>
              </w:rPr>
            </w:pPr>
          </w:p>
        </w:tc>
      </w:tr>
    </w:tbl>
    <w:p w14:paraId="7B2CF33A">
      <w:pPr>
        <w:spacing w:line="360" w:lineRule="auto"/>
        <w:ind w:firstLine="482" w:firstLineChars="200"/>
        <w:rPr>
          <w:rFonts w:ascii="方正仿宋_GB2312" w:hAnsi="楷体" w:eastAsia="方正仿宋_GB2312"/>
          <w:b/>
          <w:color w:val="auto"/>
          <w:sz w:val="24"/>
          <w:highlight w:val="none"/>
        </w:rPr>
      </w:pPr>
      <w:bookmarkStart w:id="148" w:name="_Toc22618"/>
      <w:bookmarkStart w:id="149" w:name="_Toc1814"/>
      <w:bookmarkStart w:id="150" w:name="_Toc10340"/>
      <w:r>
        <w:rPr>
          <w:rFonts w:hint="eastAsia" w:ascii="方正仿宋_GB2312" w:hAnsi="楷体" w:eastAsia="方正仿宋_GB2312"/>
          <w:b/>
          <w:color w:val="auto"/>
          <w:sz w:val="24"/>
          <w:highlight w:val="none"/>
        </w:rPr>
        <w:t>1.4 付款方式和发票开具方式</w:t>
      </w:r>
      <w:bookmarkEnd w:id="148"/>
      <w:bookmarkEnd w:id="149"/>
      <w:bookmarkEnd w:id="150"/>
    </w:p>
    <w:p w14:paraId="0DEB16DB">
      <w:pPr>
        <w:spacing w:line="360" w:lineRule="auto"/>
        <w:ind w:firstLine="480" w:firstLineChars="200"/>
        <w:rPr>
          <w:rFonts w:ascii="方正仿宋_GB2312" w:hAnsi="楷体" w:eastAsia="方正仿宋_GB2312"/>
          <w:color w:val="auto"/>
          <w:sz w:val="24"/>
          <w:highlight w:val="none"/>
        </w:rPr>
      </w:pPr>
      <w:r>
        <w:rPr>
          <w:rFonts w:hint="eastAsia" w:ascii="方正仿宋_GB2312" w:hAnsi="楷体" w:eastAsia="方正仿宋_GB2312"/>
          <w:color w:val="auto"/>
          <w:sz w:val="24"/>
          <w:highlight w:val="none"/>
        </w:rPr>
        <w:t>1.4.1 付款方式：；</w:t>
      </w:r>
    </w:p>
    <w:p w14:paraId="44C01CA1">
      <w:pPr>
        <w:spacing w:line="360" w:lineRule="auto"/>
        <w:ind w:firstLine="480" w:firstLineChars="200"/>
        <w:rPr>
          <w:rFonts w:ascii="方正仿宋_GB2312" w:hAnsi="楷体" w:eastAsia="方正仿宋_GB2312"/>
          <w:color w:val="auto"/>
          <w:sz w:val="24"/>
          <w:highlight w:val="none"/>
        </w:rPr>
      </w:pPr>
      <w:r>
        <w:rPr>
          <w:rFonts w:hint="eastAsia" w:ascii="方正仿宋_GB2312" w:hAnsi="楷体" w:eastAsia="方正仿宋_GB2312"/>
          <w:color w:val="auto"/>
          <w:sz w:val="24"/>
          <w:highlight w:val="none"/>
        </w:rPr>
        <w:t>1.4.2 发票开具方式：。</w:t>
      </w:r>
    </w:p>
    <w:p w14:paraId="50351004">
      <w:pPr>
        <w:spacing w:line="360" w:lineRule="auto"/>
        <w:ind w:firstLine="482" w:firstLineChars="200"/>
        <w:rPr>
          <w:rFonts w:ascii="方正仿宋_GB2312" w:hAnsi="楷体" w:eastAsia="方正仿宋_GB2312"/>
          <w:b/>
          <w:color w:val="auto"/>
          <w:sz w:val="24"/>
          <w:highlight w:val="none"/>
        </w:rPr>
      </w:pPr>
      <w:bookmarkStart w:id="151" w:name="_Toc32071"/>
      <w:bookmarkStart w:id="152" w:name="_Toc19304"/>
      <w:bookmarkStart w:id="153" w:name="_Toc2846"/>
      <w:r>
        <w:rPr>
          <w:rFonts w:hint="eastAsia" w:ascii="方正仿宋_GB2312" w:hAnsi="楷体" w:eastAsia="方正仿宋_GB2312"/>
          <w:b/>
          <w:color w:val="auto"/>
          <w:sz w:val="24"/>
          <w:highlight w:val="none"/>
        </w:rPr>
        <w:t>1.5 标的物交付期限、地点、方式</w:t>
      </w:r>
      <w:bookmarkEnd w:id="151"/>
      <w:bookmarkEnd w:id="152"/>
      <w:bookmarkEnd w:id="153"/>
      <w:r>
        <w:rPr>
          <w:rFonts w:hint="eastAsia" w:ascii="方正仿宋_GB2312" w:hAnsi="楷体" w:eastAsia="方正仿宋_GB2312"/>
          <w:b/>
          <w:color w:val="auto"/>
          <w:sz w:val="24"/>
          <w:highlight w:val="none"/>
        </w:rPr>
        <w:t>和服务期限</w:t>
      </w:r>
    </w:p>
    <w:p w14:paraId="0AED6FCD">
      <w:pPr>
        <w:spacing w:line="360" w:lineRule="auto"/>
        <w:ind w:firstLine="480" w:firstLineChars="200"/>
        <w:rPr>
          <w:rFonts w:ascii="方正仿宋_GB2312" w:hAnsi="楷体" w:eastAsia="方正仿宋_GB2312"/>
          <w:color w:val="auto"/>
          <w:sz w:val="24"/>
          <w:highlight w:val="none"/>
          <w:u w:val="single"/>
        </w:rPr>
      </w:pPr>
      <w:r>
        <w:rPr>
          <w:rFonts w:hint="eastAsia" w:ascii="方正仿宋_GB2312" w:hAnsi="楷体" w:eastAsia="方正仿宋_GB2312"/>
          <w:color w:val="auto"/>
          <w:sz w:val="24"/>
          <w:highlight w:val="none"/>
        </w:rPr>
        <w:t>1.5.1 交付期限：</w:t>
      </w:r>
      <w:r>
        <w:rPr>
          <w:rFonts w:hint="eastAsia" w:ascii="方正仿宋_GB2312" w:hAnsi="楷体" w:eastAsia="方正仿宋_GB2312"/>
          <w:color w:val="auto"/>
          <w:sz w:val="24"/>
          <w:highlight w:val="none"/>
          <w:u w:val="single"/>
        </w:rPr>
        <w:t xml:space="preserve">                                                 ；</w:t>
      </w:r>
    </w:p>
    <w:p w14:paraId="33B27583">
      <w:pPr>
        <w:spacing w:line="360" w:lineRule="auto"/>
        <w:ind w:firstLine="480" w:firstLineChars="200"/>
        <w:rPr>
          <w:rFonts w:ascii="方正仿宋_GB2312" w:hAnsi="楷体" w:eastAsia="方正仿宋_GB2312"/>
          <w:color w:val="auto"/>
          <w:sz w:val="24"/>
          <w:highlight w:val="none"/>
        </w:rPr>
      </w:pPr>
      <w:r>
        <w:rPr>
          <w:rFonts w:hint="eastAsia" w:ascii="方正仿宋_GB2312" w:hAnsi="楷体" w:eastAsia="方正仿宋_GB2312"/>
          <w:color w:val="auto"/>
          <w:sz w:val="24"/>
          <w:highlight w:val="none"/>
        </w:rPr>
        <w:t>1.5.2 交付地点：；</w:t>
      </w:r>
    </w:p>
    <w:p w14:paraId="6B761BAC">
      <w:pPr>
        <w:spacing w:line="360" w:lineRule="auto"/>
        <w:ind w:firstLine="480" w:firstLineChars="200"/>
        <w:rPr>
          <w:rFonts w:ascii="方正仿宋_GB2312" w:hAnsi="楷体" w:eastAsia="方正仿宋_GB2312"/>
          <w:color w:val="auto"/>
          <w:sz w:val="24"/>
          <w:highlight w:val="none"/>
        </w:rPr>
      </w:pPr>
      <w:r>
        <w:rPr>
          <w:rFonts w:hint="eastAsia" w:ascii="方正仿宋_GB2312" w:hAnsi="楷体" w:eastAsia="方正仿宋_GB2312"/>
          <w:color w:val="auto"/>
          <w:sz w:val="24"/>
          <w:highlight w:val="none"/>
        </w:rPr>
        <w:t>1.5.3 交付方式：</w:t>
      </w:r>
      <w:r>
        <w:rPr>
          <w:rFonts w:hint="eastAsia" w:ascii="方正仿宋_GB2312" w:hAnsi="楷体" w:eastAsia="方正仿宋_GB2312"/>
          <w:color w:val="auto"/>
          <w:sz w:val="24"/>
          <w:highlight w:val="none"/>
          <w:u w:val="single"/>
        </w:rPr>
        <w:t xml:space="preserve">                                        　      </w:t>
      </w:r>
      <w:r>
        <w:rPr>
          <w:rFonts w:hint="eastAsia" w:ascii="方正仿宋_GB2312" w:hAnsi="楷体" w:eastAsia="方正仿宋_GB2312"/>
          <w:color w:val="auto"/>
          <w:sz w:val="24"/>
          <w:highlight w:val="none"/>
        </w:rPr>
        <w:t>；</w:t>
      </w:r>
    </w:p>
    <w:p w14:paraId="6B592A98">
      <w:pPr>
        <w:spacing w:line="360" w:lineRule="auto"/>
        <w:ind w:firstLine="480" w:firstLineChars="200"/>
        <w:rPr>
          <w:rFonts w:ascii="方正仿宋_GB2312" w:hAnsi="楷体" w:eastAsia="方正仿宋_GB2312"/>
          <w:color w:val="auto"/>
          <w:sz w:val="24"/>
          <w:highlight w:val="none"/>
        </w:rPr>
      </w:pPr>
      <w:r>
        <w:rPr>
          <w:rFonts w:hint="eastAsia" w:ascii="方正仿宋_GB2312" w:hAnsi="楷体" w:eastAsia="方正仿宋_GB2312"/>
          <w:color w:val="auto"/>
          <w:sz w:val="24"/>
          <w:highlight w:val="none"/>
        </w:rPr>
        <w:t>1.5.4 服务及质保期限：。</w:t>
      </w:r>
    </w:p>
    <w:p w14:paraId="5889EE8E">
      <w:pPr>
        <w:spacing w:line="360" w:lineRule="auto"/>
        <w:ind w:firstLine="482" w:firstLineChars="200"/>
        <w:rPr>
          <w:rFonts w:ascii="方正仿宋_GB2312" w:hAnsi="楷体" w:eastAsia="方正仿宋_GB2312"/>
          <w:b/>
          <w:color w:val="auto"/>
          <w:sz w:val="24"/>
          <w:highlight w:val="none"/>
        </w:rPr>
      </w:pPr>
      <w:bookmarkStart w:id="154" w:name="_Toc27250"/>
      <w:bookmarkStart w:id="155" w:name="_Toc19554"/>
      <w:bookmarkStart w:id="156" w:name="_Toc21423"/>
      <w:r>
        <w:rPr>
          <w:rFonts w:hint="eastAsia" w:ascii="方正仿宋_GB2312" w:hAnsi="楷体" w:eastAsia="方正仿宋_GB2312"/>
          <w:b/>
          <w:color w:val="auto"/>
          <w:sz w:val="24"/>
          <w:highlight w:val="none"/>
        </w:rPr>
        <w:t>1.6 违约责任</w:t>
      </w:r>
      <w:bookmarkEnd w:id="154"/>
      <w:bookmarkEnd w:id="155"/>
      <w:bookmarkEnd w:id="156"/>
    </w:p>
    <w:p w14:paraId="54220C68">
      <w:pPr>
        <w:spacing w:line="360" w:lineRule="auto"/>
        <w:ind w:firstLine="480" w:firstLineChars="200"/>
        <w:rPr>
          <w:rFonts w:ascii="方正仿宋_GB2312" w:hAnsi="楷体" w:eastAsia="方正仿宋_GB2312"/>
          <w:color w:val="auto"/>
          <w:sz w:val="24"/>
          <w:highlight w:val="none"/>
        </w:rPr>
      </w:pPr>
      <w:r>
        <w:rPr>
          <w:rFonts w:hint="eastAsia" w:ascii="方正仿宋_GB2312" w:hAnsi="楷体" w:eastAsia="方正仿宋_GB2312"/>
          <w:color w:val="auto"/>
          <w:sz w:val="24"/>
          <w:highlight w:val="none"/>
        </w:rPr>
        <w:t>1.6.1 除不可抗力外，如果乙方没有按照本合同约定的期限、地点和方式交付标的物，甲方可要求乙方支付违约金，违约金按每迟延交付标的物一日的应交付而未交付标的物价格的万分之五计算，最高限额为本合同总价的</w:t>
      </w:r>
      <w:r>
        <w:rPr>
          <w:rFonts w:ascii="方正仿宋_GB2312" w:hAnsi="楷体" w:eastAsia="方正仿宋_GB2312"/>
          <w:color w:val="auto"/>
          <w:sz w:val="24"/>
          <w:highlight w:val="none"/>
          <w:u w:val="single"/>
        </w:rPr>
        <w:t>20</w:t>
      </w:r>
      <w:r>
        <w:rPr>
          <w:rFonts w:hint="eastAsia" w:ascii="方正仿宋_GB2312" w:hAnsi="楷体" w:eastAsia="方正仿宋_GB2312"/>
          <w:color w:val="auto"/>
          <w:sz w:val="24"/>
          <w:highlight w:val="none"/>
        </w:rPr>
        <w:t>%；迟延超过【</w:t>
      </w:r>
      <w:r>
        <w:rPr>
          <w:rFonts w:ascii="方正仿宋_GB2312" w:hAnsi="楷体" w:eastAsia="方正仿宋_GB2312"/>
          <w:color w:val="auto"/>
          <w:sz w:val="24"/>
          <w:highlight w:val="none"/>
        </w:rPr>
        <w:t>7</w:t>
      </w:r>
      <w:r>
        <w:rPr>
          <w:rFonts w:hint="eastAsia" w:ascii="方正仿宋_GB2312" w:hAnsi="楷体" w:eastAsia="方正仿宋_GB2312"/>
          <w:color w:val="auto"/>
          <w:sz w:val="24"/>
          <w:highlight w:val="none"/>
        </w:rPr>
        <w:t>】日的，甲方有权在要求乙方支付违约金的同时，书面通知乙方解除本合同，乙方应退回全部已收取的合同价款并按合同总金额的</w:t>
      </w:r>
      <w:r>
        <w:rPr>
          <w:rFonts w:ascii="方正仿宋_GB2312" w:hAnsi="楷体" w:eastAsia="方正仿宋_GB2312"/>
          <w:color w:val="auto"/>
          <w:sz w:val="24"/>
          <w:highlight w:val="none"/>
        </w:rPr>
        <w:t>20</w:t>
      </w:r>
      <w:r>
        <w:rPr>
          <w:rFonts w:hint="eastAsia" w:ascii="方正仿宋_GB2312" w:hAnsi="楷体" w:eastAsia="方正仿宋_GB2312"/>
          <w:color w:val="auto"/>
          <w:sz w:val="24"/>
          <w:highlight w:val="none"/>
        </w:rPr>
        <w:t>%向甲方支付违约金；</w:t>
      </w:r>
    </w:p>
    <w:p w14:paraId="60ABC5CF">
      <w:pPr>
        <w:spacing w:line="360" w:lineRule="auto"/>
        <w:ind w:firstLine="480" w:firstLineChars="200"/>
        <w:rPr>
          <w:rFonts w:ascii="方正仿宋_GB2312" w:hAnsi="楷体" w:eastAsia="方正仿宋_GB2312"/>
          <w:color w:val="auto"/>
          <w:sz w:val="24"/>
          <w:highlight w:val="none"/>
        </w:rPr>
      </w:pPr>
      <w:r>
        <w:rPr>
          <w:rFonts w:hint="eastAsia" w:ascii="方正仿宋_GB2312" w:hAnsi="楷体" w:eastAsia="方正仿宋_GB2312"/>
          <w:color w:val="auto"/>
          <w:sz w:val="24"/>
          <w:highlight w:val="none"/>
        </w:rPr>
        <w:t>1.6.2 除不可抗力外，如果甲方没有按照本合同约定的付款方式付款</w:t>
      </w:r>
      <w:r>
        <w:rPr>
          <w:rFonts w:hint="eastAsia" w:ascii="宋体" w:hAnsi="宋体" w:cs="宋体"/>
          <w:color w:val="auto"/>
          <w:sz w:val="24"/>
          <w:highlight w:val="none"/>
        </w:rPr>
        <w:t>且经过乙方书面提醒的</w:t>
      </w:r>
      <w:r>
        <w:rPr>
          <w:rFonts w:hint="eastAsia" w:ascii="方正仿宋_GB2312" w:hAnsi="楷体" w:eastAsia="方正仿宋_GB2312"/>
          <w:color w:val="auto"/>
          <w:sz w:val="24"/>
          <w:highlight w:val="none"/>
        </w:rPr>
        <w:t>，乙方可要求甲方支付违约金，违约金按每迟延付款一日的应付而未付款的万分之五计算，最高限额为欠付金额的</w:t>
      </w:r>
      <w:r>
        <w:rPr>
          <w:rFonts w:ascii="方正仿宋_GB2312" w:hAnsi="楷体" w:eastAsia="方正仿宋_GB2312"/>
          <w:color w:val="auto"/>
          <w:sz w:val="24"/>
          <w:highlight w:val="none"/>
          <w:u w:val="single"/>
        </w:rPr>
        <w:t>20</w:t>
      </w:r>
      <w:r>
        <w:rPr>
          <w:rFonts w:hint="eastAsia" w:ascii="方正仿宋_GB2312" w:hAnsi="楷体" w:eastAsia="方正仿宋_GB2312"/>
          <w:color w:val="auto"/>
          <w:sz w:val="24"/>
          <w:highlight w:val="none"/>
        </w:rPr>
        <w:t>%；迟延付款的违约金计算数额达到前述最高限额之日起，乙方有权在要求甲方支付违约金的同时，书面通知甲方解除本合同；</w:t>
      </w:r>
    </w:p>
    <w:p w14:paraId="5809AEFF">
      <w:pPr>
        <w:spacing w:line="360" w:lineRule="auto"/>
        <w:ind w:firstLine="480" w:firstLineChars="200"/>
        <w:rPr>
          <w:rFonts w:ascii="方正仿宋_GB2312" w:hAnsi="楷体" w:eastAsia="方正仿宋_GB2312"/>
          <w:color w:val="auto"/>
          <w:sz w:val="24"/>
          <w:highlight w:val="none"/>
        </w:rPr>
      </w:pPr>
      <w:r>
        <w:rPr>
          <w:rFonts w:hint="eastAsia" w:ascii="方正仿宋_GB2312" w:hAnsi="楷体" w:eastAsia="方正仿宋_GB2312"/>
          <w:color w:val="auto"/>
          <w:sz w:val="24"/>
          <w:highlight w:val="none"/>
        </w:rPr>
        <w:t>1.6.3 除不可抗力外，任何一方未能履行本合同约定的其他主要义务，经催告后在合理期限内仍未履行的，或者任何一方有其他违约行为致使不能实现合同目的的，或者任何一方有腐败行为（即：提供或给予或接受或索取任何财物或其他好处或者采取其他不正当手段影响对方当事人在合同签订、履行过程中的行为）或者欺诈行为（即：以谎报事实或者隐瞒真相的方法来影响对方当事人在合同签订、履行过程中的行为）的，对方当事人可以书面通知违约方解除本合同；</w:t>
      </w:r>
    </w:p>
    <w:p w14:paraId="0B897652">
      <w:pPr>
        <w:spacing w:line="360" w:lineRule="auto"/>
        <w:ind w:firstLine="480" w:firstLineChars="200"/>
        <w:rPr>
          <w:rFonts w:ascii="方正仿宋_GB2312" w:hAnsi="楷体" w:eastAsia="方正仿宋_GB2312"/>
          <w:color w:val="auto"/>
          <w:sz w:val="24"/>
          <w:highlight w:val="none"/>
        </w:rPr>
      </w:pPr>
      <w:r>
        <w:rPr>
          <w:rFonts w:hint="eastAsia" w:ascii="方正仿宋_GB2312" w:hAnsi="楷体" w:eastAsia="方正仿宋_GB2312"/>
          <w:color w:val="auto"/>
          <w:sz w:val="24"/>
          <w:highlight w:val="none"/>
        </w:rPr>
        <w:t>1.6.4乙方在质保期内未按承诺提供售后等服务的，每发生一次向甲方支付违约金额</w:t>
      </w:r>
      <w:r>
        <w:rPr>
          <w:rFonts w:ascii="方正仿宋_GB2312" w:hAnsi="楷体" w:eastAsia="方正仿宋_GB2312"/>
          <w:color w:val="auto"/>
          <w:sz w:val="24"/>
          <w:highlight w:val="none"/>
          <w:u w:val="single"/>
        </w:rPr>
        <w:t>2000</w:t>
      </w:r>
      <w:r>
        <w:rPr>
          <w:rFonts w:hint="eastAsia" w:ascii="方正仿宋_GB2312" w:hAnsi="楷体" w:eastAsia="方正仿宋_GB2312"/>
          <w:color w:val="auto"/>
          <w:sz w:val="24"/>
          <w:highlight w:val="none"/>
        </w:rPr>
        <w:t>元。</w:t>
      </w:r>
    </w:p>
    <w:p w14:paraId="5A8E92DB">
      <w:pPr>
        <w:spacing w:line="360" w:lineRule="auto"/>
        <w:ind w:firstLine="480" w:firstLineChars="200"/>
        <w:rPr>
          <w:rFonts w:ascii="方正仿宋_GB2312" w:hAnsi="楷体" w:eastAsia="方正仿宋_GB2312"/>
          <w:color w:val="auto"/>
          <w:sz w:val="24"/>
          <w:highlight w:val="none"/>
        </w:rPr>
      </w:pPr>
      <w:r>
        <w:rPr>
          <w:rFonts w:hint="eastAsia" w:ascii="方正仿宋_GB2312" w:hAnsi="楷体" w:eastAsia="方正仿宋_GB2312"/>
          <w:color w:val="auto"/>
          <w:sz w:val="24"/>
          <w:highlight w:val="none"/>
        </w:rPr>
        <w:t>1.6.5 任何一方按照前述约定要求违约方支付违约金的同时，仍有权要求违约方继续履行合同、采取补救措施，并有权按照己方实际损失情况要求违约方赔偿损失；任何一方按照前述约定要求解除本合同的同时，仍有权要求违约方支付违约金和按照己方实际损失情况要求违约方赔偿损失；且守约方行使的任何权利救济方式均不视为其放弃了其他法定或者约定的权利救济方式；</w:t>
      </w:r>
    </w:p>
    <w:p w14:paraId="39115BA2">
      <w:pPr>
        <w:spacing w:line="360" w:lineRule="auto"/>
        <w:ind w:firstLine="480" w:firstLineChars="200"/>
        <w:rPr>
          <w:rFonts w:ascii="方正仿宋_GB2312" w:hAnsi="楷体" w:eastAsia="方正仿宋_GB2312"/>
          <w:color w:val="auto"/>
          <w:sz w:val="24"/>
          <w:highlight w:val="none"/>
        </w:rPr>
      </w:pPr>
      <w:r>
        <w:rPr>
          <w:rFonts w:hint="eastAsia" w:ascii="方正仿宋_GB2312" w:hAnsi="楷体" w:eastAsia="方正仿宋_GB2312"/>
          <w:color w:val="auto"/>
          <w:sz w:val="24"/>
          <w:highlight w:val="none"/>
        </w:rPr>
        <w:t>1.6.6 除前述约定外，除不可抗力外，任何一方未能履行本合同约定的义务，对方当事人均有权要求继续履行、采取补救措施或者赔偿损失等，且对方当事人行使的任何权利救济方式均不视为其放弃了其他法定或者约定的权利救济方式；</w:t>
      </w:r>
    </w:p>
    <w:p w14:paraId="32413047">
      <w:pPr>
        <w:spacing w:line="360" w:lineRule="auto"/>
        <w:ind w:firstLine="480" w:firstLineChars="200"/>
        <w:rPr>
          <w:rFonts w:ascii="方正仿宋_GB2312" w:hAnsi="楷体" w:eastAsia="方正仿宋_GB2312"/>
          <w:color w:val="auto"/>
          <w:sz w:val="24"/>
          <w:highlight w:val="none"/>
        </w:rPr>
      </w:pPr>
      <w:r>
        <w:rPr>
          <w:rFonts w:hint="eastAsia" w:ascii="方正仿宋_GB2312" w:hAnsi="楷体" w:eastAsia="方正仿宋_GB2312"/>
          <w:color w:val="auto"/>
          <w:sz w:val="24"/>
          <w:highlight w:val="none"/>
        </w:rPr>
        <w:t>1.6.7 如果出现政府采购监督管理部门在处理投诉事项期间，书面通知甲方暂停采购活动的情形，或者询问或质疑事项可能影响中标结果的，导致甲方中止履行合同的情形，均不视为甲方违约。</w:t>
      </w:r>
    </w:p>
    <w:p w14:paraId="521B3E1A">
      <w:pPr>
        <w:spacing w:line="360" w:lineRule="auto"/>
        <w:ind w:firstLine="482" w:firstLineChars="200"/>
        <w:rPr>
          <w:rFonts w:ascii="方正仿宋_GB2312" w:hAnsi="楷体" w:eastAsia="方正仿宋_GB2312"/>
          <w:b/>
          <w:color w:val="auto"/>
          <w:sz w:val="24"/>
          <w:highlight w:val="none"/>
        </w:rPr>
      </w:pPr>
      <w:bookmarkStart w:id="157" w:name="_Toc15583"/>
      <w:bookmarkStart w:id="158" w:name="_Toc28375"/>
      <w:bookmarkStart w:id="159" w:name="_Toc16021"/>
      <w:r>
        <w:rPr>
          <w:rFonts w:hint="eastAsia" w:ascii="方正仿宋_GB2312" w:hAnsi="楷体" w:eastAsia="方正仿宋_GB2312"/>
          <w:b/>
          <w:color w:val="auto"/>
          <w:sz w:val="24"/>
          <w:highlight w:val="none"/>
        </w:rPr>
        <w:t>1.7 合同争议的解决</w:t>
      </w:r>
      <w:bookmarkEnd w:id="157"/>
      <w:bookmarkEnd w:id="158"/>
      <w:bookmarkEnd w:id="159"/>
    </w:p>
    <w:p w14:paraId="50B1632A">
      <w:pPr>
        <w:spacing w:line="360" w:lineRule="auto"/>
        <w:ind w:firstLine="480" w:firstLineChars="200"/>
        <w:rPr>
          <w:rFonts w:ascii="方正仿宋_GB2312" w:hAnsi="楷体" w:eastAsia="方正仿宋_GB2312"/>
          <w:color w:val="auto"/>
          <w:sz w:val="24"/>
          <w:highlight w:val="none"/>
        </w:rPr>
      </w:pPr>
      <w:r>
        <w:rPr>
          <w:rFonts w:hint="eastAsia" w:ascii="方正仿宋_GB2312" w:hAnsi="楷体" w:eastAsia="方正仿宋_GB2312"/>
          <w:color w:val="auto"/>
          <w:sz w:val="24"/>
          <w:highlight w:val="none"/>
        </w:rPr>
        <w:t>本合同履行过程中发生的任何争议，双方当事人均应通过友好协商的方式和解或者调解解决；不愿和解、调解或者和解、调解不成的，可以选择下列第</w:t>
      </w:r>
      <w:r>
        <w:rPr>
          <w:rFonts w:ascii="方正仿宋_GB2312" w:hAnsi="楷体" w:eastAsia="方正仿宋_GB2312"/>
          <w:color w:val="auto"/>
          <w:sz w:val="24"/>
          <w:highlight w:val="none"/>
          <w:u w:val="single"/>
        </w:rPr>
        <w:t>1.7.2</w:t>
      </w:r>
      <w:r>
        <w:rPr>
          <w:rFonts w:hint="eastAsia" w:ascii="方正仿宋_GB2312" w:hAnsi="楷体" w:eastAsia="方正仿宋_GB2312"/>
          <w:color w:val="auto"/>
          <w:sz w:val="24"/>
          <w:highlight w:val="none"/>
        </w:rPr>
        <w:t>种方式解决：</w:t>
      </w:r>
    </w:p>
    <w:p w14:paraId="05E384B5">
      <w:pPr>
        <w:spacing w:line="360" w:lineRule="auto"/>
        <w:ind w:firstLine="480" w:firstLineChars="200"/>
        <w:rPr>
          <w:rFonts w:ascii="方正仿宋_GB2312" w:hAnsi="楷体" w:eastAsia="方正仿宋_GB2312"/>
          <w:color w:val="auto"/>
          <w:sz w:val="24"/>
          <w:highlight w:val="none"/>
        </w:rPr>
      </w:pPr>
      <w:r>
        <w:rPr>
          <w:rFonts w:hint="eastAsia" w:ascii="方正仿宋_GB2312" w:hAnsi="楷体" w:eastAsia="方正仿宋_GB2312"/>
          <w:color w:val="auto"/>
          <w:sz w:val="24"/>
          <w:highlight w:val="none"/>
        </w:rPr>
        <w:t>1.7.1 将争议提交</w:t>
      </w:r>
      <w:r>
        <w:rPr>
          <w:rFonts w:hint="eastAsia" w:ascii="方正仿宋_GB2312" w:hAnsi="楷体" w:eastAsia="方正仿宋_GB2312"/>
          <w:color w:val="auto"/>
          <w:sz w:val="24"/>
          <w:highlight w:val="none"/>
          <w:u w:val="single"/>
        </w:rPr>
        <w:t>南宁</w:t>
      </w:r>
      <w:r>
        <w:rPr>
          <w:rFonts w:hint="eastAsia" w:ascii="方正仿宋_GB2312" w:hAnsi="楷体" w:eastAsia="方正仿宋_GB2312"/>
          <w:color w:val="auto"/>
          <w:sz w:val="24"/>
          <w:highlight w:val="none"/>
        </w:rPr>
        <w:t>仲裁委员会依申请仲裁时其现行有效的仲裁规则裁决；</w:t>
      </w:r>
    </w:p>
    <w:p w14:paraId="5C788FB7">
      <w:pPr>
        <w:spacing w:line="360" w:lineRule="auto"/>
        <w:ind w:firstLine="480" w:firstLineChars="200"/>
        <w:rPr>
          <w:rFonts w:ascii="方正仿宋_GB2312" w:hAnsi="楷体" w:eastAsia="方正仿宋_GB2312"/>
          <w:color w:val="auto"/>
          <w:sz w:val="24"/>
          <w:highlight w:val="none"/>
        </w:rPr>
      </w:pPr>
      <w:r>
        <w:rPr>
          <w:rFonts w:hint="eastAsia" w:ascii="方正仿宋_GB2312" w:hAnsi="楷体" w:eastAsia="方正仿宋_GB2312"/>
          <w:color w:val="auto"/>
          <w:sz w:val="24"/>
          <w:highlight w:val="none"/>
        </w:rPr>
        <w:t>1.7.2 向</w:t>
      </w:r>
      <w:r>
        <w:rPr>
          <w:rFonts w:hint="eastAsia" w:ascii="方正仿宋_GB2312" w:hAnsi="楷体" w:eastAsia="方正仿宋_GB2312"/>
          <w:color w:val="auto"/>
          <w:sz w:val="24"/>
          <w:highlight w:val="none"/>
          <w:u w:val="single"/>
        </w:rPr>
        <w:t>甲方所在地有管辖权的</w:t>
      </w:r>
      <w:r>
        <w:rPr>
          <w:rFonts w:hint="eastAsia" w:ascii="方正仿宋_GB2312" w:hAnsi="楷体" w:eastAsia="方正仿宋_GB2312"/>
          <w:color w:val="auto"/>
          <w:sz w:val="24"/>
          <w:highlight w:val="none"/>
        </w:rPr>
        <w:t>人民法院起诉。</w:t>
      </w:r>
    </w:p>
    <w:p w14:paraId="6FFA9471">
      <w:pPr>
        <w:spacing w:line="360" w:lineRule="auto"/>
        <w:ind w:firstLine="482" w:firstLineChars="200"/>
        <w:rPr>
          <w:rFonts w:ascii="方正仿宋_GB2312" w:hAnsi="楷体" w:eastAsia="方正仿宋_GB2312"/>
          <w:b/>
          <w:color w:val="auto"/>
          <w:sz w:val="24"/>
          <w:highlight w:val="none"/>
        </w:rPr>
      </w:pPr>
      <w:bookmarkStart w:id="160" w:name="_Toc11173"/>
      <w:bookmarkStart w:id="161" w:name="_Toc15322"/>
      <w:bookmarkStart w:id="162" w:name="_Toc7245"/>
      <w:r>
        <w:rPr>
          <w:rFonts w:hint="eastAsia" w:ascii="方正仿宋_GB2312" w:hAnsi="楷体" w:eastAsia="方正仿宋_GB2312"/>
          <w:b/>
          <w:color w:val="auto"/>
          <w:sz w:val="24"/>
          <w:highlight w:val="none"/>
        </w:rPr>
        <w:t>1.8 合同生效</w:t>
      </w:r>
      <w:bookmarkEnd w:id="160"/>
      <w:bookmarkEnd w:id="161"/>
      <w:bookmarkEnd w:id="162"/>
    </w:p>
    <w:p w14:paraId="4148A491">
      <w:pPr>
        <w:spacing w:line="360" w:lineRule="auto"/>
        <w:ind w:firstLine="480" w:firstLineChars="200"/>
        <w:rPr>
          <w:rFonts w:ascii="方正仿宋_GB2312" w:hAnsi="楷体" w:eastAsia="方正仿宋_GB2312"/>
          <w:b/>
          <w:color w:val="auto"/>
          <w:sz w:val="24"/>
          <w:highlight w:val="none"/>
        </w:rPr>
      </w:pPr>
      <w:r>
        <w:rPr>
          <w:rFonts w:hint="eastAsia" w:ascii="方正仿宋_GB2312" w:hAnsi="楷体" w:eastAsia="方正仿宋_GB2312"/>
          <w:color w:val="auto"/>
          <w:sz w:val="24"/>
          <w:highlight w:val="none"/>
        </w:rPr>
        <w:t>本合同自双方当事人加盖有效电子公章时生效。</w:t>
      </w:r>
    </w:p>
    <w:p w14:paraId="6BD5EFCC">
      <w:pPr>
        <w:spacing w:line="360" w:lineRule="auto"/>
        <w:ind w:firstLine="200"/>
        <w:rPr>
          <w:rFonts w:ascii="方正仿宋_GB2312" w:hAnsi="楷体" w:eastAsia="方正仿宋_GB2312"/>
          <w:color w:val="auto"/>
          <w:sz w:val="24"/>
          <w:highlight w:val="none"/>
          <w:lang w:val="zh-CN"/>
        </w:rPr>
      </w:pPr>
      <w:r>
        <w:rPr>
          <w:rFonts w:hint="eastAsia" w:ascii="方正仿宋_GB2312" w:hAnsi="楷体" w:eastAsia="方正仿宋_GB2312"/>
          <w:color w:val="auto"/>
          <w:sz w:val="24"/>
          <w:highlight w:val="none"/>
          <w:lang w:val="zh-CN"/>
        </w:rPr>
        <w:t>甲方：                                  乙方：</w:t>
      </w:r>
    </w:p>
    <w:p w14:paraId="749EB57A">
      <w:pPr>
        <w:spacing w:line="360" w:lineRule="auto"/>
        <w:ind w:firstLine="200"/>
        <w:rPr>
          <w:rFonts w:ascii="方正仿宋_GB2312" w:hAnsi="楷体" w:eastAsia="方正仿宋_GB2312"/>
          <w:color w:val="auto"/>
          <w:sz w:val="24"/>
          <w:highlight w:val="none"/>
          <w:lang w:val="zh-CN"/>
        </w:rPr>
      </w:pPr>
      <w:r>
        <w:rPr>
          <w:rFonts w:hint="eastAsia" w:ascii="方正仿宋_GB2312" w:hAnsi="楷体" w:eastAsia="方正仿宋_GB2312"/>
          <w:color w:val="auto"/>
          <w:sz w:val="24"/>
          <w:highlight w:val="none"/>
          <w:lang w:val="zh-CN"/>
        </w:rPr>
        <w:t>统一社会信用代码：                      统一社会信用代码或身份证号码：</w:t>
      </w:r>
    </w:p>
    <w:p w14:paraId="32EC79ED">
      <w:pPr>
        <w:spacing w:line="360" w:lineRule="auto"/>
        <w:ind w:firstLine="200"/>
        <w:rPr>
          <w:rFonts w:ascii="方正仿宋_GB2312" w:hAnsi="楷体" w:eastAsia="方正仿宋_GB2312"/>
          <w:color w:val="auto"/>
          <w:sz w:val="24"/>
          <w:highlight w:val="none"/>
          <w:lang w:val="zh-CN"/>
        </w:rPr>
      </w:pPr>
    </w:p>
    <w:p w14:paraId="6C222272">
      <w:pPr>
        <w:spacing w:line="360" w:lineRule="auto"/>
        <w:ind w:firstLine="200"/>
        <w:rPr>
          <w:rFonts w:ascii="方正仿宋_GB2312" w:hAnsi="楷体" w:eastAsia="方正仿宋_GB2312"/>
          <w:color w:val="auto"/>
          <w:sz w:val="24"/>
          <w:highlight w:val="none"/>
          <w:lang w:val="zh-CN"/>
        </w:rPr>
      </w:pPr>
      <w:r>
        <w:rPr>
          <w:rFonts w:hint="eastAsia" w:ascii="方正仿宋_GB2312" w:hAnsi="楷体" w:eastAsia="方正仿宋_GB2312"/>
          <w:color w:val="auto"/>
          <w:sz w:val="24"/>
          <w:highlight w:val="none"/>
          <w:lang w:val="zh-CN"/>
        </w:rPr>
        <w:t>住所：                                   住所：</w:t>
      </w:r>
    </w:p>
    <w:p w14:paraId="0C106B7A">
      <w:pPr>
        <w:spacing w:line="360" w:lineRule="auto"/>
        <w:ind w:firstLine="200"/>
        <w:rPr>
          <w:rFonts w:ascii="方正仿宋_GB2312" w:hAnsi="楷体" w:eastAsia="方正仿宋_GB2312"/>
          <w:color w:val="auto"/>
          <w:sz w:val="24"/>
          <w:highlight w:val="none"/>
          <w:lang w:val="zh-CN"/>
        </w:rPr>
      </w:pPr>
      <w:r>
        <w:rPr>
          <w:rFonts w:hint="eastAsia" w:ascii="方正仿宋_GB2312" w:hAnsi="楷体" w:eastAsia="方正仿宋_GB2312"/>
          <w:color w:val="auto"/>
          <w:sz w:val="24"/>
          <w:highlight w:val="none"/>
          <w:lang w:val="zh-CN"/>
        </w:rPr>
        <w:t>法定代表人或                             法定代表人</w:t>
      </w:r>
    </w:p>
    <w:p w14:paraId="47107547">
      <w:pPr>
        <w:spacing w:line="360" w:lineRule="auto"/>
        <w:ind w:firstLine="200"/>
        <w:rPr>
          <w:rFonts w:ascii="方正仿宋_GB2312" w:hAnsi="楷体" w:eastAsia="方正仿宋_GB2312"/>
          <w:color w:val="auto"/>
          <w:sz w:val="24"/>
          <w:highlight w:val="none"/>
          <w:lang w:val="zh-CN"/>
        </w:rPr>
      </w:pPr>
      <w:r>
        <w:rPr>
          <w:rFonts w:hint="eastAsia" w:ascii="方正仿宋_GB2312" w:hAnsi="楷体" w:eastAsia="方正仿宋_GB2312"/>
          <w:color w:val="auto"/>
          <w:sz w:val="24"/>
          <w:highlight w:val="none"/>
          <w:lang w:val="zh-CN"/>
        </w:rPr>
        <w:t xml:space="preserve">授权代表（签字）：                       或授权代表（签字）: </w:t>
      </w:r>
    </w:p>
    <w:p w14:paraId="288EB8C6">
      <w:pPr>
        <w:spacing w:line="360" w:lineRule="auto"/>
        <w:ind w:firstLine="200"/>
        <w:rPr>
          <w:rFonts w:ascii="方正仿宋_GB2312" w:hAnsi="楷体" w:eastAsia="方正仿宋_GB2312"/>
          <w:color w:val="auto"/>
          <w:sz w:val="24"/>
          <w:highlight w:val="none"/>
          <w:lang w:val="zh-CN"/>
        </w:rPr>
      </w:pPr>
      <w:r>
        <w:rPr>
          <w:rFonts w:hint="eastAsia" w:ascii="方正仿宋_GB2312" w:hAnsi="楷体" w:eastAsia="方正仿宋_GB2312"/>
          <w:color w:val="auto"/>
          <w:sz w:val="24"/>
          <w:highlight w:val="none"/>
          <w:lang w:val="zh-CN"/>
        </w:rPr>
        <w:t>联系人：                                 联系人：</w:t>
      </w:r>
    </w:p>
    <w:p w14:paraId="1D37DD4E">
      <w:pPr>
        <w:spacing w:line="360" w:lineRule="auto"/>
        <w:ind w:firstLine="200"/>
        <w:rPr>
          <w:rFonts w:ascii="方正仿宋_GB2312" w:hAnsi="楷体" w:eastAsia="方正仿宋_GB2312"/>
          <w:color w:val="auto"/>
          <w:sz w:val="24"/>
          <w:highlight w:val="none"/>
          <w:lang w:val="zh-CN"/>
        </w:rPr>
      </w:pPr>
      <w:r>
        <w:rPr>
          <w:rFonts w:hint="eastAsia" w:ascii="方正仿宋_GB2312" w:hAnsi="楷体" w:eastAsia="方正仿宋_GB2312"/>
          <w:color w:val="auto"/>
          <w:sz w:val="24"/>
          <w:highlight w:val="none"/>
          <w:lang w:val="zh-CN"/>
        </w:rPr>
        <w:t>约定送达地址：                           约定送达地址：</w:t>
      </w:r>
    </w:p>
    <w:p w14:paraId="79E4EA67">
      <w:pPr>
        <w:spacing w:line="360" w:lineRule="auto"/>
        <w:ind w:firstLine="200"/>
        <w:rPr>
          <w:rFonts w:ascii="方正仿宋_GB2312" w:hAnsi="楷体" w:eastAsia="方正仿宋_GB2312"/>
          <w:color w:val="auto"/>
          <w:sz w:val="24"/>
          <w:highlight w:val="none"/>
          <w:lang w:val="zh-CN"/>
        </w:rPr>
      </w:pPr>
      <w:r>
        <w:rPr>
          <w:rFonts w:hint="eastAsia" w:ascii="方正仿宋_GB2312" w:hAnsi="楷体" w:eastAsia="方正仿宋_GB2312"/>
          <w:color w:val="auto"/>
          <w:sz w:val="24"/>
          <w:highlight w:val="none"/>
          <w:lang w:val="zh-CN"/>
        </w:rPr>
        <w:t>邮政编码：                               邮政编码：</w:t>
      </w:r>
    </w:p>
    <w:p w14:paraId="76FFE802">
      <w:pPr>
        <w:spacing w:line="360" w:lineRule="auto"/>
        <w:ind w:firstLine="200"/>
        <w:rPr>
          <w:rFonts w:ascii="方正仿宋_GB2312" w:hAnsi="楷体" w:eastAsia="方正仿宋_GB2312"/>
          <w:color w:val="auto"/>
          <w:sz w:val="24"/>
          <w:highlight w:val="none"/>
          <w:lang w:val="zh-CN"/>
        </w:rPr>
      </w:pPr>
      <w:r>
        <w:rPr>
          <w:rFonts w:hint="eastAsia" w:ascii="方正仿宋_GB2312" w:hAnsi="楷体" w:eastAsia="方正仿宋_GB2312"/>
          <w:color w:val="auto"/>
          <w:sz w:val="24"/>
          <w:highlight w:val="none"/>
          <w:lang w:val="zh-CN"/>
        </w:rPr>
        <w:t xml:space="preserve">电话:                                    电话: </w:t>
      </w:r>
    </w:p>
    <w:p w14:paraId="50F13B3B">
      <w:pPr>
        <w:spacing w:line="360" w:lineRule="auto"/>
        <w:ind w:firstLine="200"/>
        <w:rPr>
          <w:rFonts w:ascii="方正仿宋_GB2312" w:hAnsi="楷体" w:eastAsia="方正仿宋_GB2312"/>
          <w:color w:val="auto"/>
          <w:sz w:val="24"/>
          <w:highlight w:val="none"/>
          <w:lang w:val="zh-CN"/>
        </w:rPr>
      </w:pPr>
      <w:r>
        <w:rPr>
          <w:rFonts w:hint="eastAsia" w:ascii="方正仿宋_GB2312" w:hAnsi="楷体" w:eastAsia="方正仿宋_GB2312"/>
          <w:color w:val="auto"/>
          <w:sz w:val="24"/>
          <w:highlight w:val="none"/>
          <w:lang w:val="zh-CN"/>
        </w:rPr>
        <w:t>传真:                                    传真:</w:t>
      </w:r>
    </w:p>
    <w:p w14:paraId="49A729FD">
      <w:pPr>
        <w:spacing w:line="360" w:lineRule="auto"/>
        <w:ind w:firstLine="200"/>
        <w:rPr>
          <w:rFonts w:ascii="方正仿宋_GB2312" w:hAnsi="楷体" w:eastAsia="方正仿宋_GB2312"/>
          <w:color w:val="auto"/>
          <w:sz w:val="24"/>
          <w:highlight w:val="none"/>
        </w:rPr>
      </w:pPr>
      <w:r>
        <w:rPr>
          <w:rFonts w:hint="eastAsia" w:ascii="方正仿宋_GB2312" w:hAnsi="楷体" w:eastAsia="方正仿宋_GB2312"/>
          <w:color w:val="auto"/>
          <w:sz w:val="24"/>
          <w:highlight w:val="none"/>
          <w:lang w:val="zh-CN"/>
        </w:rPr>
        <w:t>电子邮箱：                               电子邮箱：</w:t>
      </w:r>
    </w:p>
    <w:p w14:paraId="37823BC0">
      <w:pPr>
        <w:spacing w:line="360" w:lineRule="auto"/>
        <w:ind w:firstLine="200"/>
        <w:rPr>
          <w:rFonts w:ascii="方正仿宋_GB2312" w:hAnsi="楷体" w:eastAsia="方正仿宋_GB2312"/>
          <w:color w:val="auto"/>
          <w:sz w:val="24"/>
          <w:highlight w:val="none"/>
        </w:rPr>
      </w:pPr>
      <w:r>
        <w:rPr>
          <w:rFonts w:hint="eastAsia" w:ascii="方正仿宋_GB2312" w:hAnsi="楷体" w:eastAsia="方正仿宋_GB2312"/>
          <w:color w:val="auto"/>
          <w:sz w:val="24"/>
          <w:highlight w:val="none"/>
        </w:rPr>
        <w:t xml:space="preserve">开户银行：                               开户银行： </w:t>
      </w:r>
    </w:p>
    <w:p w14:paraId="69B454F9">
      <w:pPr>
        <w:spacing w:line="360" w:lineRule="auto"/>
        <w:ind w:firstLine="200"/>
        <w:rPr>
          <w:rFonts w:ascii="方正仿宋_GB2312" w:hAnsi="楷体" w:eastAsia="方正仿宋_GB2312"/>
          <w:color w:val="auto"/>
          <w:sz w:val="24"/>
          <w:highlight w:val="none"/>
        </w:rPr>
      </w:pPr>
      <w:r>
        <w:rPr>
          <w:rFonts w:hint="eastAsia" w:ascii="方正仿宋_GB2312" w:hAnsi="楷体" w:eastAsia="方正仿宋_GB2312"/>
          <w:color w:val="auto"/>
          <w:sz w:val="24"/>
          <w:highlight w:val="none"/>
        </w:rPr>
        <w:t xml:space="preserve">开户名称：                               开户名称： </w:t>
      </w:r>
    </w:p>
    <w:p w14:paraId="71DFDA4F">
      <w:pPr>
        <w:spacing w:line="360" w:lineRule="auto"/>
        <w:ind w:firstLine="200"/>
        <w:rPr>
          <w:rFonts w:ascii="方正仿宋_GB2312" w:hAnsi="楷体" w:eastAsia="方正仿宋_GB2312"/>
          <w:color w:val="auto"/>
          <w:sz w:val="24"/>
          <w:highlight w:val="none"/>
        </w:rPr>
      </w:pPr>
      <w:r>
        <w:rPr>
          <w:rFonts w:hint="eastAsia" w:ascii="方正仿宋_GB2312" w:hAnsi="楷体" w:eastAsia="方正仿宋_GB2312"/>
          <w:color w:val="auto"/>
          <w:sz w:val="24"/>
          <w:highlight w:val="none"/>
        </w:rPr>
        <w:t>开户账号：开户账号：</w:t>
      </w:r>
    </w:p>
    <w:p w14:paraId="61569BB0">
      <w:pPr>
        <w:spacing w:line="360" w:lineRule="auto"/>
        <w:ind w:firstLine="200"/>
        <w:jc w:val="center"/>
        <w:rPr>
          <w:rFonts w:ascii="方正仿宋_GB2312" w:hAnsi="楷体" w:eastAsia="方正仿宋_GB2312"/>
          <w:b/>
          <w:color w:val="auto"/>
          <w:sz w:val="28"/>
          <w:szCs w:val="28"/>
          <w:highlight w:val="none"/>
        </w:rPr>
      </w:pPr>
      <w:r>
        <w:rPr>
          <w:rFonts w:hint="eastAsia" w:ascii="方正仿宋_GB2312" w:hAnsi="楷体" w:eastAsia="方正仿宋_GB2312"/>
          <w:b/>
          <w:color w:val="auto"/>
          <w:highlight w:val="none"/>
        </w:rPr>
        <w:br w:type="page"/>
      </w:r>
      <w:bookmarkStart w:id="163" w:name="_Toc331685783"/>
      <w:r>
        <w:rPr>
          <w:rFonts w:hint="eastAsia" w:ascii="方正仿宋_GB2312" w:hAnsi="楷体" w:eastAsia="方正仿宋_GB2312"/>
          <w:b/>
          <w:color w:val="auto"/>
          <w:sz w:val="28"/>
          <w:szCs w:val="28"/>
          <w:highlight w:val="none"/>
        </w:rPr>
        <w:t>第二部分 合同一般条款</w:t>
      </w:r>
      <w:bookmarkEnd w:id="163"/>
    </w:p>
    <w:p w14:paraId="7025F0FB">
      <w:pPr>
        <w:spacing w:line="360" w:lineRule="auto"/>
        <w:ind w:firstLine="482" w:firstLineChars="200"/>
        <w:rPr>
          <w:rFonts w:ascii="方正仿宋_GB2312" w:hAnsi="楷体" w:eastAsia="方正仿宋_GB2312"/>
          <w:b/>
          <w:color w:val="auto"/>
          <w:sz w:val="24"/>
          <w:highlight w:val="none"/>
        </w:rPr>
      </w:pPr>
      <w:bookmarkStart w:id="164" w:name="_Toc487900349"/>
      <w:bookmarkStart w:id="165" w:name="_Ref467379094"/>
      <w:bookmarkStart w:id="166" w:name="_Ref467379195"/>
      <w:bookmarkStart w:id="167" w:name="_Ref467379214"/>
      <w:bookmarkStart w:id="168" w:name="_Toc16917"/>
      <w:bookmarkStart w:id="169" w:name="_Toc19614"/>
      <w:bookmarkStart w:id="170" w:name="_Ref467379109"/>
      <w:bookmarkStart w:id="171" w:name="_Ref467378499"/>
      <w:bookmarkStart w:id="172" w:name="_Toc28763"/>
      <w:bookmarkStart w:id="173" w:name="_Ref467379101"/>
      <w:bookmarkStart w:id="174" w:name="_Toc279701240"/>
      <w:bookmarkStart w:id="175" w:name="_Toc259093669"/>
      <w:bookmarkStart w:id="176" w:name="_Ref467379205"/>
      <w:bookmarkStart w:id="177" w:name="_Ref467378404"/>
      <w:bookmarkStart w:id="178" w:name="_Ref467379225"/>
      <w:bookmarkStart w:id="179" w:name="_Ref467378463"/>
      <w:r>
        <w:rPr>
          <w:rFonts w:hint="eastAsia" w:ascii="方正仿宋_GB2312" w:hAnsi="楷体" w:eastAsia="方正仿宋_GB2312"/>
          <w:b/>
          <w:color w:val="auto"/>
          <w:sz w:val="24"/>
          <w:highlight w:val="none"/>
        </w:rPr>
        <w:t>2.1 定义</w:t>
      </w:r>
      <w:bookmarkEnd w:id="164"/>
      <w:bookmarkEnd w:id="165"/>
      <w:bookmarkEnd w:id="166"/>
      <w:bookmarkEnd w:id="167"/>
      <w:bookmarkEnd w:id="168"/>
      <w:bookmarkEnd w:id="169"/>
      <w:bookmarkEnd w:id="170"/>
      <w:bookmarkEnd w:id="171"/>
      <w:bookmarkEnd w:id="172"/>
      <w:bookmarkEnd w:id="173"/>
      <w:bookmarkEnd w:id="174"/>
      <w:bookmarkEnd w:id="175"/>
      <w:bookmarkEnd w:id="176"/>
      <w:bookmarkEnd w:id="177"/>
      <w:bookmarkEnd w:id="178"/>
      <w:bookmarkEnd w:id="179"/>
    </w:p>
    <w:p w14:paraId="63F38B2E">
      <w:pPr>
        <w:spacing w:line="360" w:lineRule="auto"/>
        <w:ind w:firstLine="480" w:firstLineChars="200"/>
        <w:rPr>
          <w:rFonts w:ascii="方正仿宋_GB2312" w:hAnsi="楷体" w:eastAsia="方正仿宋_GB2312"/>
          <w:color w:val="auto"/>
          <w:sz w:val="24"/>
          <w:highlight w:val="none"/>
        </w:rPr>
      </w:pPr>
      <w:r>
        <w:rPr>
          <w:rFonts w:hint="eastAsia" w:ascii="方正仿宋_GB2312" w:hAnsi="楷体" w:eastAsia="方正仿宋_GB2312"/>
          <w:color w:val="auto"/>
          <w:sz w:val="24"/>
          <w:highlight w:val="none"/>
        </w:rPr>
        <w:t>本合同中的下列词语应按以下内容进行解释：</w:t>
      </w:r>
    </w:p>
    <w:p w14:paraId="08273CBE">
      <w:pPr>
        <w:spacing w:line="360" w:lineRule="auto"/>
        <w:ind w:firstLine="480" w:firstLineChars="200"/>
        <w:rPr>
          <w:rFonts w:ascii="方正仿宋_GB2312" w:hAnsi="楷体" w:eastAsia="方正仿宋_GB2312"/>
          <w:color w:val="auto"/>
          <w:sz w:val="24"/>
          <w:highlight w:val="none"/>
        </w:rPr>
      </w:pPr>
      <w:r>
        <w:rPr>
          <w:rFonts w:hint="eastAsia" w:ascii="方正仿宋_GB2312" w:hAnsi="楷体" w:eastAsia="方正仿宋_GB2312"/>
          <w:color w:val="auto"/>
          <w:sz w:val="24"/>
          <w:highlight w:val="none"/>
        </w:rPr>
        <w:t>2.1.1 “合同”系指采购人和中标人签订的载明双方当事人所达成的协议，并包括所有的附件、附录和构成合同的其他文件。</w:t>
      </w:r>
    </w:p>
    <w:p w14:paraId="1C806A3E">
      <w:pPr>
        <w:spacing w:line="360" w:lineRule="auto"/>
        <w:ind w:firstLine="480" w:firstLineChars="200"/>
        <w:rPr>
          <w:rFonts w:ascii="方正仿宋_GB2312" w:hAnsi="楷体" w:eastAsia="方正仿宋_GB2312"/>
          <w:color w:val="auto"/>
          <w:sz w:val="24"/>
          <w:highlight w:val="none"/>
        </w:rPr>
      </w:pPr>
      <w:r>
        <w:rPr>
          <w:rFonts w:hint="eastAsia" w:ascii="方正仿宋_GB2312" w:hAnsi="楷体" w:eastAsia="方正仿宋_GB2312"/>
          <w:color w:val="auto"/>
          <w:sz w:val="24"/>
          <w:highlight w:val="none"/>
        </w:rPr>
        <w:t>2.1.2 “合同价”系指根据合同约定，中标人在完全履行合同义务后，采购人应支付给中标人的价格。</w:t>
      </w:r>
    </w:p>
    <w:p w14:paraId="497B0F25">
      <w:pPr>
        <w:spacing w:line="360" w:lineRule="auto"/>
        <w:ind w:firstLine="480" w:firstLineChars="200"/>
        <w:rPr>
          <w:rFonts w:ascii="方正仿宋_GB2312" w:hAnsi="楷体" w:eastAsia="方正仿宋_GB2312"/>
          <w:color w:val="auto"/>
          <w:sz w:val="24"/>
          <w:highlight w:val="none"/>
        </w:rPr>
      </w:pPr>
      <w:r>
        <w:rPr>
          <w:rFonts w:hint="eastAsia" w:ascii="方正仿宋_GB2312" w:hAnsi="楷体" w:eastAsia="方正仿宋_GB2312"/>
          <w:color w:val="auto"/>
          <w:sz w:val="24"/>
          <w:highlight w:val="none"/>
        </w:rPr>
        <w:t>2.1.3 “标的物”系指中标人根据合同约定应向采购人交付的一切各种形态和种类的货物、服务和工程，包括但不限于原材料、燃料、设备、机械、仪表、备件、计算机软件、信息化系统、信息化维保、物业服务、产品等，并包括工具、手册等其他相关资料。</w:t>
      </w:r>
    </w:p>
    <w:p w14:paraId="7F4D5A77">
      <w:pPr>
        <w:spacing w:line="360" w:lineRule="auto"/>
        <w:ind w:firstLine="480" w:firstLineChars="200"/>
        <w:rPr>
          <w:rFonts w:ascii="方正仿宋_GB2312" w:hAnsi="楷体" w:eastAsia="方正仿宋_GB2312"/>
          <w:color w:val="auto"/>
          <w:sz w:val="24"/>
          <w:highlight w:val="none"/>
        </w:rPr>
      </w:pPr>
      <w:bookmarkStart w:id="180" w:name="_Ref467378840"/>
      <w:r>
        <w:rPr>
          <w:rFonts w:hint="eastAsia" w:ascii="方正仿宋_GB2312" w:hAnsi="楷体" w:eastAsia="方正仿宋_GB2312"/>
          <w:color w:val="auto"/>
          <w:sz w:val="24"/>
          <w:highlight w:val="none"/>
        </w:rPr>
        <w:t>2.1.4 “甲方”系指与中标人签署合同的采购人</w:t>
      </w:r>
      <w:bookmarkEnd w:id="180"/>
      <w:r>
        <w:rPr>
          <w:rFonts w:hint="eastAsia" w:ascii="方正仿宋_GB2312" w:hAnsi="楷体" w:eastAsia="方正仿宋_GB2312"/>
          <w:color w:val="auto"/>
          <w:sz w:val="24"/>
          <w:highlight w:val="none"/>
        </w:rPr>
        <w:t>；采购人委托采购机构代表其与乙方签订合同的，采购人的授权委托书作为合同附件。</w:t>
      </w:r>
    </w:p>
    <w:p w14:paraId="41A8B8D5">
      <w:pPr>
        <w:spacing w:line="360" w:lineRule="auto"/>
        <w:ind w:firstLine="480" w:firstLineChars="200"/>
        <w:rPr>
          <w:rFonts w:ascii="方正仿宋_GB2312" w:hAnsi="楷体" w:eastAsia="方正仿宋_GB2312"/>
          <w:color w:val="auto"/>
          <w:sz w:val="24"/>
          <w:highlight w:val="none"/>
        </w:rPr>
      </w:pPr>
      <w:bookmarkStart w:id="181" w:name="_Ref467379400"/>
      <w:r>
        <w:rPr>
          <w:rFonts w:hint="eastAsia" w:ascii="方正仿宋_GB2312" w:hAnsi="楷体" w:eastAsia="方正仿宋_GB2312"/>
          <w:color w:val="auto"/>
          <w:sz w:val="24"/>
          <w:highlight w:val="none"/>
        </w:rPr>
        <w:t>2.1.5 “乙方”系指根据合同约定交付标的物的</w:t>
      </w:r>
      <w:bookmarkEnd w:id="181"/>
      <w:r>
        <w:rPr>
          <w:rFonts w:hint="eastAsia" w:ascii="方正仿宋_GB2312" w:hAnsi="楷体" w:eastAsia="方正仿宋_GB2312"/>
          <w:color w:val="auto"/>
          <w:sz w:val="24"/>
          <w:highlight w:val="none"/>
        </w:rPr>
        <w:t>中标人；两个以上的自然人、法人或者其他组织组成一个联合体，以一个供应商的身份共同参加政府采购的，联合体各方均应为乙方或者与乙方相同地位的合同当事人，并就合同约定的事项对甲方承担连带责任。</w:t>
      </w:r>
    </w:p>
    <w:p w14:paraId="5085A9BC">
      <w:pPr>
        <w:spacing w:line="360" w:lineRule="auto"/>
        <w:ind w:firstLine="480" w:firstLineChars="200"/>
        <w:rPr>
          <w:rFonts w:ascii="方正仿宋_GB2312" w:hAnsi="楷体" w:eastAsia="方正仿宋_GB2312"/>
          <w:color w:val="auto"/>
          <w:sz w:val="24"/>
          <w:highlight w:val="none"/>
        </w:rPr>
      </w:pPr>
      <w:bookmarkStart w:id="182" w:name="_Ref467379436"/>
      <w:r>
        <w:rPr>
          <w:rFonts w:hint="eastAsia" w:ascii="方正仿宋_GB2312" w:hAnsi="楷体" w:eastAsia="方正仿宋_GB2312"/>
          <w:color w:val="auto"/>
          <w:sz w:val="24"/>
          <w:highlight w:val="none"/>
        </w:rPr>
        <w:t>2.1.6 “现场”系指合同约定标的物将要运至或者实施或者安装的地点。</w:t>
      </w:r>
      <w:bookmarkEnd w:id="182"/>
    </w:p>
    <w:p w14:paraId="3D003555">
      <w:pPr>
        <w:spacing w:line="360" w:lineRule="auto"/>
        <w:ind w:firstLine="482" w:firstLineChars="200"/>
        <w:rPr>
          <w:rFonts w:ascii="方正仿宋_GB2312" w:hAnsi="楷体" w:eastAsia="方正仿宋_GB2312"/>
          <w:b/>
          <w:color w:val="auto"/>
          <w:sz w:val="24"/>
          <w:highlight w:val="none"/>
        </w:rPr>
      </w:pPr>
      <w:bookmarkStart w:id="183" w:name="_Toc13336"/>
      <w:bookmarkStart w:id="184" w:name="_Toc279701241"/>
      <w:bookmarkStart w:id="185" w:name="_Toc32504"/>
      <w:bookmarkStart w:id="186" w:name="_Toc487900350"/>
      <w:bookmarkStart w:id="187" w:name="_Toc27635"/>
      <w:bookmarkStart w:id="188" w:name="_Toc259093670"/>
      <w:r>
        <w:rPr>
          <w:rFonts w:hint="eastAsia" w:ascii="方正仿宋_GB2312" w:hAnsi="楷体" w:eastAsia="方正仿宋_GB2312"/>
          <w:b/>
          <w:color w:val="auto"/>
          <w:sz w:val="24"/>
          <w:highlight w:val="none"/>
        </w:rPr>
        <w:t>2.2 技术规范</w:t>
      </w:r>
      <w:bookmarkEnd w:id="183"/>
      <w:bookmarkEnd w:id="184"/>
      <w:bookmarkEnd w:id="185"/>
      <w:bookmarkEnd w:id="186"/>
      <w:bookmarkEnd w:id="187"/>
      <w:bookmarkEnd w:id="188"/>
    </w:p>
    <w:p w14:paraId="7519DAA4">
      <w:pPr>
        <w:spacing w:line="360" w:lineRule="auto"/>
        <w:ind w:firstLine="480" w:firstLineChars="200"/>
        <w:rPr>
          <w:rFonts w:ascii="方正仿宋_GB2312" w:hAnsi="楷体" w:eastAsia="方正仿宋_GB2312"/>
          <w:color w:val="auto"/>
          <w:sz w:val="24"/>
          <w:highlight w:val="none"/>
        </w:rPr>
      </w:pPr>
      <w:r>
        <w:rPr>
          <w:rFonts w:hint="eastAsia" w:ascii="方正仿宋_GB2312" w:hAnsi="楷体" w:eastAsia="方正仿宋_GB2312"/>
          <w:color w:val="auto"/>
          <w:sz w:val="24"/>
          <w:highlight w:val="none"/>
        </w:rPr>
        <w:t>标的物所应遵守的技术规范应与采购文件规定的技术规范和技术规范附件(如果有的话)及其技术规范偏差表(如果被甲方接受的话)相一致；如果采购文件中没有技术规范的相应说明，应以国家有关部门最新颁布的相应标准和规范为准。</w:t>
      </w:r>
    </w:p>
    <w:p w14:paraId="67A61513">
      <w:pPr>
        <w:spacing w:line="360" w:lineRule="auto"/>
        <w:ind w:firstLine="482" w:firstLineChars="200"/>
        <w:rPr>
          <w:rFonts w:ascii="方正仿宋_GB2312" w:hAnsi="楷体" w:eastAsia="方正仿宋_GB2312"/>
          <w:b/>
          <w:color w:val="auto"/>
          <w:sz w:val="24"/>
          <w:highlight w:val="none"/>
        </w:rPr>
      </w:pPr>
      <w:bookmarkStart w:id="189" w:name="_Toc279701242"/>
      <w:bookmarkStart w:id="190" w:name="_Toc9829"/>
      <w:bookmarkStart w:id="191" w:name="_Toc31634"/>
      <w:bookmarkStart w:id="192" w:name="_Toc259093671"/>
      <w:bookmarkStart w:id="193" w:name="_Toc487900351"/>
      <w:bookmarkStart w:id="194" w:name="_Toc27853"/>
      <w:r>
        <w:rPr>
          <w:rFonts w:hint="eastAsia" w:ascii="方正仿宋_GB2312" w:hAnsi="楷体" w:eastAsia="方正仿宋_GB2312"/>
          <w:b/>
          <w:color w:val="auto"/>
          <w:sz w:val="24"/>
          <w:highlight w:val="none"/>
        </w:rPr>
        <w:t>2.3 知识产权</w:t>
      </w:r>
      <w:bookmarkEnd w:id="189"/>
      <w:bookmarkEnd w:id="190"/>
      <w:bookmarkEnd w:id="191"/>
      <w:bookmarkEnd w:id="192"/>
      <w:bookmarkEnd w:id="193"/>
      <w:bookmarkEnd w:id="194"/>
    </w:p>
    <w:p w14:paraId="1929F4FE">
      <w:pPr>
        <w:spacing w:line="360" w:lineRule="auto"/>
        <w:ind w:firstLine="480" w:firstLineChars="200"/>
        <w:rPr>
          <w:rFonts w:ascii="方正仿宋_GB2312" w:hAnsi="楷体" w:eastAsia="方正仿宋_GB2312"/>
          <w:color w:val="auto"/>
          <w:sz w:val="24"/>
          <w:highlight w:val="none"/>
        </w:rPr>
      </w:pPr>
      <w:r>
        <w:rPr>
          <w:rFonts w:hint="eastAsia" w:ascii="方正仿宋_GB2312" w:hAnsi="楷体" w:eastAsia="方正仿宋_GB2312"/>
          <w:color w:val="auto"/>
          <w:sz w:val="24"/>
          <w:highlight w:val="none"/>
        </w:rPr>
        <w:t>2.3.1 乙方应保证甲方在使用该标的物或其任何一部分时不受任何第三方提出的侵犯其著作权、商标权、专利权等知识产权方面的起诉；如果任何第三方提出侵权指控，乙方须与该第三方交涉并承担由此发生的一切责任、费用和赔偿；</w:t>
      </w:r>
    </w:p>
    <w:p w14:paraId="6B744FE7">
      <w:pPr>
        <w:spacing w:line="360" w:lineRule="auto"/>
        <w:ind w:firstLine="480" w:firstLineChars="200"/>
        <w:rPr>
          <w:rFonts w:ascii="方正仿宋_GB2312" w:hAnsi="楷体" w:eastAsia="方正仿宋_GB2312"/>
          <w:color w:val="auto"/>
          <w:sz w:val="24"/>
          <w:highlight w:val="none"/>
        </w:rPr>
      </w:pPr>
      <w:r>
        <w:rPr>
          <w:rFonts w:hint="eastAsia" w:ascii="方正仿宋_GB2312" w:hAnsi="楷体" w:eastAsia="方正仿宋_GB2312"/>
          <w:color w:val="auto"/>
          <w:sz w:val="24"/>
          <w:highlight w:val="none"/>
        </w:rPr>
        <w:t>2.3.2具有知识产权的计算机软件等标的物的知识产权归属，详见</w:t>
      </w:r>
      <w:r>
        <w:rPr>
          <w:rFonts w:hint="eastAsia" w:ascii="方正仿宋_GB2312" w:hAnsi="楷体" w:eastAsia="方正仿宋_GB2312"/>
          <w:b/>
          <w:i/>
          <w:color w:val="auto"/>
          <w:sz w:val="24"/>
          <w:highlight w:val="none"/>
          <w:u w:val="single"/>
        </w:rPr>
        <w:t>合同专用条款</w:t>
      </w:r>
      <w:r>
        <w:rPr>
          <w:rFonts w:hint="eastAsia" w:ascii="方正仿宋_GB2312" w:hAnsi="楷体" w:eastAsia="方正仿宋_GB2312"/>
          <w:color w:val="auto"/>
          <w:sz w:val="24"/>
          <w:highlight w:val="none"/>
        </w:rPr>
        <w:t>。</w:t>
      </w:r>
    </w:p>
    <w:p w14:paraId="0861DE8D">
      <w:pPr>
        <w:spacing w:line="360" w:lineRule="auto"/>
        <w:ind w:firstLine="482" w:firstLineChars="200"/>
        <w:rPr>
          <w:rFonts w:ascii="方正仿宋_GB2312" w:hAnsi="楷体" w:eastAsia="方正仿宋_GB2312"/>
          <w:b/>
          <w:color w:val="auto"/>
          <w:sz w:val="24"/>
          <w:highlight w:val="none"/>
        </w:rPr>
      </w:pPr>
      <w:bookmarkStart w:id="195" w:name="_Toc11932"/>
      <w:bookmarkStart w:id="196" w:name="_Toc29149"/>
      <w:bookmarkStart w:id="197" w:name="_Toc4194"/>
      <w:r>
        <w:rPr>
          <w:rFonts w:hint="eastAsia" w:ascii="方正仿宋_GB2312" w:hAnsi="楷体" w:eastAsia="方正仿宋_GB2312"/>
          <w:b/>
          <w:color w:val="auto"/>
          <w:sz w:val="24"/>
          <w:highlight w:val="none"/>
        </w:rPr>
        <w:t>2.4 包装和装运</w:t>
      </w:r>
      <w:bookmarkEnd w:id="195"/>
      <w:bookmarkEnd w:id="196"/>
      <w:bookmarkEnd w:id="197"/>
    </w:p>
    <w:p w14:paraId="4EF935FF">
      <w:pPr>
        <w:spacing w:line="360" w:lineRule="auto"/>
        <w:ind w:firstLine="480" w:firstLineChars="200"/>
        <w:rPr>
          <w:rFonts w:ascii="方正仿宋_GB2312" w:hAnsi="楷体" w:eastAsia="方正仿宋_GB2312"/>
          <w:color w:val="auto"/>
          <w:sz w:val="24"/>
          <w:highlight w:val="none"/>
        </w:rPr>
      </w:pPr>
      <w:r>
        <w:rPr>
          <w:rFonts w:hint="eastAsia" w:ascii="方正仿宋_GB2312" w:hAnsi="楷体" w:eastAsia="方正仿宋_GB2312"/>
          <w:color w:val="auto"/>
          <w:sz w:val="24"/>
          <w:highlight w:val="none"/>
        </w:rPr>
        <w:t>2.4.1除</w:t>
      </w:r>
      <w:r>
        <w:rPr>
          <w:rFonts w:hint="eastAsia" w:ascii="方正仿宋_GB2312" w:hAnsi="楷体" w:eastAsia="方正仿宋_GB2312"/>
          <w:b/>
          <w:i/>
          <w:color w:val="auto"/>
          <w:sz w:val="24"/>
          <w:highlight w:val="none"/>
          <w:u w:val="single"/>
        </w:rPr>
        <w:t>合同专用条款</w:t>
      </w:r>
      <w:r>
        <w:rPr>
          <w:rFonts w:hint="eastAsia" w:ascii="方正仿宋_GB2312" w:hAnsi="楷体" w:eastAsia="方正仿宋_GB2312"/>
          <w:color w:val="auto"/>
          <w:sz w:val="24"/>
          <w:highlight w:val="none"/>
        </w:rPr>
        <w:t>另有约定外,乙方交付的全部标的物,均应采用本行业通用的方式进行包装，没有通用方式的，应当采取足以保护标的物的包装方式，且该包装应符合国家有关包装的法律、法规的规定。如有必要，包装应适用于远距离运输、防潮、防震、防锈和防粗暴装卸，确保标的物安全无损地运抵现场。由于包装不善所引起的标的物锈蚀、损坏和损失等一切风险均由乙方承担。</w:t>
      </w:r>
    </w:p>
    <w:p w14:paraId="7A0FFEAD">
      <w:pPr>
        <w:spacing w:line="360" w:lineRule="auto"/>
        <w:ind w:firstLine="480" w:firstLineChars="200"/>
        <w:rPr>
          <w:rFonts w:ascii="方正仿宋_GB2312" w:hAnsi="楷体" w:eastAsia="方正仿宋_GB2312"/>
          <w:color w:val="auto"/>
          <w:sz w:val="24"/>
          <w:highlight w:val="none"/>
        </w:rPr>
      </w:pPr>
      <w:r>
        <w:rPr>
          <w:rFonts w:hint="eastAsia" w:ascii="方正仿宋_GB2312" w:hAnsi="楷体" w:eastAsia="方正仿宋_GB2312"/>
          <w:color w:val="auto"/>
          <w:sz w:val="24"/>
          <w:highlight w:val="none"/>
        </w:rPr>
        <w:t>2.4.2 装运标的物的要求和通知，详见</w:t>
      </w:r>
      <w:r>
        <w:rPr>
          <w:rFonts w:hint="eastAsia" w:ascii="方正仿宋_GB2312" w:hAnsi="楷体" w:eastAsia="方正仿宋_GB2312"/>
          <w:b/>
          <w:i/>
          <w:color w:val="auto"/>
          <w:sz w:val="24"/>
          <w:highlight w:val="none"/>
          <w:u w:val="single"/>
        </w:rPr>
        <w:t>合同专用条款</w:t>
      </w:r>
      <w:r>
        <w:rPr>
          <w:rFonts w:hint="eastAsia" w:ascii="方正仿宋_GB2312" w:hAnsi="楷体" w:eastAsia="方正仿宋_GB2312"/>
          <w:color w:val="auto"/>
          <w:sz w:val="24"/>
          <w:highlight w:val="none"/>
        </w:rPr>
        <w:t>。</w:t>
      </w:r>
    </w:p>
    <w:p w14:paraId="129D8A87">
      <w:pPr>
        <w:spacing w:line="360" w:lineRule="auto"/>
        <w:ind w:firstLine="482" w:firstLineChars="200"/>
        <w:rPr>
          <w:rFonts w:ascii="方正仿宋_GB2312" w:hAnsi="楷体" w:eastAsia="方正仿宋_GB2312"/>
          <w:b/>
          <w:color w:val="auto"/>
          <w:sz w:val="24"/>
          <w:highlight w:val="none"/>
        </w:rPr>
      </w:pPr>
      <w:bookmarkStart w:id="198" w:name="_Toc259093674"/>
      <w:bookmarkStart w:id="199" w:name="_Ref467379527"/>
      <w:bookmarkStart w:id="200" w:name="_Ref467379542"/>
      <w:bookmarkStart w:id="201" w:name="_Toc279701245"/>
      <w:bookmarkStart w:id="202" w:name="_Ref467378591"/>
      <w:bookmarkStart w:id="203" w:name="_Toc487900354"/>
      <w:bookmarkStart w:id="204" w:name="_Ref467378541"/>
      <w:bookmarkStart w:id="205" w:name="_Ref467379536"/>
      <w:bookmarkStart w:id="206" w:name="_Toc30272"/>
      <w:bookmarkStart w:id="207" w:name="_Toc26182"/>
      <w:bookmarkStart w:id="208" w:name="_Toc19074"/>
      <w:r>
        <w:rPr>
          <w:rFonts w:hint="eastAsia" w:ascii="方正仿宋_GB2312" w:hAnsi="楷体" w:eastAsia="方正仿宋_GB2312"/>
          <w:b/>
          <w:color w:val="auto"/>
          <w:sz w:val="24"/>
          <w:highlight w:val="none"/>
        </w:rPr>
        <w:t>2.</w:t>
      </w:r>
      <w:bookmarkEnd w:id="198"/>
      <w:bookmarkEnd w:id="199"/>
      <w:bookmarkEnd w:id="200"/>
      <w:bookmarkEnd w:id="201"/>
      <w:bookmarkEnd w:id="202"/>
      <w:bookmarkEnd w:id="203"/>
      <w:bookmarkEnd w:id="204"/>
      <w:bookmarkEnd w:id="205"/>
      <w:r>
        <w:rPr>
          <w:rFonts w:hint="eastAsia" w:ascii="方正仿宋_GB2312" w:hAnsi="楷体" w:eastAsia="方正仿宋_GB2312"/>
          <w:b/>
          <w:color w:val="auto"/>
          <w:sz w:val="24"/>
          <w:highlight w:val="none"/>
        </w:rPr>
        <w:t>5 履约检查和问题反馈</w:t>
      </w:r>
      <w:bookmarkEnd w:id="206"/>
      <w:bookmarkEnd w:id="207"/>
      <w:bookmarkEnd w:id="208"/>
    </w:p>
    <w:p w14:paraId="02640D52">
      <w:pPr>
        <w:spacing w:line="360" w:lineRule="auto"/>
        <w:ind w:firstLine="480" w:firstLineChars="200"/>
        <w:rPr>
          <w:rFonts w:ascii="方正仿宋_GB2312" w:hAnsi="楷体" w:eastAsia="方正仿宋_GB2312"/>
          <w:color w:val="auto"/>
          <w:sz w:val="24"/>
          <w:highlight w:val="none"/>
        </w:rPr>
      </w:pPr>
      <w:bookmarkStart w:id="209" w:name="_Ref467379657"/>
      <w:r>
        <w:rPr>
          <w:rFonts w:hint="eastAsia" w:ascii="方正仿宋_GB2312" w:hAnsi="楷体" w:eastAsia="方正仿宋_GB2312"/>
          <w:color w:val="auto"/>
          <w:sz w:val="24"/>
          <w:highlight w:val="none"/>
        </w:rPr>
        <w:t>2.5.1</w:t>
      </w:r>
      <w:bookmarkEnd w:id="209"/>
      <w:bookmarkStart w:id="210" w:name="_Toc186431854"/>
      <w:bookmarkStart w:id="211" w:name="_Ref467379793"/>
      <w:bookmarkStart w:id="212" w:name="_Ref467379807"/>
      <w:bookmarkStart w:id="213" w:name="_Toc279701247"/>
      <w:bookmarkStart w:id="214" w:name="_Toc259093676"/>
      <w:bookmarkStart w:id="215" w:name="_Toc487900357"/>
      <w:r>
        <w:rPr>
          <w:rFonts w:hint="eastAsia" w:ascii="方正仿宋_GB2312" w:hAnsi="楷体" w:eastAsia="方正仿宋_GB2312"/>
          <w:color w:val="auto"/>
          <w:sz w:val="24"/>
          <w:highlight w:val="none"/>
        </w:rPr>
        <w:t>甲方有权在其认为必要时，对乙方是否能够按照合同约定交付标的物进行履约检查，以确保乙方所交付的标的物能够依约满足甲方之项目需求，但不得因履约检查妨碍乙方的正常工作，乙方应予积极配合；</w:t>
      </w:r>
    </w:p>
    <w:p w14:paraId="0BA2FCAE">
      <w:pPr>
        <w:spacing w:line="360" w:lineRule="auto"/>
        <w:ind w:firstLine="480" w:firstLineChars="200"/>
        <w:rPr>
          <w:rFonts w:ascii="方正仿宋_GB2312" w:hAnsi="楷体" w:eastAsia="方正仿宋_GB2312"/>
          <w:color w:val="auto"/>
          <w:sz w:val="24"/>
          <w:highlight w:val="none"/>
        </w:rPr>
      </w:pPr>
      <w:r>
        <w:rPr>
          <w:rFonts w:hint="eastAsia" w:ascii="方正仿宋_GB2312" w:hAnsi="楷体" w:eastAsia="方正仿宋_GB2312"/>
          <w:color w:val="auto"/>
          <w:sz w:val="24"/>
          <w:highlight w:val="none"/>
        </w:rPr>
        <w:t>2.5.2 合同履行期间，甲方有权将履行过程中出现的问题反馈给乙方，双方当事人应以书面形式约定需要完善和改进的内容</w:t>
      </w:r>
      <w:bookmarkEnd w:id="210"/>
      <w:bookmarkStart w:id="216" w:name="_Toc186431855"/>
      <w:r>
        <w:rPr>
          <w:rFonts w:hint="eastAsia" w:ascii="方正仿宋_GB2312" w:hAnsi="楷体" w:eastAsia="方正仿宋_GB2312"/>
          <w:color w:val="auto"/>
          <w:sz w:val="24"/>
          <w:highlight w:val="none"/>
        </w:rPr>
        <w:t>。</w:t>
      </w:r>
    </w:p>
    <w:bookmarkEnd w:id="216"/>
    <w:p w14:paraId="0347BFF3">
      <w:pPr>
        <w:spacing w:line="360" w:lineRule="auto"/>
        <w:ind w:firstLine="482" w:firstLineChars="200"/>
        <w:rPr>
          <w:rFonts w:ascii="方正仿宋_GB2312" w:hAnsi="楷体" w:eastAsia="方正仿宋_GB2312"/>
          <w:b/>
          <w:color w:val="auto"/>
          <w:sz w:val="24"/>
          <w:highlight w:val="none"/>
        </w:rPr>
      </w:pPr>
      <w:bookmarkStart w:id="217" w:name="_Toc28451"/>
      <w:bookmarkStart w:id="218" w:name="_Toc7836"/>
      <w:bookmarkStart w:id="219" w:name="_Toc19219"/>
      <w:r>
        <w:rPr>
          <w:rFonts w:hint="eastAsia" w:ascii="方正仿宋_GB2312" w:hAnsi="楷体" w:eastAsia="方正仿宋_GB2312"/>
          <w:b/>
          <w:color w:val="auto"/>
          <w:sz w:val="24"/>
          <w:highlight w:val="none"/>
        </w:rPr>
        <w:t>2.6 结算方式和付款条件</w:t>
      </w:r>
      <w:bookmarkEnd w:id="211"/>
      <w:bookmarkEnd w:id="212"/>
      <w:bookmarkEnd w:id="213"/>
      <w:bookmarkEnd w:id="214"/>
      <w:bookmarkEnd w:id="215"/>
      <w:bookmarkEnd w:id="217"/>
      <w:bookmarkEnd w:id="218"/>
      <w:bookmarkEnd w:id="219"/>
    </w:p>
    <w:p w14:paraId="510AF2F5">
      <w:pPr>
        <w:spacing w:line="360" w:lineRule="auto"/>
        <w:ind w:firstLine="480" w:firstLineChars="200"/>
        <w:rPr>
          <w:rFonts w:ascii="方正仿宋_GB2312" w:hAnsi="楷体" w:eastAsia="方正仿宋_GB2312"/>
          <w:color w:val="auto"/>
          <w:sz w:val="24"/>
          <w:highlight w:val="none"/>
        </w:rPr>
      </w:pPr>
      <w:r>
        <w:rPr>
          <w:rFonts w:hint="eastAsia" w:ascii="方正仿宋_GB2312" w:hAnsi="楷体" w:eastAsia="方正仿宋_GB2312"/>
          <w:color w:val="auto"/>
          <w:sz w:val="24"/>
          <w:highlight w:val="none"/>
        </w:rPr>
        <w:t>详见</w:t>
      </w:r>
      <w:r>
        <w:rPr>
          <w:rFonts w:hint="eastAsia" w:ascii="方正仿宋_GB2312" w:hAnsi="楷体" w:eastAsia="方正仿宋_GB2312"/>
          <w:b/>
          <w:i/>
          <w:color w:val="auto"/>
          <w:sz w:val="24"/>
          <w:highlight w:val="none"/>
          <w:u w:val="single"/>
        </w:rPr>
        <w:t>合同专用条款</w:t>
      </w:r>
      <w:r>
        <w:rPr>
          <w:rFonts w:hint="eastAsia" w:ascii="方正仿宋_GB2312" w:hAnsi="楷体" w:eastAsia="方正仿宋_GB2312"/>
          <w:color w:val="auto"/>
          <w:sz w:val="24"/>
          <w:highlight w:val="none"/>
        </w:rPr>
        <w:t>。</w:t>
      </w:r>
    </w:p>
    <w:p w14:paraId="4BDE2474">
      <w:pPr>
        <w:spacing w:line="360" w:lineRule="auto"/>
        <w:ind w:firstLine="482" w:firstLineChars="200"/>
        <w:rPr>
          <w:rFonts w:ascii="方正仿宋_GB2312" w:hAnsi="楷体" w:eastAsia="方正仿宋_GB2312"/>
          <w:b/>
          <w:color w:val="auto"/>
          <w:sz w:val="24"/>
          <w:highlight w:val="none"/>
        </w:rPr>
      </w:pPr>
      <w:bookmarkStart w:id="220" w:name="_Toc487900358"/>
      <w:bookmarkStart w:id="221" w:name="_Ref467379923"/>
      <w:bookmarkStart w:id="222" w:name="_Ref467379863"/>
      <w:bookmarkStart w:id="223" w:name="_Toc279701248"/>
      <w:bookmarkStart w:id="224" w:name="_Ref467379852"/>
      <w:bookmarkStart w:id="225" w:name="_Toc259093677"/>
      <w:bookmarkStart w:id="226" w:name="_Toc774"/>
      <w:bookmarkStart w:id="227" w:name="_Toc16110"/>
      <w:bookmarkStart w:id="228" w:name="_Toc3225"/>
      <w:r>
        <w:rPr>
          <w:rFonts w:hint="eastAsia" w:ascii="方正仿宋_GB2312" w:hAnsi="楷体" w:eastAsia="方正仿宋_GB2312"/>
          <w:b/>
          <w:color w:val="auto"/>
          <w:sz w:val="24"/>
          <w:highlight w:val="none"/>
        </w:rPr>
        <w:t>2.7 技术资料</w:t>
      </w:r>
      <w:bookmarkEnd w:id="220"/>
      <w:bookmarkEnd w:id="221"/>
      <w:bookmarkEnd w:id="222"/>
      <w:bookmarkEnd w:id="223"/>
      <w:bookmarkEnd w:id="224"/>
      <w:bookmarkEnd w:id="225"/>
      <w:r>
        <w:rPr>
          <w:rFonts w:hint="eastAsia" w:ascii="方正仿宋_GB2312" w:hAnsi="楷体" w:eastAsia="方正仿宋_GB2312"/>
          <w:b/>
          <w:color w:val="auto"/>
          <w:sz w:val="24"/>
          <w:highlight w:val="none"/>
        </w:rPr>
        <w:t>和保密义务</w:t>
      </w:r>
      <w:bookmarkEnd w:id="226"/>
      <w:bookmarkEnd w:id="227"/>
      <w:bookmarkEnd w:id="228"/>
    </w:p>
    <w:p w14:paraId="336F989A">
      <w:pPr>
        <w:spacing w:line="360" w:lineRule="auto"/>
        <w:ind w:firstLine="480" w:firstLineChars="200"/>
        <w:rPr>
          <w:rFonts w:ascii="方正仿宋_GB2312" w:hAnsi="楷体" w:eastAsia="方正仿宋_GB2312"/>
          <w:color w:val="auto"/>
          <w:sz w:val="24"/>
          <w:highlight w:val="none"/>
        </w:rPr>
      </w:pPr>
      <w:r>
        <w:rPr>
          <w:rFonts w:hint="eastAsia" w:ascii="方正仿宋_GB2312" w:hAnsi="楷体" w:eastAsia="方正仿宋_GB2312"/>
          <w:color w:val="auto"/>
          <w:sz w:val="24"/>
          <w:highlight w:val="none"/>
        </w:rPr>
        <w:t>2.7.1 乙方有权依据合同约定和项目需要，向甲方了解有关情况，调阅有关资料等，甲方应予积极配合；</w:t>
      </w:r>
    </w:p>
    <w:p w14:paraId="4C702B1A">
      <w:pPr>
        <w:spacing w:line="360" w:lineRule="auto"/>
        <w:ind w:firstLine="480" w:firstLineChars="200"/>
        <w:rPr>
          <w:rFonts w:ascii="方正仿宋_GB2312" w:hAnsi="楷体" w:eastAsia="方正仿宋_GB2312"/>
          <w:color w:val="auto"/>
          <w:sz w:val="24"/>
          <w:highlight w:val="none"/>
        </w:rPr>
      </w:pPr>
      <w:r>
        <w:rPr>
          <w:rFonts w:hint="eastAsia" w:ascii="方正仿宋_GB2312" w:hAnsi="楷体" w:eastAsia="方正仿宋_GB2312"/>
          <w:color w:val="auto"/>
          <w:sz w:val="24"/>
          <w:highlight w:val="none"/>
        </w:rPr>
        <w:t>2.7.2 乙方有义务妥善保管和保护由甲方提供的前款信息和资料等；</w:t>
      </w:r>
    </w:p>
    <w:p w14:paraId="2A667FA0">
      <w:pPr>
        <w:spacing w:line="360" w:lineRule="auto"/>
        <w:ind w:firstLine="480" w:firstLineChars="200"/>
        <w:rPr>
          <w:rFonts w:ascii="方正仿宋_GB2312" w:hAnsi="楷体" w:eastAsia="方正仿宋_GB2312"/>
          <w:color w:val="auto"/>
          <w:sz w:val="24"/>
          <w:highlight w:val="none"/>
        </w:rPr>
      </w:pPr>
      <w:r>
        <w:rPr>
          <w:rFonts w:hint="eastAsia" w:ascii="方正仿宋_GB2312" w:hAnsi="楷体" w:eastAsia="方正仿宋_GB2312"/>
          <w:color w:val="auto"/>
          <w:sz w:val="24"/>
          <w:highlight w:val="none"/>
        </w:rPr>
        <w:t>2.7.3 除非依照法律规定或者对方当事人的书面同意，任何一方均应保证不向任何第三方提供或披露有关合同的或者履行合同过程中知悉的对方当事人任何未公开的信息和资料，包括但不限于技术情报、技术资料、商业秘密和商业信息等，并采取一切合理和必要措施及方式防止任何第三方接触到对方当事人的上述保密信息和资料。</w:t>
      </w:r>
    </w:p>
    <w:p w14:paraId="09EC9A50">
      <w:pPr>
        <w:spacing w:line="360" w:lineRule="auto"/>
        <w:ind w:firstLine="482" w:firstLineChars="200"/>
        <w:rPr>
          <w:rFonts w:ascii="方正仿宋_GB2312" w:hAnsi="楷体" w:eastAsia="方正仿宋_GB2312"/>
          <w:b/>
          <w:color w:val="auto"/>
          <w:sz w:val="24"/>
          <w:highlight w:val="none"/>
        </w:rPr>
      </w:pPr>
      <w:bookmarkStart w:id="229" w:name="_Toc7860"/>
      <w:r>
        <w:rPr>
          <w:rFonts w:hint="eastAsia" w:ascii="方正仿宋_GB2312" w:hAnsi="楷体" w:eastAsia="方正仿宋_GB2312"/>
          <w:b/>
          <w:color w:val="auto"/>
          <w:sz w:val="24"/>
          <w:highlight w:val="none"/>
        </w:rPr>
        <w:t>2.8 质量保证</w:t>
      </w:r>
      <w:bookmarkEnd w:id="229"/>
    </w:p>
    <w:p w14:paraId="3BE712DA">
      <w:pPr>
        <w:spacing w:line="360" w:lineRule="auto"/>
        <w:ind w:firstLine="480" w:firstLineChars="200"/>
        <w:rPr>
          <w:rFonts w:ascii="方正仿宋_GB2312" w:hAnsi="楷体" w:eastAsia="方正仿宋_GB2312"/>
          <w:color w:val="auto"/>
          <w:sz w:val="24"/>
          <w:highlight w:val="none"/>
        </w:rPr>
      </w:pPr>
      <w:r>
        <w:rPr>
          <w:rFonts w:hint="eastAsia" w:ascii="方正仿宋_GB2312" w:hAnsi="楷体" w:eastAsia="方正仿宋_GB2312"/>
          <w:color w:val="auto"/>
          <w:sz w:val="24"/>
          <w:highlight w:val="none"/>
        </w:rPr>
        <w:t>2.8.1 乙方应建立和完善履行合同的内部质量保证体系，并提供相关内部规章制度给甲方，以便甲方进行监督检查；</w:t>
      </w:r>
    </w:p>
    <w:p w14:paraId="57E3A24E">
      <w:pPr>
        <w:spacing w:line="360" w:lineRule="auto"/>
        <w:ind w:firstLine="480" w:firstLineChars="200"/>
        <w:rPr>
          <w:rFonts w:ascii="方正仿宋_GB2312" w:hAnsi="楷体" w:eastAsia="方正仿宋_GB2312"/>
          <w:color w:val="auto"/>
          <w:sz w:val="24"/>
          <w:highlight w:val="none"/>
        </w:rPr>
      </w:pPr>
      <w:r>
        <w:rPr>
          <w:rFonts w:hint="eastAsia" w:ascii="方正仿宋_GB2312" w:hAnsi="楷体" w:eastAsia="方正仿宋_GB2312"/>
          <w:color w:val="auto"/>
          <w:sz w:val="24"/>
          <w:highlight w:val="none"/>
        </w:rPr>
        <w:t>2.8.2 乙方应保证履行合同的人员数量和素质、软件和硬件设备的配置、场地、环境和设施等满足全面履行合同的要求，并应接受甲方的监督检查。</w:t>
      </w:r>
    </w:p>
    <w:p w14:paraId="688C6E05">
      <w:pPr>
        <w:spacing w:line="360" w:lineRule="auto"/>
        <w:ind w:firstLine="480" w:firstLineChars="200"/>
        <w:rPr>
          <w:rFonts w:ascii="方正仿宋_GB2312" w:hAnsi="仿宋" w:eastAsia="方正仿宋_GB2312" w:cs="方正仿宋_GB2312"/>
          <w:color w:val="auto"/>
          <w:kern w:val="0"/>
          <w:sz w:val="24"/>
          <w:highlight w:val="none"/>
        </w:rPr>
      </w:pPr>
      <w:r>
        <w:rPr>
          <w:rFonts w:hint="eastAsia" w:ascii="方正仿宋_GB2312" w:hAnsi="仿宋" w:eastAsia="方正仿宋_GB2312"/>
          <w:color w:val="auto"/>
          <w:sz w:val="24"/>
          <w:highlight w:val="none"/>
        </w:rPr>
        <w:t>2.8.3乙方应确保项目技术人员的数量和水平与投标文件一致。未经甲方书面同意，乙方不得擅自更换投标文件中注明的项目经理和技术负责人。否则</w:t>
      </w:r>
      <w:r>
        <w:rPr>
          <w:rFonts w:hint="eastAsia" w:ascii="方正仿宋_GB2312" w:hAnsi="仿宋" w:eastAsia="方正仿宋_GB2312" w:cs="方正仿宋_GB2312"/>
          <w:color w:val="auto"/>
          <w:kern w:val="0"/>
          <w:sz w:val="24"/>
          <w:highlight w:val="none"/>
        </w:rPr>
        <w:t>甲方有权放弃或终止合同，并没收履约保证金。</w:t>
      </w:r>
    </w:p>
    <w:p w14:paraId="4BEC8145">
      <w:pPr>
        <w:spacing w:line="360" w:lineRule="auto"/>
        <w:ind w:firstLine="480" w:firstLineChars="200"/>
        <w:rPr>
          <w:rFonts w:ascii="方正仿宋_GB2312" w:hAnsi="楷体" w:eastAsia="方正仿宋_GB2312"/>
          <w:color w:val="auto"/>
          <w:sz w:val="24"/>
          <w:highlight w:val="none"/>
        </w:rPr>
      </w:pPr>
      <w:r>
        <w:rPr>
          <w:rFonts w:hint="eastAsia" w:ascii="方正仿宋_GB2312" w:hAnsi="仿宋" w:eastAsia="方正仿宋_GB2312"/>
          <w:color w:val="auto"/>
          <w:sz w:val="24"/>
          <w:highlight w:val="none"/>
        </w:rPr>
        <w:t>2.8.4因乙方原因造成甲方其他系统不能正常运行，酿成重大事故（工作日系统中断一天以上）的，乙方应承担全部法律责任，并赔偿经济损失，赔偿金额为项目总价的</w:t>
      </w:r>
      <w:r>
        <w:rPr>
          <w:rFonts w:ascii="方正仿宋_GB2312" w:hAnsi="仿宋" w:eastAsia="方正仿宋_GB2312"/>
          <w:color w:val="auto"/>
          <w:sz w:val="24"/>
          <w:highlight w:val="none"/>
        </w:rPr>
        <w:t xml:space="preserve">30 </w:t>
      </w:r>
      <w:r>
        <w:rPr>
          <w:rFonts w:hint="eastAsia" w:ascii="方正仿宋_GB2312" w:hAnsi="仿宋" w:eastAsia="方正仿宋_GB2312"/>
          <w:color w:val="auto"/>
          <w:sz w:val="24"/>
          <w:highlight w:val="none"/>
        </w:rPr>
        <w:t>%。</w:t>
      </w:r>
    </w:p>
    <w:p w14:paraId="2AE8F7B7">
      <w:pPr>
        <w:spacing w:line="360" w:lineRule="auto"/>
        <w:ind w:firstLine="482" w:firstLineChars="200"/>
        <w:rPr>
          <w:rFonts w:ascii="方正仿宋_GB2312" w:hAnsi="楷体" w:eastAsia="方正仿宋_GB2312"/>
          <w:b/>
          <w:color w:val="auto"/>
          <w:sz w:val="24"/>
          <w:highlight w:val="none"/>
        </w:rPr>
      </w:pPr>
      <w:bookmarkStart w:id="230" w:name="_Toc17244"/>
      <w:bookmarkStart w:id="231" w:name="_Toc259093681"/>
      <w:bookmarkStart w:id="232" w:name="_Toc279701252"/>
      <w:bookmarkStart w:id="233" w:name="_Toc487900362"/>
      <w:r>
        <w:rPr>
          <w:rFonts w:hint="eastAsia" w:ascii="方正仿宋_GB2312" w:hAnsi="楷体" w:eastAsia="方正仿宋_GB2312"/>
          <w:b/>
          <w:color w:val="auto"/>
          <w:sz w:val="24"/>
          <w:highlight w:val="none"/>
        </w:rPr>
        <w:t>2.9 标的物的风险负担</w:t>
      </w:r>
      <w:bookmarkEnd w:id="230"/>
    </w:p>
    <w:p w14:paraId="22A2DA3F">
      <w:pPr>
        <w:spacing w:line="360" w:lineRule="auto"/>
        <w:ind w:firstLine="480" w:firstLineChars="200"/>
        <w:rPr>
          <w:rFonts w:ascii="方正仿宋_GB2312" w:hAnsi="楷体" w:eastAsia="方正仿宋_GB2312"/>
          <w:b/>
          <w:color w:val="auto"/>
          <w:sz w:val="24"/>
          <w:highlight w:val="none"/>
        </w:rPr>
      </w:pPr>
      <w:r>
        <w:rPr>
          <w:rFonts w:hint="eastAsia" w:ascii="方正仿宋_GB2312" w:hAnsi="楷体" w:eastAsia="方正仿宋_GB2312"/>
          <w:color w:val="auto"/>
          <w:sz w:val="24"/>
          <w:highlight w:val="none"/>
        </w:rPr>
        <w:t>标的物或者在途标的物或者交付给第一承运人后的标的物毁损、灭失的风险负担详见</w:t>
      </w:r>
      <w:r>
        <w:rPr>
          <w:rFonts w:hint="eastAsia" w:ascii="方正仿宋_GB2312" w:hAnsi="楷体" w:eastAsia="方正仿宋_GB2312"/>
          <w:b/>
          <w:i/>
          <w:color w:val="auto"/>
          <w:sz w:val="24"/>
          <w:highlight w:val="none"/>
          <w:u w:val="single"/>
        </w:rPr>
        <w:t>合同专用条款</w:t>
      </w:r>
      <w:r>
        <w:rPr>
          <w:rFonts w:hint="eastAsia" w:ascii="方正仿宋_GB2312" w:hAnsi="楷体" w:eastAsia="方正仿宋_GB2312"/>
          <w:color w:val="auto"/>
          <w:sz w:val="24"/>
          <w:highlight w:val="none"/>
        </w:rPr>
        <w:t>。</w:t>
      </w:r>
    </w:p>
    <w:p w14:paraId="032393AE">
      <w:pPr>
        <w:spacing w:line="360" w:lineRule="auto"/>
        <w:ind w:firstLine="482" w:firstLineChars="200"/>
        <w:rPr>
          <w:rFonts w:ascii="方正仿宋_GB2312" w:hAnsi="楷体" w:eastAsia="方正仿宋_GB2312"/>
          <w:b/>
          <w:color w:val="auto"/>
          <w:sz w:val="24"/>
          <w:highlight w:val="none"/>
        </w:rPr>
      </w:pPr>
      <w:bookmarkStart w:id="234" w:name="_Toc14055"/>
      <w:r>
        <w:rPr>
          <w:rFonts w:hint="eastAsia" w:ascii="方正仿宋_GB2312" w:hAnsi="楷体" w:eastAsia="方正仿宋_GB2312"/>
          <w:b/>
          <w:color w:val="auto"/>
          <w:sz w:val="24"/>
          <w:highlight w:val="none"/>
        </w:rPr>
        <w:t>2.10 延迟交货</w:t>
      </w:r>
      <w:bookmarkEnd w:id="231"/>
      <w:bookmarkEnd w:id="232"/>
      <w:bookmarkEnd w:id="233"/>
      <w:bookmarkEnd w:id="234"/>
      <w:r>
        <w:rPr>
          <w:rFonts w:hint="eastAsia" w:ascii="方正仿宋_GB2312" w:hAnsi="楷体" w:eastAsia="方正仿宋_GB2312"/>
          <w:b/>
          <w:color w:val="auto"/>
          <w:sz w:val="24"/>
          <w:highlight w:val="none"/>
        </w:rPr>
        <w:t>/交付</w:t>
      </w:r>
    </w:p>
    <w:p w14:paraId="624E2F08">
      <w:pPr>
        <w:spacing w:line="360" w:lineRule="auto"/>
        <w:ind w:firstLine="480" w:firstLineChars="200"/>
        <w:rPr>
          <w:rFonts w:ascii="方正仿宋_GB2312" w:hAnsi="楷体" w:eastAsia="方正仿宋_GB2312"/>
          <w:color w:val="auto"/>
          <w:sz w:val="24"/>
          <w:highlight w:val="none"/>
        </w:rPr>
      </w:pPr>
      <w:r>
        <w:rPr>
          <w:rFonts w:hint="eastAsia" w:ascii="方正仿宋_GB2312" w:hAnsi="楷体" w:eastAsia="方正仿宋_GB2312"/>
          <w:color w:val="auto"/>
          <w:sz w:val="24"/>
          <w:highlight w:val="none"/>
        </w:rPr>
        <w:t>在合同履行过程中，如果乙方遇到不能按时交付标的物的情况，应及时以书面形式将不能按时交付标的物的理由、预期延误时间通知甲方；甲方收到乙方通知后，认为其理由正当的，可以书面形式酌情同意乙方可以延长交货的具体时间。</w:t>
      </w:r>
    </w:p>
    <w:p w14:paraId="4CA4CA2E">
      <w:pPr>
        <w:spacing w:line="360" w:lineRule="auto"/>
        <w:ind w:firstLine="482" w:firstLineChars="200"/>
        <w:rPr>
          <w:rFonts w:ascii="方正仿宋_GB2312" w:hAnsi="楷体" w:eastAsia="方正仿宋_GB2312"/>
          <w:b/>
          <w:color w:val="auto"/>
          <w:sz w:val="24"/>
          <w:highlight w:val="none"/>
        </w:rPr>
      </w:pPr>
      <w:bookmarkStart w:id="235" w:name="_Toc7502"/>
      <w:bookmarkStart w:id="236" w:name="_Toc259093683"/>
      <w:bookmarkStart w:id="237" w:name="_Toc487900364"/>
      <w:bookmarkStart w:id="238" w:name="_Toc279701254"/>
      <w:bookmarkStart w:id="239" w:name="_Ref467378121"/>
      <w:r>
        <w:rPr>
          <w:rFonts w:hint="eastAsia" w:ascii="方正仿宋_GB2312" w:hAnsi="楷体" w:eastAsia="方正仿宋_GB2312"/>
          <w:b/>
          <w:color w:val="auto"/>
          <w:sz w:val="24"/>
          <w:highlight w:val="none"/>
        </w:rPr>
        <w:t>2.11 合同变更</w:t>
      </w:r>
      <w:bookmarkEnd w:id="235"/>
    </w:p>
    <w:p w14:paraId="4C61F6FF">
      <w:pPr>
        <w:spacing w:line="360" w:lineRule="auto"/>
        <w:ind w:firstLine="480" w:firstLineChars="200"/>
        <w:rPr>
          <w:rFonts w:ascii="方正仿宋_GB2312" w:hAnsi="楷体" w:eastAsia="方正仿宋_GB2312"/>
          <w:color w:val="auto"/>
          <w:sz w:val="24"/>
          <w:highlight w:val="none"/>
        </w:rPr>
      </w:pPr>
      <w:r>
        <w:rPr>
          <w:rFonts w:hint="eastAsia" w:ascii="方正仿宋_GB2312" w:hAnsi="楷体" w:eastAsia="方正仿宋_GB2312"/>
          <w:color w:val="auto"/>
          <w:sz w:val="24"/>
          <w:highlight w:val="none"/>
        </w:rPr>
        <w:t>2.11.1双方当事人协商一致，可以签订书面补充合同的形式变更合同，但不得违背采购文件确定的事项。如果系追加与合同标的相同的标的物的，那么需经采购监督管理部门同意，且所有补充合同的采购金额不得超过原合同价的10%；</w:t>
      </w:r>
    </w:p>
    <w:p w14:paraId="5297F0C1">
      <w:pPr>
        <w:spacing w:line="360" w:lineRule="auto"/>
        <w:ind w:firstLine="480" w:firstLineChars="200"/>
        <w:rPr>
          <w:rFonts w:ascii="方正仿宋_GB2312" w:hAnsi="楷体" w:eastAsia="方正仿宋_GB2312"/>
          <w:color w:val="auto"/>
          <w:sz w:val="24"/>
          <w:highlight w:val="none"/>
        </w:rPr>
      </w:pPr>
      <w:r>
        <w:rPr>
          <w:rFonts w:hint="eastAsia" w:ascii="方正仿宋_GB2312" w:hAnsi="楷体" w:eastAsia="方正仿宋_GB2312"/>
          <w:color w:val="auto"/>
          <w:sz w:val="24"/>
          <w:highlight w:val="none"/>
        </w:rPr>
        <w:t>2.11.2 合同继续履行将损害国家利益和社会公共利益的，双方当事人应当以书面形式变更合同。有过错的一方应当承担赔偿责任，双方当事人都有过错的，各自承担相应的责任。</w:t>
      </w:r>
      <w:bookmarkStart w:id="240" w:name="_Toc259093688"/>
      <w:bookmarkStart w:id="241" w:name="_Toc279701259"/>
      <w:bookmarkStart w:id="242" w:name="_Toc487900369"/>
    </w:p>
    <w:p w14:paraId="7DB7B1DC">
      <w:pPr>
        <w:spacing w:line="360" w:lineRule="auto"/>
        <w:ind w:firstLine="482" w:firstLineChars="200"/>
        <w:rPr>
          <w:rFonts w:ascii="方正仿宋_GB2312" w:hAnsi="楷体" w:eastAsia="方正仿宋_GB2312"/>
          <w:b/>
          <w:color w:val="auto"/>
          <w:sz w:val="24"/>
          <w:highlight w:val="none"/>
        </w:rPr>
      </w:pPr>
      <w:bookmarkStart w:id="243" w:name="_Toc10366"/>
      <w:bookmarkStart w:id="244" w:name="_Toc15237"/>
      <w:bookmarkStart w:id="245" w:name="_Toc22955"/>
      <w:r>
        <w:rPr>
          <w:rFonts w:hint="eastAsia" w:ascii="方正仿宋_GB2312" w:hAnsi="楷体" w:eastAsia="方正仿宋_GB2312"/>
          <w:b/>
          <w:color w:val="auto"/>
          <w:sz w:val="24"/>
          <w:highlight w:val="none"/>
        </w:rPr>
        <w:t>2.12 合同转让</w:t>
      </w:r>
      <w:bookmarkEnd w:id="240"/>
      <w:bookmarkEnd w:id="241"/>
      <w:bookmarkEnd w:id="242"/>
      <w:r>
        <w:rPr>
          <w:rFonts w:hint="eastAsia" w:ascii="方正仿宋_GB2312" w:hAnsi="楷体" w:eastAsia="方正仿宋_GB2312"/>
          <w:b/>
          <w:color w:val="auto"/>
          <w:sz w:val="24"/>
          <w:highlight w:val="none"/>
        </w:rPr>
        <w:t>和分包</w:t>
      </w:r>
      <w:bookmarkEnd w:id="243"/>
      <w:bookmarkEnd w:id="244"/>
      <w:bookmarkEnd w:id="245"/>
    </w:p>
    <w:p w14:paraId="5B56C822">
      <w:pPr>
        <w:spacing w:line="360" w:lineRule="auto"/>
        <w:ind w:firstLine="480" w:firstLineChars="200"/>
        <w:rPr>
          <w:rFonts w:ascii="方正仿宋_GB2312" w:hAnsi="楷体" w:eastAsia="方正仿宋_GB2312"/>
          <w:color w:val="auto"/>
          <w:sz w:val="24"/>
          <w:highlight w:val="none"/>
        </w:rPr>
      </w:pPr>
      <w:r>
        <w:rPr>
          <w:rFonts w:hint="eastAsia" w:ascii="方正仿宋_GB2312" w:hAnsi="楷体" w:eastAsia="方正仿宋_GB2312"/>
          <w:color w:val="auto"/>
          <w:sz w:val="24"/>
          <w:highlight w:val="none"/>
        </w:rPr>
        <w:t>合同的权利义务依法不得转让，但经甲方书面同意，乙方可以依法采取分包方式履行合同，即：依法可以将合同项下的部分非主体、非关键性工作分包给他人完成，接受分包的供应商应当具备相应的资格条件，并不得再次分包，且乙方应就分包项目向甲方负责，并与分包供应商就分包项目向甲方承担连带责任。</w:t>
      </w:r>
    </w:p>
    <w:p w14:paraId="1D325A74">
      <w:pPr>
        <w:spacing w:line="360" w:lineRule="auto"/>
        <w:ind w:firstLine="482" w:firstLineChars="200"/>
        <w:rPr>
          <w:rFonts w:ascii="方正仿宋_GB2312" w:hAnsi="楷体" w:eastAsia="方正仿宋_GB2312"/>
          <w:b/>
          <w:color w:val="auto"/>
          <w:sz w:val="24"/>
          <w:highlight w:val="none"/>
        </w:rPr>
      </w:pPr>
      <w:bookmarkStart w:id="246" w:name="_Toc13566"/>
      <w:bookmarkStart w:id="247" w:name="_Toc16508"/>
      <w:bookmarkStart w:id="248" w:name="_Toc14066"/>
      <w:r>
        <w:rPr>
          <w:rFonts w:hint="eastAsia" w:ascii="方正仿宋_GB2312" w:hAnsi="楷体" w:eastAsia="方正仿宋_GB2312"/>
          <w:b/>
          <w:color w:val="auto"/>
          <w:sz w:val="24"/>
          <w:highlight w:val="none"/>
        </w:rPr>
        <w:t>2.13 不可抗力</w:t>
      </w:r>
      <w:bookmarkEnd w:id="246"/>
      <w:bookmarkEnd w:id="247"/>
      <w:bookmarkEnd w:id="248"/>
    </w:p>
    <w:p w14:paraId="76210D4B">
      <w:pPr>
        <w:spacing w:line="360" w:lineRule="auto"/>
        <w:ind w:firstLine="480" w:firstLineChars="200"/>
        <w:rPr>
          <w:rFonts w:ascii="方正仿宋_GB2312" w:hAnsi="楷体" w:eastAsia="方正仿宋_GB2312"/>
          <w:color w:val="auto"/>
          <w:sz w:val="24"/>
          <w:highlight w:val="none"/>
        </w:rPr>
      </w:pPr>
      <w:r>
        <w:rPr>
          <w:rFonts w:hint="eastAsia" w:ascii="方正仿宋_GB2312" w:hAnsi="楷体" w:eastAsia="方正仿宋_GB2312"/>
          <w:color w:val="auto"/>
          <w:sz w:val="24"/>
          <w:highlight w:val="none"/>
        </w:rPr>
        <w:t>2.13.1如果任何一方遭遇法律规定的不可抗力，致使合同履行受阻时，履行合同的期限应予延长，延长的期限应相当于不可抗力所影响的时间；</w:t>
      </w:r>
    </w:p>
    <w:p w14:paraId="1F9435D7">
      <w:pPr>
        <w:spacing w:line="360" w:lineRule="auto"/>
        <w:ind w:firstLine="480" w:firstLineChars="200"/>
        <w:rPr>
          <w:rFonts w:ascii="方正仿宋_GB2312" w:hAnsi="楷体" w:eastAsia="方正仿宋_GB2312"/>
          <w:color w:val="auto"/>
          <w:sz w:val="24"/>
          <w:highlight w:val="none"/>
        </w:rPr>
      </w:pPr>
      <w:r>
        <w:rPr>
          <w:rFonts w:hint="eastAsia" w:ascii="方正仿宋_GB2312" w:hAnsi="楷体" w:eastAsia="方正仿宋_GB2312"/>
          <w:color w:val="auto"/>
          <w:sz w:val="24"/>
          <w:highlight w:val="none"/>
        </w:rPr>
        <w:t>2.13.2受不可抗力影响的一方在不可抗力发生后，应在</w:t>
      </w:r>
      <w:r>
        <w:rPr>
          <w:rFonts w:hint="eastAsia" w:ascii="方正仿宋_GB2312" w:hAnsi="楷体" w:eastAsia="方正仿宋_GB2312"/>
          <w:b/>
          <w:i/>
          <w:color w:val="auto"/>
          <w:sz w:val="24"/>
          <w:highlight w:val="none"/>
          <w:u w:val="single"/>
        </w:rPr>
        <w:t>合同专用条款</w:t>
      </w:r>
      <w:r>
        <w:rPr>
          <w:rFonts w:hint="eastAsia" w:ascii="方正仿宋_GB2312" w:hAnsi="楷体" w:eastAsia="方正仿宋_GB2312"/>
          <w:color w:val="auto"/>
          <w:sz w:val="24"/>
          <w:highlight w:val="none"/>
        </w:rPr>
        <w:t>约定时间内以书面形式通知对方当事人，并在</w:t>
      </w:r>
      <w:r>
        <w:rPr>
          <w:rFonts w:hint="eastAsia" w:ascii="方正仿宋_GB2312" w:hAnsi="楷体" w:eastAsia="方正仿宋_GB2312"/>
          <w:b/>
          <w:i/>
          <w:color w:val="auto"/>
          <w:sz w:val="24"/>
          <w:highlight w:val="none"/>
          <w:u w:val="single"/>
        </w:rPr>
        <w:t>合同专用条款</w:t>
      </w:r>
      <w:r>
        <w:rPr>
          <w:rFonts w:hint="eastAsia" w:ascii="方正仿宋_GB2312" w:hAnsi="楷体" w:eastAsia="方正仿宋_GB2312"/>
          <w:color w:val="auto"/>
          <w:sz w:val="24"/>
          <w:highlight w:val="none"/>
        </w:rPr>
        <w:t>约定时间内，将有关部门出具的证明文件送达对方当事人。</w:t>
      </w:r>
    </w:p>
    <w:p w14:paraId="66F8DD21">
      <w:pPr>
        <w:spacing w:line="360" w:lineRule="auto"/>
        <w:ind w:firstLine="480" w:firstLineChars="200"/>
        <w:rPr>
          <w:rFonts w:ascii="方正仿宋_GB2312" w:hAnsi="楷体" w:eastAsia="方正仿宋_GB2312"/>
          <w:color w:val="auto"/>
          <w:sz w:val="24"/>
          <w:highlight w:val="none"/>
        </w:rPr>
      </w:pPr>
      <w:r>
        <w:rPr>
          <w:rFonts w:hint="eastAsia" w:ascii="方正仿宋_GB2312" w:hAnsi="楷体" w:eastAsia="方正仿宋_GB2312"/>
          <w:color w:val="auto"/>
          <w:sz w:val="24"/>
          <w:highlight w:val="none"/>
        </w:rPr>
        <w:t>2.13.3 因不可抗力致使不能实现合同目的的，当事人可以解除合同；</w:t>
      </w:r>
    </w:p>
    <w:p w14:paraId="0C3C87EB">
      <w:pPr>
        <w:spacing w:line="360" w:lineRule="auto"/>
        <w:ind w:firstLine="480" w:firstLineChars="200"/>
        <w:rPr>
          <w:rFonts w:ascii="方正仿宋_GB2312" w:hAnsi="楷体" w:eastAsia="方正仿宋_GB2312"/>
          <w:color w:val="auto"/>
          <w:sz w:val="24"/>
          <w:highlight w:val="none"/>
        </w:rPr>
      </w:pPr>
      <w:r>
        <w:rPr>
          <w:rFonts w:hint="eastAsia" w:ascii="方正仿宋_GB2312" w:hAnsi="楷体" w:eastAsia="方正仿宋_GB2312"/>
          <w:color w:val="auto"/>
          <w:sz w:val="24"/>
          <w:highlight w:val="none"/>
        </w:rPr>
        <w:t>2.13.4 因不可抗力致使合同有变更必要的，双方当事人应在</w:t>
      </w:r>
      <w:r>
        <w:rPr>
          <w:rFonts w:hint="eastAsia" w:ascii="方正仿宋_GB2312" w:hAnsi="楷体" w:eastAsia="方正仿宋_GB2312"/>
          <w:b/>
          <w:i/>
          <w:color w:val="auto"/>
          <w:sz w:val="24"/>
          <w:highlight w:val="none"/>
          <w:u w:val="single"/>
        </w:rPr>
        <w:t>合同专用条款</w:t>
      </w:r>
      <w:r>
        <w:rPr>
          <w:rFonts w:hint="eastAsia" w:ascii="方正仿宋_GB2312" w:hAnsi="楷体" w:eastAsia="方正仿宋_GB2312"/>
          <w:color w:val="auto"/>
          <w:sz w:val="24"/>
          <w:highlight w:val="none"/>
        </w:rPr>
        <w:t>约定时间内以书面形式变更合同；</w:t>
      </w:r>
    </w:p>
    <w:p w14:paraId="4B3DF5A7">
      <w:pPr>
        <w:spacing w:line="360" w:lineRule="auto"/>
        <w:ind w:firstLine="482" w:firstLineChars="200"/>
        <w:rPr>
          <w:rFonts w:ascii="方正仿宋_GB2312" w:hAnsi="楷体" w:eastAsia="方正仿宋_GB2312"/>
          <w:b/>
          <w:color w:val="auto"/>
          <w:sz w:val="24"/>
          <w:highlight w:val="none"/>
        </w:rPr>
      </w:pPr>
      <w:bookmarkStart w:id="249" w:name="_Toc30676"/>
      <w:bookmarkStart w:id="250" w:name="_Toc6969"/>
      <w:bookmarkStart w:id="251" w:name="_Toc279701255"/>
      <w:bookmarkStart w:id="252" w:name="_Toc689"/>
      <w:bookmarkStart w:id="253" w:name="_Toc259093684"/>
      <w:bookmarkStart w:id="254" w:name="_Toc487900365"/>
      <w:r>
        <w:rPr>
          <w:rFonts w:hint="eastAsia" w:ascii="方正仿宋_GB2312" w:hAnsi="楷体" w:eastAsia="方正仿宋_GB2312"/>
          <w:b/>
          <w:color w:val="auto"/>
          <w:sz w:val="24"/>
          <w:highlight w:val="none"/>
        </w:rPr>
        <w:t>2.14 税费</w:t>
      </w:r>
      <w:bookmarkEnd w:id="249"/>
      <w:bookmarkEnd w:id="250"/>
      <w:bookmarkEnd w:id="251"/>
      <w:bookmarkEnd w:id="252"/>
      <w:bookmarkEnd w:id="253"/>
      <w:bookmarkEnd w:id="254"/>
    </w:p>
    <w:p w14:paraId="4B1E683A">
      <w:pPr>
        <w:spacing w:line="360" w:lineRule="auto"/>
        <w:ind w:firstLine="480" w:firstLineChars="200"/>
        <w:rPr>
          <w:rFonts w:ascii="方正仿宋_GB2312" w:hAnsi="楷体" w:eastAsia="方正仿宋_GB2312"/>
          <w:color w:val="auto"/>
          <w:sz w:val="24"/>
          <w:highlight w:val="none"/>
        </w:rPr>
      </w:pPr>
      <w:r>
        <w:rPr>
          <w:rFonts w:hint="eastAsia" w:ascii="方正仿宋_GB2312" w:hAnsi="楷体" w:eastAsia="方正仿宋_GB2312"/>
          <w:color w:val="auto"/>
          <w:sz w:val="24"/>
          <w:highlight w:val="none"/>
        </w:rPr>
        <w:t>与合同有关的一切税费，均按照中华人民共和国法律的相关规定执行。</w:t>
      </w:r>
    </w:p>
    <w:p w14:paraId="73A627FA">
      <w:pPr>
        <w:spacing w:line="360" w:lineRule="auto"/>
        <w:ind w:firstLine="482" w:firstLineChars="200"/>
        <w:rPr>
          <w:rFonts w:ascii="方正仿宋_GB2312" w:hAnsi="楷体" w:eastAsia="方正仿宋_GB2312"/>
          <w:b/>
          <w:color w:val="auto"/>
          <w:sz w:val="24"/>
          <w:highlight w:val="none"/>
        </w:rPr>
      </w:pPr>
      <w:bookmarkStart w:id="255" w:name="_Toc279701258"/>
      <w:bookmarkStart w:id="256" w:name="_Toc259093687"/>
      <w:bookmarkStart w:id="257" w:name="_Toc16959"/>
      <w:bookmarkStart w:id="258" w:name="_Toc487900368"/>
      <w:bookmarkStart w:id="259" w:name="_Toc8298"/>
      <w:bookmarkStart w:id="260" w:name="_Toc7102"/>
      <w:r>
        <w:rPr>
          <w:rFonts w:hint="eastAsia" w:ascii="方正仿宋_GB2312" w:hAnsi="楷体" w:eastAsia="方正仿宋_GB2312"/>
          <w:b/>
          <w:color w:val="auto"/>
          <w:sz w:val="24"/>
          <w:highlight w:val="none"/>
        </w:rPr>
        <w:t>2.15 乙方破产</w:t>
      </w:r>
      <w:bookmarkEnd w:id="255"/>
      <w:bookmarkEnd w:id="256"/>
      <w:bookmarkEnd w:id="257"/>
      <w:bookmarkEnd w:id="258"/>
      <w:bookmarkEnd w:id="259"/>
      <w:bookmarkEnd w:id="260"/>
    </w:p>
    <w:p w14:paraId="5F7B3324">
      <w:pPr>
        <w:spacing w:line="360" w:lineRule="auto"/>
        <w:ind w:firstLine="480" w:firstLineChars="200"/>
        <w:rPr>
          <w:rFonts w:ascii="方正仿宋_GB2312" w:hAnsi="楷体" w:eastAsia="方正仿宋_GB2312"/>
          <w:color w:val="auto"/>
          <w:sz w:val="24"/>
          <w:highlight w:val="none"/>
        </w:rPr>
      </w:pPr>
      <w:r>
        <w:rPr>
          <w:rFonts w:hint="eastAsia" w:ascii="方正仿宋_GB2312" w:hAnsi="楷体" w:eastAsia="方正仿宋_GB2312"/>
          <w:color w:val="auto"/>
          <w:sz w:val="24"/>
          <w:highlight w:val="none"/>
        </w:rPr>
        <w:t>如果乙方破产导致合同无法履行时，甲方可以书面形式通知乙方终止合同且不给予乙方任何补偿和赔偿，但合同的终止不损害或不影响甲方已经采取或将要采取的任何要求乙方支付违约金、赔偿损失等的行动或补救措施的权利。</w:t>
      </w:r>
    </w:p>
    <w:p w14:paraId="6632F7AD">
      <w:pPr>
        <w:spacing w:line="360" w:lineRule="auto"/>
        <w:ind w:firstLine="482" w:firstLineChars="200"/>
        <w:rPr>
          <w:rFonts w:ascii="方正仿宋_GB2312" w:hAnsi="楷体" w:eastAsia="方正仿宋_GB2312"/>
          <w:b/>
          <w:color w:val="auto"/>
          <w:sz w:val="24"/>
          <w:highlight w:val="none"/>
        </w:rPr>
      </w:pPr>
      <w:bookmarkStart w:id="261" w:name="_Toc15387"/>
      <w:bookmarkStart w:id="262" w:name="_Toc29333"/>
      <w:bookmarkStart w:id="263" w:name="_Toc6134"/>
      <w:r>
        <w:rPr>
          <w:rFonts w:hint="eastAsia" w:ascii="方正仿宋_GB2312" w:hAnsi="楷体" w:eastAsia="方正仿宋_GB2312"/>
          <w:b/>
          <w:color w:val="auto"/>
          <w:sz w:val="24"/>
          <w:highlight w:val="none"/>
        </w:rPr>
        <w:t>2.16 合同中止、终止</w:t>
      </w:r>
      <w:bookmarkEnd w:id="261"/>
      <w:bookmarkEnd w:id="262"/>
      <w:bookmarkEnd w:id="263"/>
    </w:p>
    <w:p w14:paraId="5820DF0D">
      <w:pPr>
        <w:spacing w:line="360" w:lineRule="auto"/>
        <w:ind w:firstLine="480" w:firstLineChars="200"/>
        <w:rPr>
          <w:rFonts w:ascii="方正仿宋_GB2312" w:hAnsi="楷体" w:eastAsia="方正仿宋_GB2312"/>
          <w:color w:val="auto"/>
          <w:sz w:val="24"/>
          <w:highlight w:val="none"/>
        </w:rPr>
      </w:pPr>
      <w:r>
        <w:rPr>
          <w:rFonts w:hint="eastAsia" w:ascii="方正仿宋_GB2312" w:hAnsi="楷体" w:eastAsia="方正仿宋_GB2312"/>
          <w:color w:val="auto"/>
          <w:sz w:val="24"/>
          <w:highlight w:val="none"/>
        </w:rPr>
        <w:t>2.16.1 双方当事人不得擅自中止或者终止合同；</w:t>
      </w:r>
    </w:p>
    <w:p w14:paraId="40F39EEB">
      <w:pPr>
        <w:spacing w:line="360" w:lineRule="auto"/>
        <w:ind w:firstLine="480" w:firstLineChars="200"/>
        <w:rPr>
          <w:rFonts w:ascii="方正仿宋_GB2312" w:hAnsi="楷体" w:eastAsia="方正仿宋_GB2312"/>
          <w:color w:val="auto"/>
          <w:sz w:val="24"/>
          <w:highlight w:val="none"/>
        </w:rPr>
      </w:pPr>
      <w:r>
        <w:rPr>
          <w:rFonts w:hint="eastAsia" w:ascii="方正仿宋_GB2312" w:hAnsi="楷体" w:eastAsia="方正仿宋_GB2312"/>
          <w:color w:val="auto"/>
          <w:sz w:val="24"/>
          <w:highlight w:val="none"/>
        </w:rPr>
        <w:t>2.16.2合同继续履行将损害国家利益和社会公共利益的，双方当事人应当中止或者终止合同。有过错的一方应当承担赔偿责任，双方当事人都有过错的，各自承担相应的责任。</w:t>
      </w:r>
    </w:p>
    <w:p w14:paraId="779228E4">
      <w:pPr>
        <w:spacing w:line="360" w:lineRule="auto"/>
        <w:ind w:firstLine="482" w:firstLineChars="200"/>
        <w:rPr>
          <w:rFonts w:ascii="方正仿宋_GB2312" w:hAnsi="楷体" w:eastAsia="方正仿宋_GB2312"/>
          <w:b/>
          <w:color w:val="auto"/>
          <w:sz w:val="24"/>
          <w:highlight w:val="none"/>
        </w:rPr>
      </w:pPr>
      <w:bookmarkStart w:id="264" w:name="_Toc14563"/>
      <w:bookmarkStart w:id="265" w:name="_Toc6596"/>
      <w:bookmarkStart w:id="266" w:name="_Toc1125"/>
      <w:r>
        <w:rPr>
          <w:rFonts w:hint="eastAsia" w:ascii="方正仿宋_GB2312" w:hAnsi="楷体" w:eastAsia="方正仿宋_GB2312"/>
          <w:b/>
          <w:color w:val="auto"/>
          <w:sz w:val="24"/>
          <w:highlight w:val="none"/>
        </w:rPr>
        <w:t>2.17 检验和验收</w:t>
      </w:r>
      <w:bookmarkEnd w:id="264"/>
      <w:bookmarkEnd w:id="265"/>
      <w:bookmarkEnd w:id="266"/>
    </w:p>
    <w:p w14:paraId="6DE3C9C7">
      <w:pPr>
        <w:spacing w:line="360" w:lineRule="auto"/>
        <w:ind w:firstLine="480" w:firstLineChars="200"/>
        <w:rPr>
          <w:rFonts w:ascii="方正仿宋_GB2312" w:hAnsi="楷体" w:eastAsia="方正仿宋_GB2312"/>
          <w:color w:val="auto"/>
          <w:sz w:val="24"/>
          <w:highlight w:val="none"/>
        </w:rPr>
      </w:pPr>
      <w:r>
        <w:rPr>
          <w:rFonts w:hint="eastAsia" w:ascii="方正仿宋_GB2312" w:hAnsi="楷体" w:eastAsia="方正仿宋_GB2312"/>
          <w:color w:val="auto"/>
          <w:sz w:val="24"/>
          <w:highlight w:val="none"/>
        </w:rPr>
        <w:t>2.17.1标的物交付前，乙方应对标的物的质量、数量等方面进行详细、全面的检验，并向甲方出具证明标的物符合合同约定的文件；标的物交付时，乙方在</w:t>
      </w:r>
      <w:r>
        <w:rPr>
          <w:rFonts w:hint="eastAsia" w:ascii="方正仿宋_GB2312" w:hAnsi="楷体" w:eastAsia="方正仿宋_GB2312"/>
          <w:b/>
          <w:i/>
          <w:color w:val="auto"/>
          <w:sz w:val="24"/>
          <w:highlight w:val="none"/>
          <w:u w:val="single"/>
        </w:rPr>
        <w:t>合同专用条款</w:t>
      </w:r>
      <w:r>
        <w:rPr>
          <w:rFonts w:hint="eastAsia" w:ascii="方正仿宋_GB2312" w:hAnsi="楷体" w:eastAsia="方正仿宋_GB2312"/>
          <w:color w:val="auto"/>
          <w:sz w:val="24"/>
          <w:highlight w:val="none"/>
        </w:rPr>
        <w:t>约定时间内组织验收，并可依法邀请相关方参加，验收应出具验收书。</w:t>
      </w:r>
    </w:p>
    <w:p w14:paraId="543541A7">
      <w:pPr>
        <w:spacing w:line="360" w:lineRule="auto"/>
        <w:ind w:firstLine="480" w:firstLineChars="200"/>
        <w:rPr>
          <w:rFonts w:ascii="方正仿宋_GB2312" w:hAnsi="楷体" w:eastAsia="方正仿宋_GB2312"/>
          <w:color w:val="auto"/>
          <w:sz w:val="24"/>
          <w:highlight w:val="none"/>
        </w:rPr>
      </w:pPr>
      <w:r>
        <w:rPr>
          <w:rFonts w:hint="eastAsia" w:ascii="方正仿宋_GB2312" w:hAnsi="楷体" w:eastAsia="方正仿宋_GB2312"/>
          <w:color w:val="auto"/>
          <w:sz w:val="24"/>
          <w:highlight w:val="none"/>
        </w:rPr>
        <w:t>2.17.2合同期满或者履行完毕后，甲方有权组织（包括依法邀请国家认可的质量检测机构参加）对乙方履约的验收，即：按照合同约定的技术、服务、安全标准，组织对每一项技术、服务、安全标准的履约情况的验收，并出具验收书。</w:t>
      </w:r>
    </w:p>
    <w:p w14:paraId="39D075C0">
      <w:pPr>
        <w:spacing w:line="360" w:lineRule="auto"/>
        <w:ind w:firstLine="480" w:firstLineChars="200"/>
        <w:rPr>
          <w:rFonts w:ascii="方正仿宋_GB2312" w:hAnsi="楷体" w:eastAsia="方正仿宋_GB2312"/>
          <w:color w:val="auto"/>
          <w:sz w:val="24"/>
          <w:highlight w:val="none"/>
        </w:rPr>
      </w:pPr>
      <w:r>
        <w:rPr>
          <w:rFonts w:hint="eastAsia" w:ascii="方正仿宋_GB2312" w:hAnsi="楷体" w:eastAsia="方正仿宋_GB2312"/>
          <w:color w:val="auto"/>
          <w:sz w:val="24"/>
          <w:highlight w:val="none"/>
        </w:rPr>
        <w:t>2.17.3 检验和验收标准、程序等具体内容以及前述验收书的效力详见</w:t>
      </w:r>
      <w:r>
        <w:rPr>
          <w:rFonts w:hint="eastAsia" w:ascii="方正仿宋_GB2312" w:hAnsi="楷体" w:eastAsia="方正仿宋_GB2312"/>
          <w:b/>
          <w:i/>
          <w:color w:val="auto"/>
          <w:sz w:val="24"/>
          <w:highlight w:val="none"/>
          <w:u w:val="single"/>
        </w:rPr>
        <w:t>合同专用条款</w:t>
      </w:r>
      <w:r>
        <w:rPr>
          <w:rFonts w:hint="eastAsia" w:ascii="方正仿宋_GB2312" w:hAnsi="楷体" w:eastAsia="方正仿宋_GB2312"/>
          <w:i/>
          <w:color w:val="auto"/>
          <w:sz w:val="24"/>
          <w:highlight w:val="none"/>
        </w:rPr>
        <w:t>。</w:t>
      </w:r>
    </w:p>
    <w:bookmarkEnd w:id="236"/>
    <w:bookmarkEnd w:id="237"/>
    <w:bookmarkEnd w:id="238"/>
    <w:bookmarkEnd w:id="239"/>
    <w:p w14:paraId="5B21E53F">
      <w:pPr>
        <w:spacing w:line="360" w:lineRule="auto"/>
        <w:ind w:firstLine="482" w:firstLineChars="200"/>
        <w:rPr>
          <w:rFonts w:ascii="方正仿宋_GB2312" w:hAnsi="楷体" w:eastAsia="方正仿宋_GB2312"/>
          <w:b/>
          <w:color w:val="auto"/>
          <w:sz w:val="24"/>
          <w:highlight w:val="none"/>
        </w:rPr>
      </w:pPr>
      <w:bookmarkStart w:id="267" w:name="_Toc259093690"/>
      <w:bookmarkStart w:id="268" w:name="_Toc279701261"/>
      <w:bookmarkStart w:id="269" w:name="_Toc487900371"/>
      <w:bookmarkStart w:id="270" w:name="_Toc11284"/>
      <w:bookmarkStart w:id="271" w:name="_Toc25182"/>
      <w:bookmarkStart w:id="272" w:name="_Toc19604"/>
      <w:r>
        <w:rPr>
          <w:rFonts w:hint="eastAsia" w:ascii="方正仿宋_GB2312" w:hAnsi="楷体" w:eastAsia="方正仿宋_GB2312"/>
          <w:b/>
          <w:color w:val="auto"/>
          <w:sz w:val="24"/>
          <w:highlight w:val="none"/>
        </w:rPr>
        <w:t>2.18 通知</w:t>
      </w:r>
      <w:bookmarkEnd w:id="267"/>
      <w:bookmarkEnd w:id="268"/>
      <w:bookmarkEnd w:id="269"/>
      <w:r>
        <w:rPr>
          <w:rFonts w:hint="eastAsia" w:ascii="方正仿宋_GB2312" w:hAnsi="楷体" w:eastAsia="方正仿宋_GB2312"/>
          <w:b/>
          <w:color w:val="auto"/>
          <w:sz w:val="24"/>
          <w:highlight w:val="none"/>
        </w:rPr>
        <w:t>和送达</w:t>
      </w:r>
      <w:bookmarkEnd w:id="270"/>
      <w:bookmarkEnd w:id="271"/>
      <w:bookmarkEnd w:id="272"/>
    </w:p>
    <w:p w14:paraId="5B373108">
      <w:pPr>
        <w:spacing w:line="360" w:lineRule="auto"/>
        <w:ind w:firstLine="480" w:firstLineChars="200"/>
        <w:rPr>
          <w:rFonts w:ascii="方正仿宋_GB2312" w:hAnsi="楷体" w:eastAsia="方正仿宋_GB2312"/>
          <w:color w:val="auto"/>
          <w:sz w:val="24"/>
          <w:highlight w:val="none"/>
        </w:rPr>
      </w:pPr>
      <w:bookmarkStart w:id="273" w:name="_Toc3135"/>
      <w:bookmarkStart w:id="274" w:name="_Toc6698"/>
      <w:bookmarkStart w:id="275" w:name="_Toc259093691"/>
      <w:bookmarkStart w:id="276" w:name="_Toc487900372"/>
      <w:bookmarkStart w:id="277" w:name="_Toc279701262"/>
      <w:r>
        <w:rPr>
          <w:rFonts w:hint="eastAsia" w:ascii="方正仿宋_GB2312" w:hAnsi="楷体" w:eastAsia="方正仿宋_GB2312"/>
          <w:color w:val="auto"/>
          <w:sz w:val="24"/>
          <w:highlight w:val="none"/>
        </w:rPr>
        <w:t>2.18.1 任何一方因履行合同而以合同第一部分尾部所列明的</w:t>
      </w:r>
      <w:r>
        <w:rPr>
          <w:rFonts w:hint="eastAsia" w:ascii="方正仿宋_GB2312" w:hAnsi="楷体" w:eastAsia="方正仿宋_GB2312"/>
          <w:color w:val="auto"/>
          <w:sz w:val="24"/>
          <w:highlight w:val="none"/>
          <w:u w:val="single"/>
        </w:rPr>
        <w:t>“约定送达地址”</w:t>
      </w:r>
      <w:r>
        <w:rPr>
          <w:rFonts w:hint="eastAsia" w:ascii="方正仿宋_GB2312" w:hAnsi="楷体" w:eastAsia="方正仿宋_GB2312"/>
          <w:color w:val="auto"/>
          <w:sz w:val="24"/>
          <w:highlight w:val="none"/>
        </w:rPr>
        <w:t>为收件地址的所有通知、文件、材料，均视为已向对方当事人送达；任何一方变更上述送达方式或者地址的，应于</w:t>
      </w:r>
      <w:r>
        <w:rPr>
          <w:rFonts w:ascii="方正仿宋_GB2312" w:hAnsi="楷体" w:eastAsia="方正仿宋_GB2312"/>
          <w:color w:val="auto"/>
          <w:sz w:val="24"/>
          <w:highlight w:val="none"/>
          <w:u w:val="single"/>
        </w:rPr>
        <w:t>7</w:t>
      </w:r>
      <w:r>
        <w:rPr>
          <w:rFonts w:hint="eastAsia" w:ascii="方正仿宋_GB2312" w:hAnsi="楷体" w:eastAsia="方正仿宋_GB2312"/>
          <w:color w:val="auto"/>
          <w:sz w:val="24"/>
          <w:highlight w:val="none"/>
        </w:rPr>
        <w:t>个工作日内书面通知对方当事人，在对方当事人收到有关变更通知之前，变更前的约定送达方式或者地址仍视为有效。</w:t>
      </w:r>
      <w:bookmarkEnd w:id="273"/>
      <w:bookmarkEnd w:id="274"/>
    </w:p>
    <w:p w14:paraId="7AF4B474">
      <w:pPr>
        <w:spacing w:line="360" w:lineRule="auto"/>
        <w:ind w:firstLine="480" w:firstLineChars="200"/>
        <w:rPr>
          <w:rFonts w:ascii="方正仿宋_GB2312" w:hAnsi="楷体" w:eastAsia="方正仿宋_GB2312"/>
          <w:color w:val="auto"/>
          <w:sz w:val="24"/>
          <w:highlight w:val="none"/>
        </w:rPr>
      </w:pPr>
      <w:bookmarkStart w:id="278" w:name="_Toc23294"/>
      <w:bookmarkStart w:id="279" w:name="_Toc23128"/>
      <w:r>
        <w:rPr>
          <w:rFonts w:hint="eastAsia" w:ascii="方正仿宋_GB2312" w:hAnsi="楷体" w:eastAsia="方正仿宋_GB2312"/>
          <w:color w:val="auto"/>
          <w:sz w:val="24"/>
          <w:highlight w:val="none"/>
        </w:rPr>
        <w:t>2.18.2以当面交付方式送达的，交付之时视为送达；以电子邮件方式送达的，发出电子邮件之时视为送达；以传真方式送达的，发出传真之时视为送达；以邮寄方式送达的，邮件挂号寄出或者交邮之日之次日视为送达。</w:t>
      </w:r>
      <w:bookmarkEnd w:id="278"/>
      <w:bookmarkEnd w:id="279"/>
    </w:p>
    <w:p w14:paraId="2F855293">
      <w:pPr>
        <w:spacing w:line="360" w:lineRule="auto"/>
        <w:ind w:firstLine="482" w:firstLineChars="200"/>
        <w:rPr>
          <w:rFonts w:ascii="方正仿宋_GB2312" w:hAnsi="楷体" w:eastAsia="方正仿宋_GB2312"/>
          <w:b/>
          <w:color w:val="auto"/>
          <w:sz w:val="24"/>
          <w:highlight w:val="none"/>
        </w:rPr>
      </w:pPr>
      <w:bookmarkStart w:id="280" w:name="_Toc18540"/>
      <w:bookmarkStart w:id="281" w:name="_Toc30599"/>
      <w:bookmarkStart w:id="282" w:name="_Toc4355"/>
      <w:r>
        <w:rPr>
          <w:rFonts w:hint="eastAsia" w:ascii="方正仿宋_GB2312" w:hAnsi="楷体" w:eastAsia="方正仿宋_GB2312"/>
          <w:b/>
          <w:color w:val="auto"/>
          <w:sz w:val="24"/>
          <w:highlight w:val="none"/>
        </w:rPr>
        <w:t>2.19 计量单位</w:t>
      </w:r>
      <w:bookmarkEnd w:id="275"/>
      <w:bookmarkEnd w:id="276"/>
      <w:bookmarkEnd w:id="277"/>
      <w:bookmarkEnd w:id="280"/>
      <w:bookmarkEnd w:id="281"/>
      <w:bookmarkEnd w:id="282"/>
    </w:p>
    <w:p w14:paraId="48106B9E">
      <w:pPr>
        <w:spacing w:line="360" w:lineRule="auto"/>
        <w:ind w:firstLine="480" w:firstLineChars="200"/>
        <w:rPr>
          <w:rFonts w:ascii="方正仿宋_GB2312" w:hAnsi="楷体" w:eastAsia="方正仿宋_GB2312"/>
          <w:color w:val="auto"/>
          <w:sz w:val="24"/>
          <w:highlight w:val="none"/>
        </w:rPr>
      </w:pPr>
      <w:r>
        <w:rPr>
          <w:rFonts w:hint="eastAsia" w:ascii="方正仿宋_GB2312" w:hAnsi="楷体" w:eastAsia="方正仿宋_GB2312"/>
          <w:color w:val="auto"/>
          <w:sz w:val="24"/>
          <w:highlight w:val="none"/>
        </w:rPr>
        <w:t>除技术规范中另有规定外,合同的计量单位均使用国家法定计量单位。</w:t>
      </w:r>
    </w:p>
    <w:p w14:paraId="0D72ACEB">
      <w:pPr>
        <w:spacing w:line="360" w:lineRule="auto"/>
        <w:ind w:firstLine="482" w:firstLineChars="200"/>
        <w:rPr>
          <w:rFonts w:ascii="方正仿宋_GB2312" w:hAnsi="楷体" w:eastAsia="方正仿宋_GB2312"/>
          <w:b/>
          <w:color w:val="auto"/>
          <w:sz w:val="24"/>
          <w:highlight w:val="none"/>
        </w:rPr>
      </w:pPr>
      <w:bookmarkStart w:id="283" w:name="_Toc259093692"/>
      <w:bookmarkStart w:id="284" w:name="_Toc18567"/>
      <w:bookmarkStart w:id="285" w:name="_Toc12773"/>
      <w:bookmarkStart w:id="286" w:name="_Toc279701263"/>
      <w:bookmarkStart w:id="287" w:name="_Toc10330"/>
      <w:bookmarkStart w:id="288" w:name="_Toc487900373"/>
      <w:r>
        <w:rPr>
          <w:rFonts w:hint="eastAsia" w:ascii="方正仿宋_GB2312" w:hAnsi="楷体" w:eastAsia="方正仿宋_GB2312"/>
          <w:b/>
          <w:color w:val="auto"/>
          <w:sz w:val="24"/>
          <w:highlight w:val="none"/>
        </w:rPr>
        <w:t>2.20 合同使用的文字和适用的法律</w:t>
      </w:r>
      <w:bookmarkEnd w:id="283"/>
      <w:bookmarkEnd w:id="284"/>
      <w:bookmarkEnd w:id="285"/>
      <w:bookmarkEnd w:id="286"/>
      <w:bookmarkEnd w:id="287"/>
      <w:bookmarkEnd w:id="288"/>
    </w:p>
    <w:p w14:paraId="291250FC">
      <w:pPr>
        <w:spacing w:line="360" w:lineRule="auto"/>
        <w:ind w:firstLine="480" w:firstLineChars="200"/>
        <w:rPr>
          <w:rFonts w:ascii="方正仿宋_GB2312" w:hAnsi="楷体" w:eastAsia="方正仿宋_GB2312"/>
          <w:color w:val="auto"/>
          <w:sz w:val="24"/>
          <w:highlight w:val="none"/>
        </w:rPr>
      </w:pPr>
      <w:r>
        <w:rPr>
          <w:rFonts w:hint="eastAsia" w:ascii="方正仿宋_GB2312" w:hAnsi="楷体" w:eastAsia="方正仿宋_GB2312"/>
          <w:color w:val="auto"/>
          <w:sz w:val="24"/>
          <w:highlight w:val="none"/>
        </w:rPr>
        <w:t>2.20.1 合同使用汉语书就、变更和解释；</w:t>
      </w:r>
    </w:p>
    <w:p w14:paraId="210556F1">
      <w:pPr>
        <w:spacing w:line="360" w:lineRule="auto"/>
        <w:ind w:firstLine="480" w:firstLineChars="200"/>
        <w:rPr>
          <w:rFonts w:ascii="方正仿宋_GB2312" w:hAnsi="楷体" w:eastAsia="方正仿宋_GB2312"/>
          <w:color w:val="auto"/>
          <w:sz w:val="24"/>
          <w:highlight w:val="none"/>
        </w:rPr>
      </w:pPr>
      <w:r>
        <w:rPr>
          <w:rFonts w:hint="eastAsia" w:ascii="方正仿宋_GB2312" w:hAnsi="楷体" w:eastAsia="方正仿宋_GB2312"/>
          <w:color w:val="auto"/>
          <w:sz w:val="24"/>
          <w:highlight w:val="none"/>
        </w:rPr>
        <w:t>2.20.2 合同适用中华人民共和国法律。</w:t>
      </w:r>
    </w:p>
    <w:p w14:paraId="2D1955E6">
      <w:pPr>
        <w:spacing w:line="360" w:lineRule="auto"/>
        <w:ind w:firstLine="482" w:firstLineChars="200"/>
        <w:rPr>
          <w:rFonts w:ascii="方正仿宋_GB2312" w:hAnsi="楷体" w:eastAsia="方正仿宋_GB2312"/>
          <w:b/>
          <w:color w:val="auto"/>
          <w:sz w:val="24"/>
          <w:highlight w:val="none"/>
        </w:rPr>
      </w:pPr>
      <w:bookmarkStart w:id="289" w:name="_Toc259093693"/>
      <w:bookmarkStart w:id="290" w:name="_Toc12004"/>
      <w:bookmarkStart w:id="291" w:name="_Toc16673"/>
      <w:bookmarkStart w:id="292" w:name="_Toc3148"/>
      <w:bookmarkStart w:id="293" w:name="_Toc279701264"/>
      <w:bookmarkStart w:id="294" w:name="_Toc487900374"/>
      <w:r>
        <w:rPr>
          <w:rFonts w:hint="eastAsia" w:ascii="方正仿宋_GB2312" w:hAnsi="楷体" w:eastAsia="方正仿宋_GB2312"/>
          <w:b/>
          <w:color w:val="auto"/>
          <w:sz w:val="24"/>
          <w:highlight w:val="none"/>
        </w:rPr>
        <w:t>2.21 履约保证金</w:t>
      </w:r>
      <w:bookmarkEnd w:id="289"/>
      <w:bookmarkEnd w:id="290"/>
      <w:bookmarkEnd w:id="291"/>
      <w:bookmarkEnd w:id="292"/>
      <w:bookmarkEnd w:id="293"/>
    </w:p>
    <w:p w14:paraId="35243536">
      <w:pPr>
        <w:spacing w:line="360" w:lineRule="auto"/>
        <w:ind w:firstLine="480" w:firstLineChars="200"/>
        <w:rPr>
          <w:rFonts w:ascii="方正仿宋_GB2312" w:hAnsi="仿宋" w:eastAsia="方正仿宋_GB2312" w:cs="Arial"/>
          <w:snapToGrid w:val="0"/>
          <w:color w:val="auto"/>
          <w:kern w:val="0"/>
          <w:sz w:val="24"/>
          <w:highlight w:val="none"/>
        </w:rPr>
      </w:pPr>
      <w:r>
        <w:rPr>
          <w:rFonts w:hint="eastAsia" w:ascii="方正仿宋_GB2312" w:hAnsi="楷体" w:eastAsia="方正仿宋_GB2312"/>
          <w:color w:val="auto"/>
          <w:sz w:val="24"/>
          <w:highlight w:val="none"/>
        </w:rPr>
        <w:t>本项目不收取履约保证金</w:t>
      </w:r>
    </w:p>
    <w:p w14:paraId="2F854C0D">
      <w:pPr>
        <w:spacing w:line="360" w:lineRule="auto"/>
        <w:ind w:firstLine="482" w:firstLineChars="200"/>
        <w:rPr>
          <w:rFonts w:ascii="方正仿宋_GB2312" w:hAnsi="仿宋" w:eastAsia="方正仿宋_GB2312"/>
          <w:color w:val="auto"/>
          <w:kern w:val="0"/>
          <w:sz w:val="24"/>
          <w:highlight w:val="none"/>
          <w:lang w:val="zh-CN"/>
        </w:rPr>
      </w:pPr>
      <w:r>
        <w:rPr>
          <w:rFonts w:hint="eastAsia" w:ascii="方正仿宋_GB2312" w:hAnsi="楷体" w:eastAsia="方正仿宋_GB2312"/>
          <w:b/>
          <w:color w:val="auto"/>
          <w:sz w:val="24"/>
          <w:highlight w:val="none"/>
        </w:rPr>
        <w:t>2.22 中小企业政策</w:t>
      </w:r>
    </w:p>
    <w:p w14:paraId="01222937">
      <w:pPr>
        <w:spacing w:line="360" w:lineRule="auto"/>
        <w:ind w:firstLine="480" w:firstLineChars="200"/>
        <w:rPr>
          <w:rFonts w:ascii="方正仿宋_GB2312" w:hAnsi="仿宋" w:eastAsia="方正仿宋_GB2312"/>
          <w:color w:val="auto"/>
          <w:kern w:val="0"/>
          <w:sz w:val="24"/>
          <w:highlight w:val="none"/>
          <w:lang w:val="zh-CN"/>
        </w:rPr>
      </w:pPr>
      <w:r>
        <w:rPr>
          <w:rFonts w:hint="eastAsia" w:ascii="方正仿宋_GB2312" w:hAnsi="仿宋" w:eastAsia="方正仿宋_GB2312"/>
          <w:color w:val="auto"/>
          <w:kern w:val="0"/>
          <w:sz w:val="24"/>
          <w:highlight w:val="none"/>
          <w:lang w:val="zh-CN"/>
        </w:rPr>
        <w:t>2.22.1本合同（□是  □否）为中小企业“政采贷”可融资合同，关于中小企业信用融资事项见采购文件“投标人须知正文”。</w:t>
      </w:r>
    </w:p>
    <w:p w14:paraId="107AEB56">
      <w:pPr>
        <w:spacing w:line="360" w:lineRule="auto"/>
        <w:ind w:firstLine="480" w:firstLineChars="200"/>
        <w:rPr>
          <w:rFonts w:ascii="方正仿宋_GB2312" w:hAnsi="仿宋" w:eastAsia="方正仿宋_GB2312"/>
          <w:color w:val="auto"/>
          <w:kern w:val="0"/>
          <w:sz w:val="24"/>
          <w:highlight w:val="none"/>
          <w:lang w:val="zh-CN"/>
        </w:rPr>
      </w:pPr>
      <w:r>
        <w:rPr>
          <w:rFonts w:hint="eastAsia" w:ascii="方正仿宋_GB2312" w:hAnsi="仿宋" w:eastAsia="方正仿宋_GB2312"/>
          <w:color w:val="auto"/>
          <w:kern w:val="0"/>
          <w:sz w:val="24"/>
          <w:highlight w:val="none"/>
          <w:lang w:val="zh-CN"/>
        </w:rPr>
        <w:t>2.22.2本合同（□是  □否）为中小企业预留合同。</w:t>
      </w:r>
    </w:p>
    <w:bookmarkEnd w:id="294"/>
    <w:p w14:paraId="3F0EDC1A">
      <w:pPr>
        <w:spacing w:line="360" w:lineRule="auto"/>
        <w:ind w:firstLine="482" w:firstLineChars="200"/>
        <w:rPr>
          <w:rFonts w:ascii="方正仿宋_GB2312" w:hAnsi="楷体" w:eastAsia="方正仿宋_GB2312"/>
          <w:b/>
          <w:color w:val="auto"/>
          <w:sz w:val="24"/>
          <w:highlight w:val="none"/>
        </w:rPr>
      </w:pPr>
      <w:bookmarkStart w:id="295" w:name="_Toc19890"/>
      <w:bookmarkStart w:id="296" w:name="_Toc6885"/>
      <w:bookmarkStart w:id="297" w:name="_Toc14001"/>
      <w:r>
        <w:rPr>
          <w:rFonts w:hint="eastAsia" w:ascii="方正仿宋_GB2312" w:hAnsi="楷体" w:eastAsia="方正仿宋_GB2312"/>
          <w:b/>
          <w:color w:val="auto"/>
          <w:sz w:val="24"/>
          <w:highlight w:val="none"/>
        </w:rPr>
        <w:t>2.23 合同份数</w:t>
      </w:r>
      <w:bookmarkEnd w:id="295"/>
      <w:bookmarkEnd w:id="296"/>
      <w:bookmarkEnd w:id="297"/>
    </w:p>
    <w:p w14:paraId="0923F30D">
      <w:pPr>
        <w:spacing w:line="360" w:lineRule="auto"/>
        <w:ind w:firstLine="480" w:firstLineChars="200"/>
        <w:rPr>
          <w:rFonts w:ascii="方正仿宋_GB2312" w:hAnsi="楷体" w:eastAsia="方正仿宋_GB2312"/>
          <w:color w:val="auto"/>
          <w:sz w:val="24"/>
          <w:highlight w:val="none"/>
        </w:rPr>
      </w:pPr>
      <w:r>
        <w:rPr>
          <w:rFonts w:hint="eastAsia" w:ascii="方正仿宋_GB2312" w:hAnsi="宋体" w:eastAsia="方正仿宋_GB2312"/>
          <w:color w:val="auto"/>
          <w:sz w:val="24"/>
          <w:highlight w:val="none"/>
        </w:rPr>
        <w:t>本合同壹式</w:t>
      </w:r>
      <w:r>
        <w:rPr>
          <w:rFonts w:hint="eastAsia" w:ascii="方正仿宋_GB2312" w:hAnsi="宋体" w:eastAsia="方正仿宋_GB2312"/>
          <w:color w:val="auto"/>
          <w:sz w:val="24"/>
          <w:highlight w:val="none"/>
          <w:u w:val="single"/>
        </w:rPr>
        <w:t xml:space="preserve"> 五 </w:t>
      </w:r>
      <w:r>
        <w:rPr>
          <w:rFonts w:hint="eastAsia" w:ascii="方正仿宋_GB2312" w:hAnsi="宋体" w:eastAsia="方正仿宋_GB2312"/>
          <w:color w:val="auto"/>
          <w:sz w:val="24"/>
          <w:highlight w:val="none"/>
        </w:rPr>
        <w:t>份，甲方执</w:t>
      </w:r>
      <w:r>
        <w:rPr>
          <w:rFonts w:hint="eastAsia" w:ascii="方正仿宋_GB2312" w:hAnsi="宋体" w:eastAsia="方正仿宋_GB2312"/>
          <w:color w:val="auto"/>
          <w:sz w:val="24"/>
          <w:highlight w:val="none"/>
          <w:u w:val="single"/>
        </w:rPr>
        <w:t xml:space="preserve"> 三</w:t>
      </w:r>
      <w:r>
        <w:rPr>
          <w:rFonts w:hint="eastAsia" w:ascii="方正仿宋_GB2312" w:hAnsi="宋体" w:eastAsia="方正仿宋_GB2312"/>
          <w:color w:val="auto"/>
          <w:sz w:val="24"/>
          <w:highlight w:val="none"/>
        </w:rPr>
        <w:t>份，乙方执</w:t>
      </w:r>
      <w:r>
        <w:rPr>
          <w:rFonts w:hint="eastAsia" w:ascii="方正仿宋_GB2312" w:hAnsi="仿宋" w:eastAsia="方正仿宋_GB2312"/>
          <w:color w:val="auto"/>
          <w:sz w:val="24"/>
          <w:highlight w:val="none"/>
          <w:u w:val="single"/>
        </w:rPr>
        <w:t xml:space="preserve">  二</w:t>
      </w:r>
      <w:r>
        <w:rPr>
          <w:rFonts w:hint="eastAsia" w:ascii="方正仿宋_GB2312" w:hAnsi="宋体" w:eastAsia="方正仿宋_GB2312"/>
          <w:color w:val="auto"/>
          <w:sz w:val="24"/>
          <w:highlight w:val="none"/>
        </w:rPr>
        <w:t>份。</w:t>
      </w:r>
      <w:r>
        <w:rPr>
          <w:rFonts w:hint="eastAsia" w:ascii="方正仿宋_GB2312" w:hAnsi="楷体" w:eastAsia="方正仿宋_GB2312"/>
          <w:color w:val="auto"/>
          <w:sz w:val="24"/>
          <w:highlight w:val="none"/>
        </w:rPr>
        <w:t>每份均具有同等法律效力。</w:t>
      </w:r>
    </w:p>
    <w:p w14:paraId="20C65EE4">
      <w:pPr>
        <w:spacing w:line="360" w:lineRule="auto"/>
        <w:jc w:val="center"/>
        <w:rPr>
          <w:rFonts w:ascii="方正仿宋_GB2312" w:hAnsi="楷体" w:eastAsia="方正仿宋_GB2312"/>
          <w:b/>
          <w:color w:val="auto"/>
          <w:sz w:val="28"/>
          <w:szCs w:val="28"/>
          <w:highlight w:val="none"/>
        </w:rPr>
      </w:pPr>
      <w:r>
        <w:rPr>
          <w:rFonts w:hint="eastAsia" w:ascii="方正仿宋_GB2312" w:hAnsi="楷体" w:eastAsia="方正仿宋_GB2312"/>
          <w:color w:val="auto"/>
          <w:highlight w:val="none"/>
        </w:rPr>
        <w:br w:type="page"/>
      </w:r>
      <w:bookmarkStart w:id="298" w:name="_Toc331685784"/>
      <w:r>
        <w:rPr>
          <w:rFonts w:hint="eastAsia" w:ascii="方正仿宋_GB2312" w:hAnsi="楷体" w:eastAsia="方正仿宋_GB2312"/>
          <w:b/>
          <w:color w:val="auto"/>
          <w:sz w:val="28"/>
          <w:szCs w:val="28"/>
          <w:highlight w:val="none"/>
        </w:rPr>
        <w:t>第三部分  合同专用条款</w:t>
      </w:r>
      <w:bookmarkEnd w:id="298"/>
    </w:p>
    <w:p w14:paraId="54AA3D06">
      <w:pPr>
        <w:spacing w:line="360" w:lineRule="auto"/>
        <w:ind w:firstLine="480" w:firstLineChars="200"/>
        <w:rPr>
          <w:rFonts w:ascii="方正仿宋_GB2312" w:hAnsi="楷体" w:eastAsia="方正仿宋_GB2312"/>
          <w:color w:val="auto"/>
          <w:sz w:val="24"/>
          <w:highlight w:val="none"/>
        </w:rPr>
      </w:pPr>
      <w:r>
        <w:rPr>
          <w:rFonts w:hint="eastAsia" w:ascii="方正仿宋_GB2312" w:hAnsi="楷体" w:eastAsia="方正仿宋_GB2312"/>
          <w:color w:val="auto"/>
          <w:sz w:val="24"/>
          <w:highlight w:val="none"/>
        </w:rPr>
        <w:t>本部分是对前两部分的补充和修改，如果前两部分和本部分的约定不一致，应以本部分的约定为准。本部分的条款号应与前两部分的条款号保持对应；与前两部分无对应关系的内容可另行编制条款号。</w:t>
      </w:r>
    </w:p>
    <w:p w14:paraId="53959DBD">
      <w:pPr>
        <w:spacing w:line="360" w:lineRule="auto"/>
        <w:ind w:firstLine="480" w:firstLineChars="200"/>
        <w:rPr>
          <w:rFonts w:ascii="方正仿宋_GB2312" w:hAnsi="楷体" w:eastAsia="方正仿宋_GB2312"/>
          <w:color w:val="auto"/>
          <w:sz w:val="24"/>
          <w:highlight w:val="none"/>
        </w:rPr>
      </w:pPr>
      <w:r>
        <w:rPr>
          <w:rFonts w:hint="eastAsia" w:ascii="方正仿宋_GB2312" w:hAnsi="楷体" w:eastAsia="方正仿宋_GB2312"/>
          <w:color w:val="auto"/>
          <w:sz w:val="24"/>
          <w:highlight w:val="none"/>
        </w:rPr>
        <w:t>3.1具有知识产权的标的物知识产权归属：无</w:t>
      </w:r>
    </w:p>
    <w:p w14:paraId="6611506E">
      <w:pPr>
        <w:spacing w:line="360" w:lineRule="auto"/>
        <w:ind w:firstLine="480" w:firstLineChars="200"/>
        <w:rPr>
          <w:rFonts w:ascii="方正仿宋_GB2312" w:hAnsi="楷体" w:eastAsia="方正仿宋_GB2312"/>
          <w:color w:val="auto"/>
          <w:sz w:val="24"/>
          <w:highlight w:val="none"/>
        </w:rPr>
      </w:pPr>
    </w:p>
    <w:p w14:paraId="5F80CB42">
      <w:pPr>
        <w:spacing w:line="360" w:lineRule="auto"/>
        <w:ind w:firstLine="480" w:firstLineChars="200"/>
        <w:rPr>
          <w:rFonts w:ascii="方正仿宋_GB2312" w:hAnsi="楷体" w:eastAsia="方正仿宋_GB2312"/>
          <w:color w:val="auto"/>
          <w:sz w:val="24"/>
          <w:highlight w:val="none"/>
        </w:rPr>
      </w:pPr>
      <w:r>
        <w:rPr>
          <w:rFonts w:hint="eastAsia" w:ascii="方正仿宋_GB2312" w:hAnsi="楷体" w:eastAsia="方正仿宋_GB2312"/>
          <w:color w:val="auto"/>
          <w:sz w:val="24"/>
          <w:highlight w:val="none"/>
        </w:rPr>
        <w:t>3.2包装和装运专用条款（如果有）：无</w:t>
      </w:r>
    </w:p>
    <w:p w14:paraId="57C9AD33">
      <w:pPr>
        <w:spacing w:line="360" w:lineRule="auto"/>
        <w:ind w:firstLine="480" w:firstLineChars="200"/>
        <w:rPr>
          <w:rFonts w:ascii="方正仿宋_GB2312" w:hAnsi="楷体" w:eastAsia="方正仿宋_GB2312"/>
          <w:color w:val="auto"/>
          <w:sz w:val="24"/>
          <w:highlight w:val="none"/>
        </w:rPr>
      </w:pPr>
    </w:p>
    <w:p w14:paraId="6A41408C">
      <w:pPr>
        <w:spacing w:line="360" w:lineRule="auto"/>
        <w:ind w:firstLine="480" w:firstLineChars="200"/>
        <w:rPr>
          <w:rFonts w:ascii="方正仿宋_GB2312" w:hAnsi="楷体" w:eastAsia="方正仿宋_GB2312"/>
          <w:color w:val="auto"/>
          <w:sz w:val="24"/>
          <w:highlight w:val="none"/>
        </w:rPr>
      </w:pPr>
      <w:r>
        <w:rPr>
          <w:rFonts w:hint="eastAsia" w:ascii="方正仿宋_GB2312" w:hAnsi="楷体" w:eastAsia="方正仿宋_GB2312"/>
          <w:color w:val="auto"/>
          <w:sz w:val="24"/>
          <w:highlight w:val="none"/>
        </w:rPr>
        <w:t>3.3装运标的物的要求和通知：无</w:t>
      </w:r>
    </w:p>
    <w:p w14:paraId="675B098E">
      <w:pPr>
        <w:spacing w:line="360" w:lineRule="auto"/>
        <w:ind w:firstLine="480" w:firstLineChars="200"/>
        <w:rPr>
          <w:rFonts w:ascii="方正仿宋_GB2312" w:hAnsi="楷体" w:eastAsia="方正仿宋_GB2312"/>
          <w:color w:val="auto"/>
          <w:sz w:val="24"/>
          <w:highlight w:val="none"/>
        </w:rPr>
      </w:pPr>
    </w:p>
    <w:p w14:paraId="2E2DC655">
      <w:pPr>
        <w:spacing w:line="360" w:lineRule="auto"/>
        <w:ind w:firstLine="480" w:firstLineChars="200"/>
        <w:rPr>
          <w:rFonts w:ascii="方正仿宋_GB2312" w:hAnsi="楷体" w:eastAsia="方正仿宋_GB2312"/>
          <w:b/>
          <w:color w:val="auto"/>
          <w:sz w:val="24"/>
          <w:highlight w:val="none"/>
        </w:rPr>
      </w:pPr>
      <w:r>
        <w:rPr>
          <w:rFonts w:hint="eastAsia" w:ascii="方正仿宋_GB2312" w:hAnsi="楷体" w:eastAsia="方正仿宋_GB2312"/>
          <w:color w:val="auto"/>
          <w:sz w:val="24"/>
          <w:highlight w:val="none"/>
        </w:rPr>
        <w:t>3.4</w:t>
      </w:r>
      <w:r>
        <w:rPr>
          <w:rFonts w:hint="eastAsia" w:ascii="方正仿宋_GB2312" w:hAnsi="楷体" w:eastAsia="方正仿宋_GB2312"/>
          <w:b/>
          <w:color w:val="auto"/>
          <w:sz w:val="24"/>
          <w:highlight w:val="none"/>
        </w:rPr>
        <w:t>结算方式和付款条件</w:t>
      </w:r>
    </w:p>
    <w:p w14:paraId="1324B631">
      <w:pPr>
        <w:spacing w:line="360" w:lineRule="auto"/>
        <w:ind w:firstLine="480" w:firstLineChars="200"/>
        <w:rPr>
          <w:rFonts w:ascii="方正仿宋_GB2312" w:eastAsia="方正仿宋_GB2312" w:cs="方正仿宋_GB2312"/>
          <w:color w:val="auto"/>
          <w:kern w:val="0"/>
          <w:sz w:val="24"/>
          <w:highlight w:val="none"/>
          <w:lang w:val="zh-CN"/>
        </w:rPr>
      </w:pPr>
      <w:r>
        <w:rPr>
          <w:rFonts w:hint="eastAsia" w:ascii="方正仿宋_GB2312" w:eastAsia="方正仿宋_GB2312" w:cs="方正仿宋_GB2312"/>
          <w:color w:val="auto"/>
          <w:kern w:val="0"/>
          <w:sz w:val="24"/>
          <w:highlight w:val="none"/>
          <w:lang w:val="zh-CN"/>
        </w:rPr>
        <w:t>本次项目合同总价为大写人民币</w:t>
      </w:r>
      <w:r>
        <w:rPr>
          <w:rFonts w:hint="eastAsia" w:ascii="方正仿宋_GB2312" w:eastAsia="方正仿宋_GB2312" w:cs="方正仿宋_GB2312"/>
          <w:color w:val="auto"/>
          <w:kern w:val="0"/>
          <w:sz w:val="24"/>
          <w:highlight w:val="none"/>
          <w:u w:val="single"/>
          <w:lang w:val="zh-CN"/>
        </w:rPr>
        <w:t xml:space="preserve">            （¥</w:t>
      </w:r>
      <w:r>
        <w:rPr>
          <w:rFonts w:hint="eastAsia" w:ascii="方正仿宋_GB2312" w:eastAsia="方正仿宋_GB2312" w:cs="方正仿宋_GB2312"/>
          <w:color w:val="auto"/>
          <w:kern w:val="0"/>
          <w:sz w:val="24"/>
          <w:highlight w:val="none"/>
          <w:lang w:val="zh-CN"/>
        </w:rPr>
        <w:t xml:space="preserve">    元）。本项目采用以下勾选结算方式进行支付：</w:t>
      </w:r>
    </w:p>
    <w:p w14:paraId="6D6BA81D">
      <w:pPr>
        <w:spacing w:line="360" w:lineRule="auto"/>
        <w:ind w:firstLine="480" w:firstLineChars="200"/>
        <w:rPr>
          <w:rFonts w:ascii="方正仿宋_GB2312" w:eastAsia="方正仿宋_GB2312" w:cs="方正仿宋_GB2312"/>
          <w:color w:val="auto"/>
          <w:kern w:val="0"/>
          <w:sz w:val="24"/>
          <w:highlight w:val="none"/>
          <w:lang w:val="zh-CN"/>
        </w:rPr>
      </w:pPr>
      <w:r>
        <w:rPr>
          <w:rFonts w:hint="eastAsia" w:ascii="方正仿宋_GB2312" w:eastAsia="方正仿宋_GB2312" w:cs="方正仿宋_GB2312"/>
          <w:color w:val="auto"/>
          <w:kern w:val="0"/>
          <w:sz w:val="24"/>
          <w:highlight w:val="none"/>
          <w:lang w:val="zh-CN"/>
        </w:rPr>
        <w:t>□采用一次性支付方式，付款条件为：</w:t>
      </w:r>
    </w:p>
    <w:p w14:paraId="761B3978">
      <w:pPr>
        <w:spacing w:line="360" w:lineRule="auto"/>
        <w:ind w:firstLine="480" w:firstLineChars="200"/>
        <w:rPr>
          <w:rFonts w:ascii="方正仿宋_GB2312" w:eastAsia="方正仿宋_GB2312" w:cs="方正仿宋_GB2312"/>
          <w:color w:val="auto"/>
          <w:kern w:val="0"/>
          <w:sz w:val="24"/>
          <w:highlight w:val="none"/>
        </w:rPr>
      </w:pPr>
      <w:r>
        <w:rPr>
          <w:rFonts w:hint="eastAsia" w:ascii="方正仿宋_GB2312" w:eastAsia="方正仿宋_GB2312" w:cs="方正仿宋_GB2312"/>
          <w:color w:val="auto"/>
          <w:kern w:val="0"/>
          <w:sz w:val="24"/>
          <w:highlight w:val="none"/>
          <w:lang w:val="zh-CN"/>
        </w:rPr>
        <w:t>□采用分期付款方式，付款条件为</w:t>
      </w:r>
      <w:r>
        <w:rPr>
          <w:rFonts w:hint="eastAsia" w:ascii="方正仿宋_GB2312" w:eastAsia="方正仿宋_GB2312" w:cs="方正仿宋_GB2312"/>
          <w:color w:val="auto"/>
          <w:kern w:val="0"/>
          <w:sz w:val="24"/>
          <w:highlight w:val="none"/>
        </w:rPr>
        <w:t>：</w:t>
      </w:r>
    </w:p>
    <w:p w14:paraId="2697C2EC">
      <w:pPr>
        <w:spacing w:line="360" w:lineRule="auto"/>
        <w:ind w:firstLine="480" w:firstLineChars="200"/>
        <w:rPr>
          <w:rFonts w:ascii="方正仿宋_GB2312" w:eastAsia="方正仿宋_GB2312" w:cs="方正仿宋_GB2312"/>
          <w:color w:val="auto"/>
          <w:kern w:val="0"/>
          <w:sz w:val="24"/>
          <w:highlight w:val="none"/>
        </w:rPr>
      </w:pPr>
      <w:r>
        <w:rPr>
          <w:rFonts w:hint="eastAsia" w:ascii="方正仿宋_GB2312" w:eastAsia="方正仿宋_GB2312" w:cs="方正仿宋_GB2312"/>
          <w:color w:val="auto"/>
          <w:kern w:val="0"/>
          <w:sz w:val="24"/>
          <w:highlight w:val="none"/>
          <w:lang w:val="zh-CN"/>
        </w:rPr>
        <w:t>第一期付款</w:t>
      </w:r>
      <w:r>
        <w:rPr>
          <w:rFonts w:hint="eastAsia" w:ascii="方正仿宋_GB2312" w:eastAsia="方正仿宋_GB2312" w:cs="方正仿宋_GB2312"/>
          <w:color w:val="auto"/>
          <w:kern w:val="0"/>
          <w:sz w:val="24"/>
          <w:highlight w:val="none"/>
        </w:rPr>
        <w:t>：</w:t>
      </w:r>
    </w:p>
    <w:p w14:paraId="38A5ED23">
      <w:pPr>
        <w:spacing w:line="360" w:lineRule="auto"/>
        <w:ind w:firstLine="480" w:firstLineChars="200"/>
        <w:rPr>
          <w:rFonts w:ascii="方正仿宋_GB2312" w:eastAsia="方正仿宋_GB2312" w:cs="方正仿宋_GB2312"/>
          <w:color w:val="auto"/>
          <w:kern w:val="0"/>
          <w:sz w:val="24"/>
          <w:highlight w:val="none"/>
          <w:u w:val="single"/>
        </w:rPr>
      </w:pPr>
      <w:r>
        <w:rPr>
          <w:rFonts w:hint="eastAsia" w:ascii="方正仿宋_GB2312" w:eastAsia="方正仿宋_GB2312" w:cs="方正仿宋_GB2312"/>
          <w:color w:val="auto"/>
          <w:kern w:val="0"/>
          <w:sz w:val="24"/>
          <w:highlight w:val="none"/>
          <w:lang w:val="zh-CN"/>
        </w:rPr>
        <w:t>第</w:t>
      </w:r>
      <w:r>
        <w:rPr>
          <w:rFonts w:hint="eastAsia" w:ascii="方正仿宋_GB2312" w:eastAsia="方正仿宋_GB2312" w:cs="方正仿宋_GB2312"/>
          <w:color w:val="auto"/>
          <w:kern w:val="0"/>
          <w:sz w:val="24"/>
          <w:highlight w:val="none"/>
        </w:rPr>
        <w:t>二</w:t>
      </w:r>
      <w:r>
        <w:rPr>
          <w:rFonts w:hint="eastAsia" w:ascii="方正仿宋_GB2312" w:eastAsia="方正仿宋_GB2312" w:cs="方正仿宋_GB2312"/>
          <w:color w:val="auto"/>
          <w:kern w:val="0"/>
          <w:sz w:val="24"/>
          <w:highlight w:val="none"/>
          <w:lang w:val="zh-CN"/>
        </w:rPr>
        <w:t>期付款</w:t>
      </w:r>
      <w:r>
        <w:rPr>
          <w:rFonts w:hint="eastAsia" w:ascii="方正仿宋_GB2312" w:eastAsia="方正仿宋_GB2312" w:cs="方正仿宋_GB2312"/>
          <w:color w:val="auto"/>
          <w:kern w:val="0"/>
          <w:sz w:val="24"/>
          <w:highlight w:val="none"/>
        </w:rPr>
        <w:t>：</w:t>
      </w:r>
    </w:p>
    <w:p w14:paraId="3CF59A49">
      <w:pPr>
        <w:spacing w:line="360" w:lineRule="auto"/>
        <w:ind w:firstLine="480" w:firstLineChars="200"/>
        <w:rPr>
          <w:rFonts w:ascii="方正仿宋_GB2312" w:eastAsia="方正仿宋_GB2312" w:cs="方正仿宋_GB2312"/>
          <w:color w:val="auto"/>
          <w:kern w:val="0"/>
          <w:sz w:val="24"/>
          <w:highlight w:val="none"/>
        </w:rPr>
      </w:pPr>
      <w:r>
        <w:rPr>
          <w:rFonts w:hint="eastAsia" w:ascii="方正仿宋_GB2312" w:eastAsia="方正仿宋_GB2312" w:cs="方正仿宋_GB2312"/>
          <w:color w:val="auto"/>
          <w:kern w:val="0"/>
          <w:sz w:val="24"/>
          <w:highlight w:val="none"/>
        </w:rPr>
        <w:t>……</w:t>
      </w:r>
    </w:p>
    <w:p w14:paraId="07437CC0">
      <w:pPr>
        <w:spacing w:line="360" w:lineRule="auto"/>
        <w:ind w:firstLine="480" w:firstLineChars="200"/>
        <w:rPr>
          <w:rFonts w:ascii="方正仿宋_GB2312" w:hAnsi="仿宋" w:eastAsia="方正仿宋_GB2312"/>
          <w:color w:val="auto"/>
          <w:sz w:val="24"/>
          <w:highlight w:val="none"/>
        </w:rPr>
      </w:pPr>
      <w:r>
        <w:rPr>
          <w:rFonts w:hint="eastAsia" w:ascii="方正仿宋_GB2312" w:hAnsi="仿宋" w:eastAsia="方正仿宋_GB2312"/>
          <w:color w:val="auto"/>
          <w:sz w:val="24"/>
          <w:highlight w:val="none"/>
        </w:rPr>
        <w:t>甲方无故逾期支付服务费用的，按照每逾期一日支付欠付服务费额度的</w:t>
      </w:r>
      <w:r>
        <w:rPr>
          <w:rFonts w:hint="eastAsia" w:ascii="方正仿宋_GB2312" w:hAnsi="楷体" w:eastAsia="方正仿宋_GB2312"/>
          <w:color w:val="auto"/>
          <w:sz w:val="24"/>
          <w:highlight w:val="none"/>
        </w:rPr>
        <w:t>万分之五</w:t>
      </w:r>
      <w:r>
        <w:rPr>
          <w:rFonts w:hint="eastAsia" w:ascii="方正仿宋_GB2312" w:hAnsi="仿宋" w:eastAsia="方正仿宋_GB2312"/>
          <w:color w:val="auto"/>
          <w:sz w:val="24"/>
          <w:highlight w:val="none"/>
        </w:rPr>
        <w:t>承担违约责任，违约金上限按照《合同书》约定执行。</w:t>
      </w:r>
    </w:p>
    <w:p w14:paraId="562A577E">
      <w:pPr>
        <w:spacing w:line="360" w:lineRule="auto"/>
        <w:ind w:firstLine="480" w:firstLineChars="200"/>
        <w:rPr>
          <w:rFonts w:ascii="方正仿宋_GB2312" w:hAnsi="楷体" w:eastAsia="方正仿宋_GB2312"/>
          <w:b/>
          <w:color w:val="auto"/>
          <w:sz w:val="24"/>
          <w:highlight w:val="none"/>
        </w:rPr>
      </w:pPr>
      <w:r>
        <w:rPr>
          <w:rFonts w:hint="eastAsia" w:ascii="方正仿宋_GB2312" w:hAnsi="楷体" w:eastAsia="方正仿宋_GB2312"/>
          <w:color w:val="auto"/>
          <w:sz w:val="24"/>
          <w:highlight w:val="none"/>
        </w:rPr>
        <w:t>3.5</w:t>
      </w:r>
      <w:r>
        <w:rPr>
          <w:rFonts w:hint="eastAsia" w:ascii="方正仿宋_GB2312" w:hAnsi="楷体" w:eastAsia="方正仿宋_GB2312"/>
          <w:b/>
          <w:color w:val="auto"/>
          <w:sz w:val="24"/>
          <w:highlight w:val="none"/>
        </w:rPr>
        <w:t>标的物的风险负担</w:t>
      </w:r>
    </w:p>
    <w:p w14:paraId="4BE0851D">
      <w:pPr>
        <w:spacing w:line="360" w:lineRule="auto"/>
        <w:ind w:firstLine="480" w:firstLineChars="200"/>
        <w:rPr>
          <w:rFonts w:ascii="方正仿宋_GB2312" w:hAnsi="楷体" w:eastAsia="方正仿宋_GB2312"/>
          <w:color w:val="auto"/>
          <w:sz w:val="24"/>
          <w:highlight w:val="none"/>
        </w:rPr>
      </w:pPr>
      <w:r>
        <w:rPr>
          <w:rFonts w:hint="eastAsia" w:ascii="方正仿宋_GB2312" w:hAnsi="楷体" w:eastAsia="方正仿宋_GB2312"/>
          <w:color w:val="auto"/>
          <w:sz w:val="24"/>
          <w:highlight w:val="none"/>
        </w:rPr>
        <w:t>标的物或者在途标的物或者交付给第一承运人后的标的物毁损、灭失的风险负担：</w:t>
      </w:r>
    </w:p>
    <w:p w14:paraId="24084AFD">
      <w:pPr>
        <w:spacing w:line="360" w:lineRule="auto"/>
        <w:ind w:firstLine="480" w:firstLineChars="200"/>
        <w:rPr>
          <w:rFonts w:ascii="方正仿宋_GB2312" w:hAnsi="楷体" w:eastAsia="方正仿宋_GB2312"/>
          <w:color w:val="auto"/>
          <w:sz w:val="24"/>
          <w:highlight w:val="none"/>
          <w:u w:val="single"/>
        </w:rPr>
      </w:pPr>
      <w:r>
        <w:rPr>
          <w:rFonts w:hint="eastAsia" w:ascii="方正仿宋_GB2312" w:hAnsi="楷体" w:eastAsia="方正仿宋_GB2312"/>
          <w:color w:val="auto"/>
          <w:sz w:val="24"/>
          <w:highlight w:val="none"/>
          <w:u w:val="single"/>
        </w:rPr>
        <w:t xml:space="preserve">乙方                                                                       </w:t>
      </w:r>
    </w:p>
    <w:p w14:paraId="78ABBE9E">
      <w:pPr>
        <w:spacing w:line="360" w:lineRule="auto"/>
        <w:ind w:firstLine="480" w:firstLineChars="200"/>
        <w:rPr>
          <w:rFonts w:ascii="方正仿宋_GB2312" w:hAnsi="楷体" w:eastAsia="方正仿宋_GB2312"/>
          <w:color w:val="auto"/>
          <w:sz w:val="24"/>
          <w:highlight w:val="none"/>
        </w:rPr>
      </w:pPr>
      <w:r>
        <w:rPr>
          <w:rFonts w:hint="eastAsia" w:ascii="方正仿宋_GB2312" w:hAnsi="楷体" w:eastAsia="方正仿宋_GB2312"/>
          <w:color w:val="auto"/>
          <w:sz w:val="24"/>
          <w:highlight w:val="none"/>
        </w:rPr>
        <w:t>3.5.1受不可抗力影响的一方在不可抗力发生后，应在5日内以书面形式通知对方当事人，并在日内，将有关部门出具的证明文件送达对方当事人。</w:t>
      </w:r>
    </w:p>
    <w:p w14:paraId="4ACDACB4">
      <w:pPr>
        <w:spacing w:line="360" w:lineRule="auto"/>
        <w:ind w:firstLine="480" w:firstLineChars="200"/>
        <w:rPr>
          <w:rFonts w:ascii="方正仿宋_GB2312" w:hAnsi="楷体" w:eastAsia="方正仿宋_GB2312"/>
          <w:color w:val="auto"/>
          <w:sz w:val="24"/>
          <w:highlight w:val="none"/>
        </w:rPr>
      </w:pPr>
      <w:r>
        <w:rPr>
          <w:rFonts w:hint="eastAsia" w:ascii="方正仿宋_GB2312" w:hAnsi="楷体" w:eastAsia="方正仿宋_GB2312"/>
          <w:color w:val="auto"/>
          <w:sz w:val="24"/>
          <w:highlight w:val="none"/>
        </w:rPr>
        <w:t>3.5.2因不可抗力致使合同有变更必要的，双方当事人应在7日内以书面形式变更合同；</w:t>
      </w:r>
    </w:p>
    <w:p w14:paraId="0EC1B93C">
      <w:pPr>
        <w:spacing w:line="360" w:lineRule="auto"/>
        <w:ind w:firstLine="480" w:firstLineChars="200"/>
        <w:rPr>
          <w:rFonts w:ascii="方正仿宋_GB2312" w:hAnsi="楷体" w:eastAsia="方正仿宋_GB2312"/>
          <w:color w:val="auto"/>
          <w:sz w:val="24"/>
          <w:highlight w:val="none"/>
        </w:rPr>
      </w:pPr>
      <w:r>
        <w:rPr>
          <w:rFonts w:hint="eastAsia" w:ascii="方正仿宋_GB2312" w:hAnsi="楷体" w:eastAsia="方正仿宋_GB2312"/>
          <w:color w:val="auto"/>
          <w:sz w:val="24"/>
          <w:highlight w:val="none"/>
        </w:rPr>
        <w:t>3.5.3标的物交付前，乙方应对标的物的质量、数量等方面进行详细、全面的检验，并向甲方出具证明标的物符合合同约定的文件；标的物交付时，乙方在</w:t>
      </w:r>
      <w:r>
        <w:rPr>
          <w:rFonts w:ascii="方正仿宋_GB2312" w:hAnsi="楷体" w:eastAsia="方正仿宋_GB2312"/>
          <w:color w:val="auto"/>
          <w:sz w:val="24"/>
          <w:highlight w:val="none"/>
        </w:rPr>
        <w:t>5</w:t>
      </w:r>
      <w:r>
        <w:rPr>
          <w:rFonts w:hint="eastAsia" w:ascii="方正仿宋_GB2312" w:hAnsi="楷体" w:eastAsia="方正仿宋_GB2312"/>
          <w:color w:val="auto"/>
          <w:sz w:val="24"/>
          <w:highlight w:val="none"/>
        </w:rPr>
        <w:t>日内发起验收，并可依法邀请相关方参加，验收应出具验收书。</w:t>
      </w:r>
    </w:p>
    <w:p w14:paraId="24C62CC4">
      <w:pPr>
        <w:spacing w:line="360" w:lineRule="auto"/>
        <w:ind w:firstLine="480" w:firstLineChars="200"/>
        <w:rPr>
          <w:rFonts w:ascii="方正仿宋_GB2312" w:hAnsi="楷体" w:eastAsia="方正仿宋_GB2312"/>
          <w:color w:val="auto"/>
          <w:sz w:val="24"/>
          <w:highlight w:val="none"/>
        </w:rPr>
      </w:pPr>
      <w:r>
        <w:rPr>
          <w:rFonts w:hint="eastAsia" w:ascii="方正仿宋_GB2312" w:hAnsi="楷体" w:eastAsia="方正仿宋_GB2312"/>
          <w:color w:val="auto"/>
          <w:sz w:val="24"/>
          <w:highlight w:val="none"/>
        </w:rPr>
        <w:t>3.5.4 检验和验收标准、程序等具体内容以及前述验收书的效力：按采购文件要求</w:t>
      </w:r>
    </w:p>
    <w:p w14:paraId="0E043BCF">
      <w:pPr>
        <w:spacing w:line="360" w:lineRule="auto"/>
        <w:ind w:firstLine="480" w:firstLineChars="200"/>
        <w:rPr>
          <w:rFonts w:ascii="方正仿宋_GB2312" w:hAnsi="楷体" w:eastAsia="方正仿宋_GB2312"/>
          <w:color w:val="auto"/>
          <w:sz w:val="24"/>
          <w:highlight w:val="none"/>
        </w:rPr>
      </w:pPr>
      <w:r>
        <w:rPr>
          <w:rFonts w:hint="eastAsia" w:ascii="方正仿宋_GB2312" w:hAnsi="楷体" w:eastAsia="方正仿宋_GB2312"/>
          <w:color w:val="auto"/>
          <w:sz w:val="24"/>
          <w:highlight w:val="none"/>
        </w:rPr>
        <w:t>3.5.5 其他：无</w:t>
      </w:r>
    </w:p>
    <w:p w14:paraId="424E72B2">
      <w:pPr>
        <w:spacing w:line="360" w:lineRule="auto"/>
        <w:ind w:firstLine="480" w:firstLineChars="200"/>
        <w:rPr>
          <w:rFonts w:ascii="仿宋" w:hAnsi="仿宋" w:eastAsia="仿宋" w:cs="仿宋"/>
          <w:b/>
          <w:color w:val="auto"/>
          <w:sz w:val="24"/>
          <w:highlight w:val="none"/>
        </w:rPr>
      </w:pPr>
      <w:r>
        <w:rPr>
          <w:rFonts w:hint="eastAsia" w:ascii="方正仿宋_GB2312" w:hAnsi="楷体" w:eastAsia="方正仿宋_GB2312"/>
          <w:color w:val="auto"/>
          <w:sz w:val="24"/>
          <w:highlight w:val="none"/>
        </w:rPr>
        <w:t>3.6</w:t>
      </w:r>
      <w:r>
        <w:rPr>
          <w:rFonts w:hint="eastAsia" w:ascii="仿宋" w:hAnsi="仿宋" w:eastAsia="仿宋" w:cs="仿宋"/>
          <w:b/>
          <w:color w:val="auto"/>
          <w:sz w:val="24"/>
          <w:highlight w:val="none"/>
        </w:rPr>
        <w:t>项目验收：</w:t>
      </w:r>
    </w:p>
    <w:p w14:paraId="4A130054">
      <w:pPr>
        <w:tabs>
          <w:tab w:val="left" w:pos="904"/>
        </w:tabs>
        <w:snapToGrid w:val="0"/>
        <w:spacing w:line="360" w:lineRule="auto"/>
        <w:ind w:firstLine="480" w:firstLineChars="200"/>
        <w:jc w:val="left"/>
        <w:rPr>
          <w:rFonts w:ascii="仿宋" w:hAnsi="仿宋" w:eastAsia="仿宋" w:cs="仿宋"/>
          <w:color w:val="auto"/>
          <w:kern w:val="0"/>
          <w:sz w:val="24"/>
          <w:highlight w:val="none"/>
        </w:rPr>
      </w:pPr>
      <w:r>
        <w:rPr>
          <w:rFonts w:hint="eastAsia" w:ascii="仿宋" w:hAnsi="仿宋" w:eastAsia="仿宋" w:cs="仿宋"/>
          <w:color w:val="auto"/>
          <w:kern w:val="0"/>
          <w:sz w:val="24"/>
          <w:highlight w:val="none"/>
        </w:rPr>
        <w:t>3.6.1甲方参照《南宁市政府采购供应商履约验收评价管理办法》（南财采[2019]217号）规定组织对乙方履约的验收。验收方成员应当在验收书上签字，并承担相应的法律责任。如果发现与合同中要求不符，乙方须承担由此发生的一切损失和费用，并接受相应的处理。</w:t>
      </w:r>
    </w:p>
    <w:p w14:paraId="14C5D426">
      <w:pPr>
        <w:tabs>
          <w:tab w:val="left" w:pos="904"/>
        </w:tabs>
        <w:snapToGrid w:val="0"/>
        <w:spacing w:line="360" w:lineRule="auto"/>
        <w:ind w:firstLine="480" w:firstLineChars="200"/>
        <w:jc w:val="left"/>
        <w:rPr>
          <w:rFonts w:ascii="仿宋" w:hAnsi="仿宋" w:eastAsia="仿宋" w:cs="仿宋"/>
          <w:color w:val="auto"/>
          <w:kern w:val="0"/>
          <w:sz w:val="24"/>
          <w:highlight w:val="none"/>
        </w:rPr>
      </w:pPr>
      <w:r>
        <w:rPr>
          <w:rFonts w:hint="eastAsia" w:ascii="仿宋" w:hAnsi="仿宋" w:eastAsia="仿宋" w:cs="仿宋"/>
          <w:color w:val="auto"/>
          <w:kern w:val="0"/>
          <w:sz w:val="24"/>
          <w:highlight w:val="none"/>
        </w:rPr>
        <w:t>3.6.2严格按照采购合同开展履约验收。甲方成立验收小组，按照采购合同的约定对供应商履约情况进行验收，验收时，按照采购合同的约定对每一项技术、服务、安全标准的履约情况进行确认，出具验收报告并经验收小组全体成员签字。甲方根据验收报告形成验收意见并经甲方与乙方签字盖章生效。验收结果与采购合同约定的资金支付条件挂钩。履约验收的各项资料应当存档备查。</w:t>
      </w:r>
    </w:p>
    <w:p w14:paraId="7D615873">
      <w:pPr>
        <w:tabs>
          <w:tab w:val="left" w:pos="904"/>
        </w:tabs>
        <w:snapToGrid w:val="0"/>
        <w:spacing w:line="360" w:lineRule="auto"/>
        <w:ind w:firstLine="480" w:firstLineChars="200"/>
        <w:jc w:val="left"/>
        <w:rPr>
          <w:rFonts w:ascii="仿宋" w:hAnsi="仿宋" w:eastAsia="仿宋" w:cs="仿宋"/>
          <w:color w:val="auto"/>
          <w:kern w:val="0"/>
          <w:sz w:val="24"/>
          <w:highlight w:val="none"/>
        </w:rPr>
      </w:pPr>
      <w:r>
        <w:rPr>
          <w:rFonts w:hint="eastAsia" w:ascii="仿宋" w:hAnsi="仿宋" w:eastAsia="仿宋" w:cs="仿宋"/>
          <w:color w:val="auto"/>
          <w:kern w:val="0"/>
          <w:sz w:val="24"/>
          <w:highlight w:val="none"/>
        </w:rPr>
        <w:t>3.6.3验收合格的项目，甲方将根据采购合同的约定及时向供应商支付采购资金。验收不合格的项目，甲方将依法及时处理。采购合同的履行、违约责任和解决争议的方式等适用《中华人民共和国民法典》，并按照《合同书》约定执行。</w:t>
      </w:r>
    </w:p>
    <w:p w14:paraId="4FDFCE4B">
      <w:pPr>
        <w:tabs>
          <w:tab w:val="left" w:pos="904"/>
        </w:tabs>
        <w:snapToGrid w:val="0"/>
        <w:spacing w:line="360" w:lineRule="auto"/>
        <w:ind w:firstLine="480" w:firstLineChars="200"/>
        <w:jc w:val="left"/>
        <w:rPr>
          <w:rFonts w:ascii="仿宋" w:hAnsi="仿宋" w:eastAsia="仿宋" w:cs="仿宋"/>
          <w:color w:val="auto"/>
          <w:kern w:val="0"/>
          <w:sz w:val="24"/>
          <w:highlight w:val="none"/>
        </w:rPr>
      </w:pPr>
      <w:r>
        <w:rPr>
          <w:rFonts w:hint="eastAsia" w:ascii="仿宋" w:hAnsi="仿宋" w:eastAsia="仿宋" w:cs="仿宋"/>
          <w:color w:val="auto"/>
          <w:kern w:val="0"/>
          <w:sz w:val="24"/>
          <w:highlight w:val="none"/>
        </w:rPr>
        <w:t>3.6.4验收产生的费用：</w:t>
      </w:r>
    </w:p>
    <w:p w14:paraId="4FA7DAE5">
      <w:pPr>
        <w:tabs>
          <w:tab w:val="left" w:pos="904"/>
        </w:tabs>
        <w:snapToGrid w:val="0"/>
        <w:spacing w:line="360" w:lineRule="auto"/>
        <w:ind w:firstLine="480" w:firstLineChars="200"/>
        <w:jc w:val="left"/>
        <w:rPr>
          <w:rFonts w:ascii="方正仿宋_GB2312" w:hAnsi="楷体" w:eastAsia="方正仿宋_GB2312"/>
          <w:color w:val="auto"/>
          <w:sz w:val="24"/>
          <w:highlight w:val="none"/>
        </w:rPr>
      </w:pPr>
      <w:r>
        <w:rPr>
          <w:rFonts w:hint="eastAsia" w:ascii="方正仿宋_GB2312" w:hAnsi="楷体" w:eastAsia="方正仿宋_GB2312"/>
          <w:color w:val="auto"/>
          <w:sz w:val="24"/>
          <w:highlight w:val="none"/>
        </w:rPr>
        <w:t>首次验收费用由</w:t>
      </w:r>
      <w:r>
        <w:rPr>
          <w:rFonts w:hint="eastAsia" w:ascii="方正仿宋_GB2312" w:hAnsi="楷体" w:eastAsia="方正仿宋_GB2312"/>
          <w:color w:val="auto"/>
          <w:sz w:val="24"/>
          <w:highlight w:val="none"/>
          <w:u w:val="single"/>
        </w:rPr>
        <w:t xml:space="preserve"> 乙方 </w:t>
      </w:r>
      <w:r>
        <w:rPr>
          <w:rFonts w:hint="eastAsia" w:ascii="方正仿宋_GB2312" w:hAnsi="楷体" w:eastAsia="方正仿宋_GB2312"/>
          <w:color w:val="auto"/>
          <w:sz w:val="24"/>
          <w:highlight w:val="none"/>
        </w:rPr>
        <w:t>承担，如首次验收不合格，后续验收费用由</w:t>
      </w:r>
      <w:r>
        <w:rPr>
          <w:rFonts w:hint="eastAsia" w:ascii="方正仿宋_GB2312" w:hAnsi="楷体" w:eastAsia="方正仿宋_GB2312"/>
          <w:color w:val="auto"/>
          <w:sz w:val="24"/>
          <w:highlight w:val="none"/>
          <w:u w:val="single"/>
        </w:rPr>
        <w:t xml:space="preserve"> 乙方</w:t>
      </w:r>
      <w:r>
        <w:rPr>
          <w:rFonts w:hint="eastAsia" w:ascii="方正仿宋_GB2312" w:hAnsi="楷体" w:eastAsia="方正仿宋_GB2312"/>
          <w:color w:val="auto"/>
          <w:sz w:val="24"/>
          <w:highlight w:val="none"/>
        </w:rPr>
        <w:t>支付。</w:t>
      </w:r>
    </w:p>
    <w:p w14:paraId="73AD7835">
      <w:pPr>
        <w:tabs>
          <w:tab w:val="left" w:pos="904"/>
        </w:tabs>
        <w:snapToGrid w:val="0"/>
        <w:spacing w:line="360" w:lineRule="auto"/>
        <w:ind w:firstLine="480" w:firstLineChars="200"/>
        <w:jc w:val="left"/>
        <w:rPr>
          <w:rFonts w:ascii="仿宋" w:hAnsi="仿宋" w:eastAsia="仿宋" w:cs="仿宋"/>
          <w:color w:val="auto"/>
          <w:kern w:val="0"/>
          <w:sz w:val="24"/>
          <w:highlight w:val="none"/>
        </w:rPr>
      </w:pPr>
      <w:r>
        <w:rPr>
          <w:rFonts w:hint="eastAsia" w:ascii="仿宋" w:hAnsi="仿宋" w:eastAsia="仿宋" w:cs="仿宋"/>
          <w:color w:val="auto"/>
          <w:kern w:val="0"/>
          <w:sz w:val="24"/>
          <w:highlight w:val="none"/>
        </w:rPr>
        <w:t>3.6.5验收内容及资料要求：</w:t>
      </w:r>
    </w:p>
    <w:p w14:paraId="6794E01D">
      <w:pPr>
        <w:tabs>
          <w:tab w:val="left" w:pos="904"/>
        </w:tabs>
        <w:snapToGrid w:val="0"/>
        <w:spacing w:line="360" w:lineRule="auto"/>
        <w:ind w:firstLine="480" w:firstLineChars="200"/>
        <w:jc w:val="left"/>
        <w:rPr>
          <w:rFonts w:ascii="仿宋" w:hAnsi="仿宋" w:eastAsia="仿宋" w:cs="仿宋"/>
          <w:color w:val="auto"/>
          <w:kern w:val="0"/>
          <w:sz w:val="24"/>
          <w:highlight w:val="none"/>
        </w:rPr>
      </w:pPr>
      <w:r>
        <w:rPr>
          <w:rFonts w:hint="eastAsia" w:ascii="仿宋" w:hAnsi="仿宋" w:eastAsia="仿宋" w:cs="仿宋"/>
          <w:color w:val="auto"/>
          <w:kern w:val="0"/>
          <w:sz w:val="24"/>
          <w:highlight w:val="none"/>
        </w:rPr>
        <w:t>根据采购文件确定的技术指标或者服务要求确定验收指标和标准。未进行相应约定的，应当符合国家强制性规定、政策要求、安全标准、行业或企业有关标准等。</w:t>
      </w:r>
    </w:p>
    <w:p w14:paraId="0DDD9B4A">
      <w:pPr>
        <w:tabs>
          <w:tab w:val="left" w:pos="904"/>
        </w:tabs>
        <w:snapToGrid w:val="0"/>
        <w:spacing w:line="360" w:lineRule="auto"/>
        <w:ind w:firstLine="480" w:firstLineChars="200"/>
        <w:jc w:val="left"/>
        <w:rPr>
          <w:rFonts w:ascii="仿宋" w:hAnsi="仿宋" w:eastAsia="仿宋" w:cs="仿宋"/>
          <w:color w:val="auto"/>
          <w:sz w:val="24"/>
          <w:highlight w:val="none"/>
        </w:rPr>
      </w:pPr>
      <w:r>
        <w:rPr>
          <w:rFonts w:hint="eastAsia" w:ascii="仿宋" w:hAnsi="仿宋" w:eastAsia="仿宋" w:cs="仿宋"/>
          <w:color w:val="auto"/>
          <w:kern w:val="0"/>
          <w:sz w:val="24"/>
          <w:highlight w:val="none"/>
        </w:rPr>
        <w:t>3.6.6</w:t>
      </w:r>
      <w:r>
        <w:rPr>
          <w:rFonts w:hint="eastAsia" w:ascii="仿宋" w:hAnsi="仿宋" w:eastAsia="仿宋" w:cs="仿宋"/>
          <w:color w:val="auto"/>
          <w:sz w:val="24"/>
          <w:highlight w:val="none"/>
        </w:rPr>
        <w:t>验收内容</w:t>
      </w:r>
    </w:p>
    <w:tbl>
      <w:tblPr>
        <w:tblStyle w:val="37"/>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73"/>
        <w:gridCol w:w="1914"/>
        <w:gridCol w:w="5930"/>
      </w:tblGrid>
      <w:tr w14:paraId="23F90A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673" w:type="dxa"/>
            <w:tcBorders>
              <w:top w:val="single" w:color="auto" w:sz="4" w:space="0"/>
              <w:left w:val="single" w:color="auto" w:sz="4" w:space="0"/>
              <w:bottom w:val="single" w:color="auto" w:sz="4" w:space="0"/>
              <w:right w:val="single" w:color="auto" w:sz="4" w:space="0"/>
            </w:tcBorders>
            <w:vAlign w:val="center"/>
          </w:tcPr>
          <w:p w14:paraId="7DCF22AB">
            <w:pPr>
              <w:keepNext w:val="0"/>
              <w:keepLines w:val="0"/>
              <w:widowControl/>
              <w:suppressLineNumbers w:val="0"/>
              <w:spacing w:before="0" w:beforeAutospacing="0" w:after="0" w:afterAutospacing="0" w:line="360" w:lineRule="auto"/>
              <w:ind w:left="0" w:right="0" w:firstLine="200"/>
              <w:jc w:val="center"/>
              <w:rPr>
                <w:rFonts w:hint="default" w:ascii="仿宋" w:hAnsi="仿宋" w:eastAsia="仿宋" w:cs="仿宋"/>
                <w:bCs/>
                <w:color w:val="auto"/>
                <w:kern w:val="0"/>
                <w:sz w:val="24"/>
                <w:highlight w:val="none"/>
              </w:rPr>
            </w:pPr>
            <w:r>
              <w:rPr>
                <w:rFonts w:hint="eastAsia" w:ascii="仿宋" w:hAnsi="仿宋" w:eastAsia="仿宋" w:cs="仿宋"/>
                <w:bCs/>
                <w:color w:val="auto"/>
                <w:kern w:val="0"/>
                <w:sz w:val="24"/>
                <w:highlight w:val="none"/>
              </w:rPr>
              <w:t>序号</w:t>
            </w:r>
          </w:p>
        </w:tc>
        <w:tc>
          <w:tcPr>
            <w:tcW w:w="1914" w:type="dxa"/>
            <w:tcBorders>
              <w:top w:val="single" w:color="auto" w:sz="4" w:space="0"/>
              <w:left w:val="single" w:color="auto" w:sz="4" w:space="0"/>
              <w:bottom w:val="single" w:color="auto" w:sz="4" w:space="0"/>
              <w:right w:val="single" w:color="auto" w:sz="4" w:space="0"/>
            </w:tcBorders>
            <w:vAlign w:val="center"/>
          </w:tcPr>
          <w:p w14:paraId="46F20408">
            <w:pPr>
              <w:keepNext w:val="0"/>
              <w:keepLines w:val="0"/>
              <w:widowControl/>
              <w:suppressLineNumbers w:val="0"/>
              <w:spacing w:before="0" w:beforeAutospacing="0" w:after="0" w:afterAutospacing="0" w:line="360" w:lineRule="auto"/>
              <w:ind w:left="0" w:right="0" w:firstLine="200"/>
              <w:jc w:val="center"/>
              <w:rPr>
                <w:rFonts w:hint="default" w:ascii="仿宋" w:hAnsi="仿宋" w:eastAsia="仿宋" w:cs="仿宋"/>
                <w:bCs/>
                <w:color w:val="auto"/>
                <w:kern w:val="0"/>
                <w:sz w:val="24"/>
                <w:highlight w:val="none"/>
              </w:rPr>
            </w:pPr>
            <w:r>
              <w:rPr>
                <w:rFonts w:hint="eastAsia" w:ascii="仿宋" w:hAnsi="仿宋" w:eastAsia="仿宋" w:cs="仿宋"/>
                <w:bCs/>
                <w:color w:val="auto"/>
                <w:kern w:val="0"/>
                <w:sz w:val="24"/>
                <w:highlight w:val="none"/>
              </w:rPr>
              <w:t>验收内容</w:t>
            </w:r>
          </w:p>
        </w:tc>
        <w:tc>
          <w:tcPr>
            <w:tcW w:w="5930" w:type="dxa"/>
            <w:tcBorders>
              <w:top w:val="single" w:color="auto" w:sz="4" w:space="0"/>
              <w:left w:val="single" w:color="auto" w:sz="4" w:space="0"/>
              <w:bottom w:val="single" w:color="auto" w:sz="4" w:space="0"/>
              <w:right w:val="single" w:color="auto" w:sz="4" w:space="0"/>
            </w:tcBorders>
            <w:vAlign w:val="center"/>
          </w:tcPr>
          <w:p w14:paraId="6C369112">
            <w:pPr>
              <w:keepNext w:val="0"/>
              <w:keepLines w:val="0"/>
              <w:widowControl/>
              <w:suppressLineNumbers w:val="0"/>
              <w:spacing w:before="0" w:beforeAutospacing="0" w:after="0" w:afterAutospacing="0" w:line="360" w:lineRule="auto"/>
              <w:ind w:left="0" w:right="0" w:firstLine="200"/>
              <w:jc w:val="center"/>
              <w:rPr>
                <w:rFonts w:hint="default" w:ascii="仿宋" w:hAnsi="仿宋" w:eastAsia="仿宋" w:cs="仿宋"/>
                <w:bCs/>
                <w:color w:val="auto"/>
                <w:kern w:val="0"/>
                <w:sz w:val="24"/>
                <w:highlight w:val="none"/>
              </w:rPr>
            </w:pPr>
            <w:r>
              <w:rPr>
                <w:rFonts w:hint="eastAsia" w:ascii="仿宋" w:hAnsi="仿宋" w:eastAsia="仿宋" w:cs="仿宋"/>
                <w:bCs/>
                <w:color w:val="auto"/>
                <w:kern w:val="0"/>
                <w:sz w:val="24"/>
                <w:highlight w:val="none"/>
              </w:rPr>
              <w:t xml:space="preserve"> 验收标准</w:t>
            </w:r>
          </w:p>
        </w:tc>
      </w:tr>
      <w:tr w14:paraId="23E94E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7" w:hRule="atLeast"/>
          <w:jc w:val="center"/>
        </w:trPr>
        <w:tc>
          <w:tcPr>
            <w:tcW w:w="673" w:type="dxa"/>
            <w:tcBorders>
              <w:top w:val="single" w:color="auto" w:sz="4" w:space="0"/>
              <w:left w:val="single" w:color="auto" w:sz="4" w:space="0"/>
              <w:bottom w:val="single" w:color="auto" w:sz="4" w:space="0"/>
              <w:right w:val="single" w:color="auto" w:sz="4" w:space="0"/>
            </w:tcBorders>
            <w:vAlign w:val="center"/>
          </w:tcPr>
          <w:p w14:paraId="3CC3119A">
            <w:pPr>
              <w:keepNext w:val="0"/>
              <w:keepLines w:val="0"/>
              <w:widowControl/>
              <w:suppressLineNumbers w:val="0"/>
              <w:spacing w:before="0" w:beforeAutospacing="0" w:after="0" w:afterAutospacing="0" w:line="360" w:lineRule="auto"/>
              <w:ind w:left="0" w:right="0" w:firstLine="200"/>
              <w:jc w:val="center"/>
              <w:rPr>
                <w:rFonts w:hint="default" w:ascii="仿宋" w:hAnsi="仿宋" w:eastAsia="仿宋" w:cs="仿宋"/>
                <w:bCs/>
                <w:color w:val="auto"/>
                <w:kern w:val="0"/>
                <w:sz w:val="24"/>
                <w:highlight w:val="none"/>
              </w:rPr>
            </w:pPr>
            <w:r>
              <w:rPr>
                <w:rFonts w:hint="eastAsia" w:ascii="仿宋" w:hAnsi="仿宋" w:eastAsia="仿宋" w:cs="仿宋"/>
                <w:bCs/>
                <w:color w:val="auto"/>
                <w:kern w:val="0"/>
                <w:sz w:val="24"/>
                <w:highlight w:val="none"/>
              </w:rPr>
              <w:t>1</w:t>
            </w:r>
          </w:p>
        </w:tc>
        <w:tc>
          <w:tcPr>
            <w:tcW w:w="1914" w:type="dxa"/>
            <w:tcBorders>
              <w:top w:val="single" w:color="auto" w:sz="4" w:space="0"/>
              <w:left w:val="single" w:color="auto" w:sz="4" w:space="0"/>
              <w:bottom w:val="single" w:color="auto" w:sz="4" w:space="0"/>
              <w:right w:val="single" w:color="auto" w:sz="4" w:space="0"/>
            </w:tcBorders>
            <w:vAlign w:val="center"/>
          </w:tcPr>
          <w:p w14:paraId="6443600F">
            <w:pPr>
              <w:keepNext w:val="0"/>
              <w:keepLines w:val="0"/>
              <w:widowControl/>
              <w:suppressLineNumbers w:val="0"/>
              <w:spacing w:before="0" w:beforeAutospacing="0" w:after="0" w:afterAutospacing="0" w:line="360" w:lineRule="auto"/>
              <w:ind w:left="0" w:right="0"/>
              <w:rPr>
                <w:rFonts w:hint="default" w:ascii="仿宋" w:hAnsi="仿宋" w:eastAsia="仿宋" w:cs="仿宋"/>
                <w:bCs/>
                <w:color w:val="auto"/>
                <w:kern w:val="0"/>
                <w:sz w:val="24"/>
                <w:highlight w:val="none"/>
              </w:rPr>
            </w:pPr>
            <w:r>
              <w:rPr>
                <w:rFonts w:hint="eastAsia" w:ascii="仿宋" w:hAnsi="仿宋" w:eastAsia="仿宋" w:cs="仿宋"/>
                <w:bCs/>
                <w:color w:val="auto"/>
                <w:kern w:val="0"/>
                <w:sz w:val="24"/>
                <w:highlight w:val="none"/>
              </w:rPr>
              <w:t>交付标的物数量</w:t>
            </w:r>
          </w:p>
        </w:tc>
        <w:tc>
          <w:tcPr>
            <w:tcW w:w="5930" w:type="dxa"/>
            <w:tcBorders>
              <w:top w:val="single" w:color="auto" w:sz="4" w:space="0"/>
              <w:left w:val="single" w:color="auto" w:sz="4" w:space="0"/>
              <w:bottom w:val="single" w:color="auto" w:sz="4" w:space="0"/>
              <w:right w:val="single" w:color="auto" w:sz="4" w:space="0"/>
            </w:tcBorders>
            <w:vAlign w:val="center"/>
          </w:tcPr>
          <w:p w14:paraId="7B63A604">
            <w:pPr>
              <w:keepNext w:val="0"/>
              <w:keepLines w:val="0"/>
              <w:widowControl/>
              <w:suppressLineNumbers w:val="0"/>
              <w:spacing w:before="0" w:beforeAutospacing="0" w:after="0" w:afterAutospacing="0" w:line="360" w:lineRule="auto"/>
              <w:ind w:left="0" w:right="0" w:firstLine="200"/>
              <w:jc w:val="center"/>
              <w:rPr>
                <w:rFonts w:hint="default" w:ascii="仿宋" w:hAnsi="仿宋" w:eastAsia="仿宋" w:cs="仿宋"/>
                <w:color w:val="auto"/>
                <w:kern w:val="0"/>
                <w:sz w:val="24"/>
                <w:highlight w:val="none"/>
              </w:rPr>
            </w:pPr>
          </w:p>
        </w:tc>
      </w:tr>
      <w:tr w14:paraId="0D7186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9" w:hRule="atLeast"/>
          <w:jc w:val="center"/>
        </w:trPr>
        <w:tc>
          <w:tcPr>
            <w:tcW w:w="673" w:type="dxa"/>
            <w:tcBorders>
              <w:top w:val="single" w:color="auto" w:sz="4" w:space="0"/>
              <w:left w:val="single" w:color="auto" w:sz="4" w:space="0"/>
              <w:bottom w:val="single" w:color="auto" w:sz="4" w:space="0"/>
              <w:right w:val="single" w:color="auto" w:sz="4" w:space="0"/>
            </w:tcBorders>
            <w:vAlign w:val="center"/>
          </w:tcPr>
          <w:p w14:paraId="218B0264">
            <w:pPr>
              <w:keepNext w:val="0"/>
              <w:keepLines w:val="0"/>
              <w:widowControl/>
              <w:suppressLineNumbers w:val="0"/>
              <w:spacing w:before="0" w:beforeAutospacing="0" w:after="0" w:afterAutospacing="0" w:line="360" w:lineRule="auto"/>
              <w:ind w:left="0" w:right="0" w:firstLine="200"/>
              <w:jc w:val="center"/>
              <w:rPr>
                <w:rFonts w:hint="default" w:ascii="仿宋" w:hAnsi="仿宋" w:eastAsia="仿宋" w:cs="仿宋"/>
                <w:bCs/>
                <w:color w:val="auto"/>
                <w:kern w:val="0"/>
                <w:sz w:val="24"/>
                <w:highlight w:val="none"/>
              </w:rPr>
            </w:pPr>
            <w:r>
              <w:rPr>
                <w:rFonts w:hint="eastAsia" w:ascii="仿宋" w:hAnsi="仿宋" w:eastAsia="仿宋" w:cs="仿宋"/>
                <w:bCs/>
                <w:color w:val="auto"/>
                <w:kern w:val="0"/>
                <w:sz w:val="24"/>
                <w:highlight w:val="none"/>
              </w:rPr>
              <w:t>2</w:t>
            </w:r>
          </w:p>
        </w:tc>
        <w:tc>
          <w:tcPr>
            <w:tcW w:w="1914" w:type="dxa"/>
            <w:tcBorders>
              <w:top w:val="single" w:color="auto" w:sz="4" w:space="0"/>
              <w:left w:val="single" w:color="auto" w:sz="4" w:space="0"/>
              <w:bottom w:val="single" w:color="auto" w:sz="4" w:space="0"/>
              <w:right w:val="single" w:color="auto" w:sz="4" w:space="0"/>
            </w:tcBorders>
            <w:vAlign w:val="center"/>
          </w:tcPr>
          <w:p w14:paraId="6F8D7C6B">
            <w:pPr>
              <w:keepNext w:val="0"/>
              <w:keepLines w:val="0"/>
              <w:widowControl/>
              <w:suppressLineNumbers w:val="0"/>
              <w:spacing w:before="0" w:beforeAutospacing="0" w:after="0" w:afterAutospacing="0" w:line="360" w:lineRule="auto"/>
              <w:ind w:left="0" w:right="0"/>
              <w:rPr>
                <w:rFonts w:hint="default" w:ascii="仿宋" w:hAnsi="仿宋" w:eastAsia="仿宋" w:cs="仿宋"/>
                <w:bCs/>
                <w:color w:val="auto"/>
                <w:kern w:val="0"/>
                <w:sz w:val="24"/>
                <w:highlight w:val="none"/>
              </w:rPr>
            </w:pPr>
            <w:r>
              <w:rPr>
                <w:rFonts w:hint="eastAsia" w:ascii="仿宋" w:hAnsi="仿宋" w:eastAsia="仿宋" w:cs="仿宋"/>
                <w:bCs/>
                <w:color w:val="auto"/>
                <w:kern w:val="0"/>
                <w:sz w:val="24"/>
                <w:highlight w:val="none"/>
              </w:rPr>
              <w:t>交付标的物质量文件</w:t>
            </w:r>
          </w:p>
        </w:tc>
        <w:tc>
          <w:tcPr>
            <w:tcW w:w="5930" w:type="dxa"/>
            <w:tcBorders>
              <w:top w:val="single" w:color="auto" w:sz="4" w:space="0"/>
              <w:left w:val="single" w:color="auto" w:sz="4" w:space="0"/>
              <w:bottom w:val="single" w:color="auto" w:sz="4" w:space="0"/>
              <w:right w:val="single" w:color="auto" w:sz="4" w:space="0"/>
            </w:tcBorders>
            <w:vAlign w:val="center"/>
          </w:tcPr>
          <w:p w14:paraId="658F1C0E">
            <w:pPr>
              <w:keepNext w:val="0"/>
              <w:keepLines w:val="0"/>
              <w:widowControl/>
              <w:suppressLineNumbers w:val="0"/>
              <w:spacing w:before="0" w:beforeAutospacing="0" w:after="0" w:afterAutospacing="0" w:line="360" w:lineRule="auto"/>
              <w:ind w:left="0" w:right="0" w:firstLine="200"/>
              <w:jc w:val="center"/>
              <w:rPr>
                <w:rFonts w:hint="default" w:ascii="仿宋" w:hAnsi="仿宋" w:eastAsia="仿宋" w:cs="仿宋"/>
                <w:color w:val="auto"/>
                <w:kern w:val="0"/>
                <w:sz w:val="24"/>
                <w:highlight w:val="none"/>
              </w:rPr>
            </w:pPr>
          </w:p>
        </w:tc>
      </w:tr>
      <w:tr w14:paraId="796DF4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35" w:hRule="atLeast"/>
          <w:jc w:val="center"/>
        </w:trPr>
        <w:tc>
          <w:tcPr>
            <w:tcW w:w="673" w:type="dxa"/>
            <w:tcBorders>
              <w:top w:val="single" w:color="auto" w:sz="4" w:space="0"/>
              <w:left w:val="single" w:color="auto" w:sz="4" w:space="0"/>
              <w:bottom w:val="single" w:color="auto" w:sz="4" w:space="0"/>
              <w:right w:val="single" w:color="auto" w:sz="4" w:space="0"/>
            </w:tcBorders>
            <w:vAlign w:val="center"/>
          </w:tcPr>
          <w:p w14:paraId="6E5BC1C1">
            <w:pPr>
              <w:keepNext w:val="0"/>
              <w:keepLines w:val="0"/>
              <w:widowControl/>
              <w:suppressLineNumbers w:val="0"/>
              <w:spacing w:before="0" w:beforeAutospacing="0" w:after="0" w:afterAutospacing="0" w:line="360" w:lineRule="auto"/>
              <w:ind w:left="0" w:right="0" w:firstLine="200"/>
              <w:jc w:val="center"/>
              <w:rPr>
                <w:rFonts w:hint="default" w:ascii="仿宋" w:hAnsi="仿宋" w:eastAsia="仿宋" w:cs="仿宋"/>
                <w:bCs/>
                <w:color w:val="auto"/>
                <w:kern w:val="0"/>
                <w:sz w:val="24"/>
                <w:highlight w:val="none"/>
              </w:rPr>
            </w:pPr>
            <w:r>
              <w:rPr>
                <w:rFonts w:hint="eastAsia" w:ascii="仿宋" w:hAnsi="仿宋" w:eastAsia="仿宋" w:cs="仿宋"/>
                <w:bCs/>
                <w:color w:val="auto"/>
                <w:kern w:val="0"/>
                <w:sz w:val="24"/>
                <w:highlight w:val="none"/>
              </w:rPr>
              <w:t>4</w:t>
            </w:r>
          </w:p>
        </w:tc>
        <w:tc>
          <w:tcPr>
            <w:tcW w:w="1914" w:type="dxa"/>
            <w:tcBorders>
              <w:top w:val="single" w:color="auto" w:sz="4" w:space="0"/>
              <w:left w:val="single" w:color="auto" w:sz="4" w:space="0"/>
              <w:bottom w:val="single" w:color="auto" w:sz="4" w:space="0"/>
              <w:right w:val="single" w:color="auto" w:sz="4" w:space="0"/>
            </w:tcBorders>
            <w:vAlign w:val="center"/>
          </w:tcPr>
          <w:p w14:paraId="4278F86D">
            <w:pPr>
              <w:keepNext w:val="0"/>
              <w:keepLines w:val="0"/>
              <w:suppressLineNumbers w:val="0"/>
              <w:spacing w:before="0" w:beforeAutospacing="0" w:after="0" w:afterAutospacing="0" w:line="360" w:lineRule="auto"/>
              <w:ind w:left="0" w:right="0"/>
              <w:rPr>
                <w:rFonts w:hint="default" w:ascii="仿宋" w:hAnsi="仿宋" w:eastAsia="仿宋" w:cs="仿宋"/>
                <w:bCs/>
                <w:color w:val="auto"/>
                <w:kern w:val="0"/>
                <w:sz w:val="24"/>
                <w:highlight w:val="none"/>
              </w:rPr>
            </w:pPr>
            <w:r>
              <w:rPr>
                <w:rFonts w:hint="eastAsia" w:ascii="仿宋" w:hAnsi="仿宋" w:eastAsia="仿宋" w:cs="仿宋"/>
                <w:bCs/>
                <w:color w:val="auto"/>
                <w:kern w:val="0"/>
                <w:sz w:val="24"/>
                <w:highlight w:val="none"/>
              </w:rPr>
              <w:t xml:space="preserve">交付标的物技术、性能指标 </w:t>
            </w:r>
          </w:p>
        </w:tc>
        <w:tc>
          <w:tcPr>
            <w:tcW w:w="5930" w:type="dxa"/>
            <w:tcBorders>
              <w:top w:val="single" w:color="auto" w:sz="4" w:space="0"/>
              <w:left w:val="single" w:color="auto" w:sz="4" w:space="0"/>
              <w:bottom w:val="single" w:color="auto" w:sz="4" w:space="0"/>
              <w:right w:val="single" w:color="auto" w:sz="4" w:space="0"/>
            </w:tcBorders>
            <w:vAlign w:val="center"/>
          </w:tcPr>
          <w:p w14:paraId="28873550">
            <w:pPr>
              <w:pStyle w:val="6"/>
              <w:keepNext w:val="0"/>
              <w:keepLines w:val="0"/>
              <w:suppressLineNumbers w:val="0"/>
              <w:spacing w:before="0" w:beforeAutospacing="0" w:after="0" w:afterAutospacing="0" w:line="360" w:lineRule="auto"/>
              <w:ind w:left="0" w:right="0" w:firstLine="200"/>
              <w:jc w:val="left"/>
              <w:rPr>
                <w:rFonts w:hint="default" w:ascii="仿宋" w:hAnsi="仿宋" w:eastAsia="仿宋" w:cs="仿宋"/>
                <w:color w:val="auto"/>
                <w:highlight w:val="none"/>
              </w:rPr>
            </w:pPr>
          </w:p>
        </w:tc>
      </w:tr>
      <w:tr w14:paraId="4D3FF5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71" w:hRule="atLeast"/>
          <w:jc w:val="center"/>
        </w:trPr>
        <w:tc>
          <w:tcPr>
            <w:tcW w:w="673" w:type="dxa"/>
            <w:tcBorders>
              <w:top w:val="single" w:color="auto" w:sz="4" w:space="0"/>
              <w:left w:val="single" w:color="auto" w:sz="4" w:space="0"/>
              <w:bottom w:val="single" w:color="auto" w:sz="4" w:space="0"/>
              <w:right w:val="single" w:color="auto" w:sz="4" w:space="0"/>
            </w:tcBorders>
            <w:vAlign w:val="center"/>
          </w:tcPr>
          <w:p w14:paraId="4D7BEC31">
            <w:pPr>
              <w:keepNext w:val="0"/>
              <w:keepLines w:val="0"/>
              <w:widowControl/>
              <w:suppressLineNumbers w:val="0"/>
              <w:spacing w:before="0" w:beforeAutospacing="0" w:after="0" w:afterAutospacing="0" w:line="360" w:lineRule="auto"/>
              <w:ind w:left="0" w:right="0" w:firstLine="200"/>
              <w:jc w:val="center"/>
              <w:rPr>
                <w:rFonts w:hint="default" w:ascii="仿宋" w:hAnsi="仿宋" w:eastAsia="仿宋" w:cs="仿宋"/>
                <w:color w:val="auto"/>
                <w:kern w:val="0"/>
                <w:sz w:val="24"/>
                <w:highlight w:val="none"/>
              </w:rPr>
            </w:pPr>
            <w:r>
              <w:rPr>
                <w:rFonts w:hint="eastAsia" w:ascii="仿宋" w:hAnsi="仿宋" w:eastAsia="仿宋" w:cs="仿宋"/>
                <w:color w:val="auto"/>
                <w:kern w:val="0"/>
                <w:sz w:val="24"/>
                <w:highlight w:val="none"/>
              </w:rPr>
              <w:t>5</w:t>
            </w:r>
          </w:p>
        </w:tc>
        <w:tc>
          <w:tcPr>
            <w:tcW w:w="1914" w:type="dxa"/>
            <w:tcBorders>
              <w:top w:val="single" w:color="auto" w:sz="4" w:space="0"/>
              <w:left w:val="single" w:color="auto" w:sz="4" w:space="0"/>
              <w:bottom w:val="single" w:color="auto" w:sz="4" w:space="0"/>
              <w:right w:val="single" w:color="auto" w:sz="4" w:space="0"/>
            </w:tcBorders>
            <w:vAlign w:val="center"/>
          </w:tcPr>
          <w:p w14:paraId="1E5B2106">
            <w:pPr>
              <w:keepNext w:val="0"/>
              <w:keepLines w:val="0"/>
              <w:suppressLineNumbers w:val="0"/>
              <w:spacing w:before="0" w:beforeAutospacing="0" w:after="0" w:afterAutospacing="0" w:line="360" w:lineRule="auto"/>
              <w:ind w:left="0" w:right="0"/>
              <w:rPr>
                <w:rFonts w:hint="default" w:ascii="仿宋" w:hAnsi="仿宋" w:eastAsia="仿宋" w:cs="仿宋"/>
                <w:color w:val="auto"/>
                <w:sz w:val="24"/>
                <w:highlight w:val="none"/>
              </w:rPr>
            </w:pPr>
            <w:r>
              <w:rPr>
                <w:rFonts w:hint="eastAsia" w:ascii="仿宋" w:hAnsi="仿宋" w:eastAsia="仿宋" w:cs="仿宋"/>
                <w:color w:val="auto"/>
                <w:sz w:val="24"/>
                <w:highlight w:val="none"/>
              </w:rPr>
              <w:t>售后服务承诺</w:t>
            </w:r>
          </w:p>
        </w:tc>
        <w:tc>
          <w:tcPr>
            <w:tcW w:w="5930" w:type="dxa"/>
            <w:tcBorders>
              <w:top w:val="single" w:color="auto" w:sz="4" w:space="0"/>
              <w:left w:val="single" w:color="auto" w:sz="4" w:space="0"/>
              <w:bottom w:val="single" w:color="auto" w:sz="4" w:space="0"/>
              <w:right w:val="single" w:color="auto" w:sz="4" w:space="0"/>
            </w:tcBorders>
            <w:vAlign w:val="center"/>
          </w:tcPr>
          <w:p w14:paraId="15F1C073">
            <w:pPr>
              <w:keepNext w:val="0"/>
              <w:keepLines w:val="0"/>
              <w:widowControl/>
              <w:suppressLineNumbers w:val="0"/>
              <w:spacing w:before="0" w:beforeAutospacing="0" w:after="0" w:afterAutospacing="0" w:line="360" w:lineRule="auto"/>
              <w:ind w:left="0" w:right="0" w:firstLine="200"/>
              <w:jc w:val="center"/>
              <w:rPr>
                <w:rFonts w:hint="default" w:ascii="仿宋" w:hAnsi="仿宋" w:eastAsia="仿宋" w:cs="仿宋"/>
                <w:color w:val="auto"/>
                <w:kern w:val="0"/>
                <w:sz w:val="24"/>
                <w:highlight w:val="none"/>
              </w:rPr>
            </w:pPr>
          </w:p>
        </w:tc>
      </w:tr>
      <w:tr w14:paraId="0A770A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39" w:hRule="atLeast"/>
          <w:jc w:val="center"/>
        </w:trPr>
        <w:tc>
          <w:tcPr>
            <w:tcW w:w="673" w:type="dxa"/>
            <w:tcBorders>
              <w:top w:val="single" w:color="auto" w:sz="4" w:space="0"/>
              <w:left w:val="single" w:color="auto" w:sz="4" w:space="0"/>
              <w:bottom w:val="single" w:color="auto" w:sz="4" w:space="0"/>
              <w:right w:val="single" w:color="auto" w:sz="4" w:space="0"/>
            </w:tcBorders>
            <w:vAlign w:val="center"/>
          </w:tcPr>
          <w:p w14:paraId="5E7891EA">
            <w:pPr>
              <w:keepNext w:val="0"/>
              <w:keepLines w:val="0"/>
              <w:widowControl/>
              <w:suppressLineNumbers w:val="0"/>
              <w:spacing w:before="0" w:beforeAutospacing="0" w:after="0" w:afterAutospacing="0" w:line="360" w:lineRule="auto"/>
              <w:ind w:left="0" w:right="0" w:firstLine="200"/>
              <w:jc w:val="center"/>
              <w:rPr>
                <w:rFonts w:hint="default" w:ascii="仿宋" w:hAnsi="仿宋" w:eastAsia="仿宋" w:cs="仿宋"/>
                <w:bCs/>
                <w:color w:val="auto"/>
                <w:kern w:val="0"/>
                <w:sz w:val="24"/>
                <w:highlight w:val="none"/>
              </w:rPr>
            </w:pPr>
            <w:r>
              <w:rPr>
                <w:rFonts w:hint="eastAsia" w:ascii="仿宋" w:hAnsi="仿宋" w:eastAsia="仿宋" w:cs="仿宋"/>
                <w:bCs/>
                <w:color w:val="auto"/>
                <w:kern w:val="0"/>
                <w:sz w:val="24"/>
                <w:highlight w:val="none"/>
              </w:rPr>
              <w:t>6</w:t>
            </w:r>
          </w:p>
        </w:tc>
        <w:tc>
          <w:tcPr>
            <w:tcW w:w="1914" w:type="dxa"/>
            <w:tcBorders>
              <w:top w:val="single" w:color="auto" w:sz="4" w:space="0"/>
              <w:left w:val="single" w:color="auto" w:sz="4" w:space="0"/>
              <w:bottom w:val="single" w:color="auto" w:sz="4" w:space="0"/>
              <w:right w:val="single" w:color="auto" w:sz="4" w:space="0"/>
            </w:tcBorders>
            <w:vAlign w:val="center"/>
          </w:tcPr>
          <w:p w14:paraId="17BF49E8">
            <w:pPr>
              <w:keepNext w:val="0"/>
              <w:keepLines w:val="0"/>
              <w:widowControl/>
              <w:suppressLineNumbers w:val="0"/>
              <w:spacing w:before="0" w:beforeAutospacing="0" w:after="0" w:afterAutospacing="0" w:line="360" w:lineRule="auto"/>
              <w:ind w:left="0" w:right="0"/>
              <w:rPr>
                <w:rFonts w:hint="default" w:ascii="仿宋" w:hAnsi="仿宋" w:eastAsia="仿宋" w:cs="仿宋"/>
                <w:bCs/>
                <w:color w:val="auto"/>
                <w:kern w:val="0"/>
                <w:sz w:val="24"/>
                <w:highlight w:val="none"/>
              </w:rPr>
            </w:pPr>
            <w:r>
              <w:rPr>
                <w:rFonts w:hint="eastAsia" w:ascii="仿宋" w:hAnsi="仿宋" w:eastAsia="仿宋" w:cs="仿宋"/>
                <w:bCs/>
                <w:color w:val="auto"/>
                <w:kern w:val="0"/>
                <w:sz w:val="24"/>
                <w:highlight w:val="none"/>
              </w:rPr>
              <w:t>其他工作</w:t>
            </w:r>
          </w:p>
        </w:tc>
        <w:tc>
          <w:tcPr>
            <w:tcW w:w="5930" w:type="dxa"/>
            <w:tcBorders>
              <w:top w:val="single" w:color="auto" w:sz="4" w:space="0"/>
              <w:left w:val="single" w:color="auto" w:sz="4" w:space="0"/>
              <w:bottom w:val="single" w:color="auto" w:sz="4" w:space="0"/>
              <w:right w:val="single" w:color="auto" w:sz="4" w:space="0"/>
            </w:tcBorders>
            <w:vAlign w:val="center"/>
          </w:tcPr>
          <w:p w14:paraId="43A5CD48">
            <w:pPr>
              <w:keepNext w:val="0"/>
              <w:keepLines w:val="0"/>
              <w:widowControl/>
              <w:suppressLineNumbers w:val="0"/>
              <w:spacing w:before="0" w:beforeAutospacing="0" w:after="0" w:afterAutospacing="0" w:line="360" w:lineRule="auto"/>
              <w:ind w:left="0" w:right="0" w:firstLine="200"/>
              <w:jc w:val="left"/>
              <w:rPr>
                <w:rFonts w:hint="default" w:ascii="仿宋" w:hAnsi="仿宋" w:eastAsia="仿宋" w:cs="仿宋"/>
                <w:color w:val="auto"/>
                <w:kern w:val="0"/>
                <w:sz w:val="24"/>
                <w:highlight w:val="none"/>
              </w:rPr>
            </w:pPr>
          </w:p>
        </w:tc>
      </w:tr>
    </w:tbl>
    <w:p w14:paraId="5F56C907">
      <w:pPr>
        <w:tabs>
          <w:tab w:val="left" w:pos="904"/>
        </w:tabs>
        <w:snapToGrid w:val="0"/>
        <w:spacing w:line="360" w:lineRule="auto"/>
        <w:ind w:firstLine="480" w:firstLineChars="200"/>
        <w:jc w:val="left"/>
        <w:rPr>
          <w:rFonts w:ascii="仿宋" w:hAnsi="仿宋" w:eastAsia="仿宋" w:cs="仿宋"/>
          <w:color w:val="auto"/>
          <w:sz w:val="24"/>
          <w:highlight w:val="none"/>
        </w:rPr>
      </w:pPr>
      <w:r>
        <w:rPr>
          <w:rFonts w:hint="eastAsia" w:ascii="仿宋" w:hAnsi="仿宋" w:eastAsia="仿宋" w:cs="仿宋"/>
          <w:color w:val="auto"/>
          <w:sz w:val="24"/>
          <w:highlight w:val="none"/>
        </w:rPr>
        <w:t>3.6.7验收资料要求</w:t>
      </w:r>
    </w:p>
    <w:p w14:paraId="78C0A5DC">
      <w:pPr>
        <w:tabs>
          <w:tab w:val="left" w:pos="904"/>
        </w:tabs>
        <w:snapToGrid w:val="0"/>
        <w:spacing w:line="360" w:lineRule="auto"/>
        <w:ind w:firstLine="480" w:firstLineChars="200"/>
        <w:jc w:val="left"/>
        <w:rPr>
          <w:rFonts w:ascii="仿宋" w:hAnsi="仿宋" w:eastAsia="仿宋" w:cs="仿宋"/>
          <w:color w:val="auto"/>
          <w:sz w:val="24"/>
          <w:highlight w:val="none"/>
        </w:rPr>
      </w:pPr>
      <w:r>
        <w:rPr>
          <w:rFonts w:hint="eastAsia" w:ascii="仿宋" w:hAnsi="仿宋" w:eastAsia="仿宋" w:cs="仿宋"/>
          <w:color w:val="auto"/>
          <w:sz w:val="24"/>
          <w:highlight w:val="none"/>
        </w:rPr>
        <w:t>验收资料要求包括（不限于）以下内容：</w:t>
      </w:r>
    </w:p>
    <w:p w14:paraId="11E1B788">
      <w:pPr>
        <w:tabs>
          <w:tab w:val="left" w:pos="904"/>
        </w:tabs>
        <w:adjustRightInd w:val="0"/>
        <w:snapToGrid w:val="0"/>
        <w:spacing w:line="360" w:lineRule="auto"/>
        <w:ind w:firstLine="240" w:firstLineChars="100"/>
        <w:jc w:val="left"/>
        <w:rPr>
          <w:rFonts w:ascii="仿宋" w:hAnsi="仿宋" w:eastAsia="仿宋" w:cs="仿宋"/>
          <w:color w:val="auto"/>
          <w:sz w:val="24"/>
          <w:highlight w:val="none"/>
        </w:rPr>
      </w:pPr>
      <w:r>
        <w:rPr>
          <w:rFonts w:hint="eastAsia" w:ascii="仿宋" w:hAnsi="仿宋" w:eastAsia="仿宋" w:cs="仿宋"/>
          <w:color w:val="auto"/>
          <w:sz w:val="24"/>
          <w:highlight w:val="none"/>
        </w:rPr>
        <w:t>（1）采购文件；</w:t>
      </w:r>
    </w:p>
    <w:p w14:paraId="15408DFE">
      <w:pPr>
        <w:tabs>
          <w:tab w:val="left" w:pos="904"/>
        </w:tabs>
        <w:adjustRightInd w:val="0"/>
        <w:snapToGrid w:val="0"/>
        <w:spacing w:line="360" w:lineRule="auto"/>
        <w:ind w:firstLine="240" w:firstLineChars="100"/>
        <w:jc w:val="left"/>
        <w:rPr>
          <w:rFonts w:ascii="仿宋" w:hAnsi="仿宋" w:eastAsia="仿宋" w:cs="仿宋"/>
          <w:color w:val="auto"/>
          <w:sz w:val="24"/>
          <w:highlight w:val="none"/>
        </w:rPr>
      </w:pPr>
      <w:r>
        <w:rPr>
          <w:rFonts w:hint="eastAsia" w:ascii="仿宋" w:hAnsi="仿宋" w:eastAsia="仿宋" w:cs="仿宋"/>
          <w:color w:val="auto"/>
          <w:sz w:val="24"/>
          <w:highlight w:val="none"/>
        </w:rPr>
        <w:t>（2）投标文件；</w:t>
      </w:r>
    </w:p>
    <w:p w14:paraId="3922E039">
      <w:pPr>
        <w:tabs>
          <w:tab w:val="left" w:pos="904"/>
        </w:tabs>
        <w:adjustRightInd w:val="0"/>
        <w:snapToGrid w:val="0"/>
        <w:spacing w:line="360" w:lineRule="auto"/>
        <w:ind w:firstLine="240" w:firstLineChars="100"/>
        <w:jc w:val="left"/>
        <w:rPr>
          <w:rFonts w:ascii="仿宋" w:hAnsi="仿宋" w:eastAsia="仿宋" w:cs="仿宋"/>
          <w:color w:val="auto"/>
          <w:sz w:val="24"/>
          <w:highlight w:val="none"/>
        </w:rPr>
      </w:pPr>
      <w:r>
        <w:rPr>
          <w:rFonts w:hint="eastAsia" w:ascii="仿宋" w:hAnsi="仿宋" w:eastAsia="仿宋" w:cs="仿宋"/>
          <w:color w:val="auto"/>
          <w:sz w:val="24"/>
          <w:highlight w:val="none"/>
        </w:rPr>
        <w:t>（3）采购合同；</w:t>
      </w:r>
    </w:p>
    <w:p w14:paraId="552D7141">
      <w:pPr>
        <w:tabs>
          <w:tab w:val="left" w:pos="904"/>
        </w:tabs>
        <w:adjustRightInd w:val="0"/>
        <w:snapToGrid w:val="0"/>
        <w:spacing w:line="360" w:lineRule="auto"/>
        <w:ind w:firstLine="240" w:firstLineChars="100"/>
        <w:jc w:val="left"/>
        <w:rPr>
          <w:rFonts w:ascii="仿宋" w:hAnsi="仿宋" w:eastAsia="仿宋" w:cs="方正仿宋_GB2312"/>
          <w:b/>
          <w:color w:val="auto"/>
          <w:sz w:val="36"/>
          <w:szCs w:val="20"/>
          <w:highlight w:val="none"/>
        </w:rPr>
      </w:pPr>
      <w:r>
        <w:rPr>
          <w:rFonts w:hint="eastAsia" w:ascii="仿宋" w:hAnsi="仿宋" w:eastAsia="仿宋" w:cs="仿宋"/>
          <w:color w:val="auto"/>
          <w:sz w:val="24"/>
          <w:highlight w:val="none"/>
        </w:rPr>
        <w:t>（4）其他需提供的相关材料：</w:t>
      </w:r>
      <w:r>
        <w:rPr>
          <w:rFonts w:hint="eastAsia" w:ascii="方正仿宋_GB2312" w:hAnsi="楷体" w:eastAsia="方正仿宋_GB2312"/>
          <w:color w:val="auto"/>
          <w:sz w:val="24"/>
          <w:highlight w:val="none"/>
        </w:rPr>
        <w:t>（业主根据项目实际增减第（4）点验收资料内容）</w:t>
      </w:r>
      <w:r>
        <w:rPr>
          <w:rFonts w:hint="eastAsia" w:ascii="仿宋" w:hAnsi="仿宋" w:eastAsia="仿宋" w:cs="仿宋"/>
          <w:color w:val="auto"/>
          <w:sz w:val="24"/>
          <w:highlight w:val="none"/>
        </w:rPr>
        <w:t>。</w:t>
      </w:r>
    </w:p>
    <w:p w14:paraId="6CA3E148">
      <w:pPr>
        <w:rPr>
          <w:color w:val="auto"/>
          <w:highlight w:val="none"/>
        </w:rPr>
      </w:pPr>
    </w:p>
    <w:p w14:paraId="70DD581D">
      <w:pPr>
        <w:spacing w:line="360" w:lineRule="auto"/>
        <w:ind w:left="720" w:firstLine="723" w:firstLineChars="200"/>
        <w:rPr>
          <w:rFonts w:ascii="仿宋" w:hAnsi="仿宋" w:eastAsia="仿宋" w:cs="方正仿宋_GB2312"/>
          <w:b/>
          <w:color w:val="auto"/>
          <w:sz w:val="36"/>
          <w:szCs w:val="20"/>
          <w:highlight w:val="none"/>
        </w:rPr>
      </w:pPr>
    </w:p>
    <w:p w14:paraId="3D1B2EB8">
      <w:pPr>
        <w:spacing w:line="360" w:lineRule="auto"/>
        <w:ind w:left="720" w:firstLine="723" w:firstLineChars="200"/>
        <w:rPr>
          <w:rFonts w:ascii="仿宋" w:hAnsi="仿宋" w:eastAsia="仿宋" w:cs="方正仿宋_GB2312"/>
          <w:b/>
          <w:color w:val="auto"/>
          <w:sz w:val="36"/>
          <w:szCs w:val="20"/>
          <w:highlight w:val="none"/>
        </w:rPr>
      </w:pPr>
    </w:p>
    <w:p w14:paraId="598F7533">
      <w:pPr>
        <w:widowControl/>
        <w:spacing w:beforeAutospacing="1" w:line="360" w:lineRule="auto"/>
        <w:jc w:val="left"/>
        <w:rPr>
          <w:rFonts w:hAnsi="宋体"/>
          <w:color w:val="auto"/>
          <w:highlight w:val="none"/>
        </w:rPr>
        <w:sectPr>
          <w:pgSz w:w="11906" w:h="16838"/>
          <w:pgMar w:top="1134" w:right="1134" w:bottom="1134" w:left="1134" w:header="720" w:footer="720" w:gutter="0"/>
          <w:pgNumType w:fmt="decimal"/>
          <w:cols w:space="720" w:num="1"/>
          <w:docGrid w:type="lines" w:linePitch="331" w:charSpace="0"/>
        </w:sectPr>
      </w:pPr>
    </w:p>
    <w:p w14:paraId="42FCF844">
      <w:pPr>
        <w:pStyle w:val="7"/>
        <w:spacing w:line="360" w:lineRule="auto"/>
        <w:ind w:left="178" w:leftChars="85"/>
        <w:rPr>
          <w:rFonts w:hAnsi="宋体"/>
          <w:color w:val="auto"/>
          <w:highlight w:val="none"/>
        </w:rPr>
      </w:pPr>
    </w:p>
    <w:p w14:paraId="26E8F08B">
      <w:pPr>
        <w:pStyle w:val="7"/>
        <w:tabs>
          <w:tab w:val="left" w:pos="2472"/>
        </w:tabs>
        <w:spacing w:line="460" w:lineRule="exact"/>
        <w:jc w:val="center"/>
        <w:rPr>
          <w:rFonts w:ascii="Times New Roman" w:hAnsi="Times New Roman"/>
          <w:b/>
          <w:color w:val="auto"/>
          <w:sz w:val="36"/>
          <w:highlight w:val="none"/>
        </w:rPr>
      </w:pPr>
    </w:p>
    <w:p w14:paraId="6CC9FCBE">
      <w:pPr>
        <w:pStyle w:val="7"/>
        <w:tabs>
          <w:tab w:val="left" w:pos="2472"/>
        </w:tabs>
        <w:spacing w:line="460" w:lineRule="exact"/>
        <w:jc w:val="center"/>
        <w:rPr>
          <w:rFonts w:ascii="Times New Roman" w:hAnsi="Times New Roman"/>
          <w:b/>
          <w:color w:val="auto"/>
          <w:sz w:val="36"/>
          <w:highlight w:val="none"/>
        </w:rPr>
      </w:pPr>
    </w:p>
    <w:p w14:paraId="4BDC8D30">
      <w:pPr>
        <w:pStyle w:val="7"/>
        <w:tabs>
          <w:tab w:val="left" w:pos="2472"/>
        </w:tabs>
        <w:spacing w:line="460" w:lineRule="exact"/>
        <w:jc w:val="center"/>
        <w:rPr>
          <w:rFonts w:ascii="Times New Roman" w:hAnsi="Times New Roman"/>
          <w:b/>
          <w:color w:val="auto"/>
          <w:sz w:val="36"/>
          <w:highlight w:val="none"/>
        </w:rPr>
      </w:pPr>
    </w:p>
    <w:p w14:paraId="3AD2A983">
      <w:pPr>
        <w:pStyle w:val="7"/>
        <w:tabs>
          <w:tab w:val="left" w:pos="2472"/>
        </w:tabs>
        <w:spacing w:line="460" w:lineRule="exact"/>
        <w:jc w:val="center"/>
        <w:rPr>
          <w:rFonts w:ascii="Times New Roman" w:hAnsi="Times New Roman"/>
          <w:b/>
          <w:color w:val="auto"/>
          <w:sz w:val="36"/>
          <w:highlight w:val="none"/>
        </w:rPr>
      </w:pPr>
    </w:p>
    <w:p w14:paraId="1ACEA82B">
      <w:pPr>
        <w:pStyle w:val="7"/>
        <w:tabs>
          <w:tab w:val="left" w:pos="2472"/>
        </w:tabs>
        <w:spacing w:line="460" w:lineRule="exact"/>
        <w:jc w:val="center"/>
        <w:rPr>
          <w:rFonts w:ascii="Times New Roman" w:hAnsi="Times New Roman"/>
          <w:b/>
          <w:color w:val="auto"/>
          <w:sz w:val="36"/>
          <w:highlight w:val="none"/>
        </w:rPr>
      </w:pPr>
    </w:p>
    <w:p w14:paraId="4FC46E5A">
      <w:pPr>
        <w:pStyle w:val="7"/>
        <w:tabs>
          <w:tab w:val="left" w:pos="2472"/>
        </w:tabs>
        <w:spacing w:line="460" w:lineRule="exact"/>
        <w:jc w:val="center"/>
        <w:rPr>
          <w:rFonts w:ascii="Times New Roman" w:hAnsi="Times New Roman"/>
          <w:b/>
          <w:color w:val="auto"/>
          <w:sz w:val="36"/>
          <w:highlight w:val="none"/>
        </w:rPr>
      </w:pPr>
    </w:p>
    <w:p w14:paraId="669828DC">
      <w:pPr>
        <w:pStyle w:val="7"/>
        <w:tabs>
          <w:tab w:val="left" w:pos="2472"/>
        </w:tabs>
        <w:spacing w:line="460" w:lineRule="exact"/>
        <w:jc w:val="center"/>
        <w:rPr>
          <w:rFonts w:ascii="Times New Roman" w:hAnsi="Times New Roman"/>
          <w:b/>
          <w:color w:val="auto"/>
          <w:sz w:val="36"/>
          <w:highlight w:val="none"/>
        </w:rPr>
      </w:pPr>
    </w:p>
    <w:p w14:paraId="4CCCD0B5">
      <w:pPr>
        <w:pStyle w:val="7"/>
        <w:tabs>
          <w:tab w:val="left" w:pos="2472"/>
        </w:tabs>
        <w:spacing w:line="460" w:lineRule="exact"/>
        <w:jc w:val="center"/>
        <w:rPr>
          <w:rFonts w:ascii="Times New Roman" w:hAnsi="Times New Roman"/>
          <w:b/>
          <w:color w:val="auto"/>
          <w:sz w:val="36"/>
          <w:highlight w:val="none"/>
        </w:rPr>
      </w:pPr>
    </w:p>
    <w:p w14:paraId="1D6981C5">
      <w:pPr>
        <w:pStyle w:val="7"/>
        <w:tabs>
          <w:tab w:val="left" w:pos="2472"/>
        </w:tabs>
        <w:spacing w:line="460" w:lineRule="exact"/>
        <w:jc w:val="center"/>
        <w:rPr>
          <w:rFonts w:ascii="Times New Roman" w:hAnsi="Times New Roman"/>
          <w:b/>
          <w:color w:val="auto"/>
          <w:sz w:val="36"/>
          <w:highlight w:val="none"/>
        </w:rPr>
      </w:pPr>
    </w:p>
    <w:p w14:paraId="77A565B4">
      <w:pPr>
        <w:pStyle w:val="7"/>
        <w:tabs>
          <w:tab w:val="left" w:pos="2472"/>
        </w:tabs>
        <w:spacing w:line="460" w:lineRule="exact"/>
        <w:jc w:val="center"/>
        <w:outlineLvl w:val="0"/>
        <w:rPr>
          <w:rFonts w:ascii="Times New Roman" w:hAnsi="Times New Roman"/>
          <w:b/>
          <w:color w:val="auto"/>
          <w:sz w:val="36"/>
          <w:highlight w:val="none"/>
        </w:rPr>
      </w:pPr>
      <w:bookmarkStart w:id="299" w:name="_Toc187761571"/>
      <w:r>
        <w:rPr>
          <w:rFonts w:hint="eastAsia" w:ascii="Times New Roman" w:hAnsi="Times New Roman"/>
          <w:b/>
          <w:color w:val="auto"/>
          <w:sz w:val="36"/>
          <w:highlight w:val="none"/>
        </w:rPr>
        <w:t>第六章投标文件格式</w:t>
      </w:r>
      <w:bookmarkEnd w:id="299"/>
    </w:p>
    <w:p w14:paraId="3180F4DB">
      <w:pPr>
        <w:widowControl/>
        <w:spacing w:beforeAutospacing="1" w:line="360" w:lineRule="auto"/>
        <w:jc w:val="left"/>
        <w:rPr>
          <w:rFonts w:ascii="宋体" w:hAnsi="宋体"/>
          <w:color w:val="auto"/>
          <w:szCs w:val="20"/>
          <w:highlight w:val="none"/>
        </w:rPr>
        <w:sectPr>
          <w:pgSz w:w="11906" w:h="16838"/>
          <w:pgMar w:top="1134" w:right="1134" w:bottom="1134" w:left="1134" w:header="720" w:footer="720" w:gutter="0"/>
          <w:pgNumType w:fmt="decimal"/>
          <w:cols w:space="720" w:num="1"/>
          <w:docGrid w:type="lines" w:linePitch="331" w:charSpace="0"/>
        </w:sectPr>
      </w:pPr>
    </w:p>
    <w:p w14:paraId="1416BB3B">
      <w:pPr>
        <w:pStyle w:val="7"/>
        <w:ind w:firstLine="551" w:firstLineChars="196"/>
        <w:jc w:val="center"/>
        <w:outlineLvl w:val="1"/>
        <w:rPr>
          <w:rFonts w:hAnsi="宋体"/>
          <w:b/>
          <w:bCs/>
          <w:color w:val="auto"/>
          <w:sz w:val="28"/>
          <w:szCs w:val="28"/>
          <w:highlight w:val="none"/>
        </w:rPr>
      </w:pPr>
      <w:bookmarkStart w:id="300" w:name="_Toc187761572"/>
      <w:r>
        <w:rPr>
          <w:rFonts w:hint="eastAsia" w:hAnsi="宋体"/>
          <w:b/>
          <w:bCs/>
          <w:color w:val="auto"/>
          <w:sz w:val="28"/>
          <w:szCs w:val="28"/>
          <w:highlight w:val="none"/>
        </w:rPr>
        <w:t>第一节 投标文件外层包装封面</w:t>
      </w:r>
      <w:bookmarkEnd w:id="300"/>
    </w:p>
    <w:p w14:paraId="34ADACB3">
      <w:pPr>
        <w:spacing w:before="120" w:beforeLines="50" w:after="120" w:afterLines="50"/>
        <w:jc w:val="center"/>
        <w:rPr>
          <w:rFonts w:ascii="宋体" w:hAnsi="宋体" w:cs="宋体"/>
          <w:color w:val="auto"/>
          <w:spacing w:val="20"/>
          <w:sz w:val="44"/>
          <w:szCs w:val="44"/>
          <w:highlight w:val="none"/>
        </w:rPr>
      </w:pPr>
    </w:p>
    <w:p w14:paraId="61B83BE6">
      <w:pPr>
        <w:spacing w:before="120" w:beforeLines="50" w:after="120" w:afterLines="50"/>
        <w:jc w:val="center"/>
        <w:rPr>
          <w:rFonts w:ascii="宋体" w:hAnsi="宋体" w:cs="宋体"/>
          <w:color w:val="auto"/>
          <w:spacing w:val="20"/>
          <w:sz w:val="44"/>
          <w:szCs w:val="44"/>
          <w:highlight w:val="none"/>
        </w:rPr>
      </w:pPr>
    </w:p>
    <w:p w14:paraId="3E697414">
      <w:pPr>
        <w:spacing w:before="120" w:beforeLines="50" w:after="120" w:afterLines="50"/>
        <w:jc w:val="center"/>
        <w:rPr>
          <w:rFonts w:ascii="宋体" w:hAnsi="宋体" w:cs="宋体"/>
          <w:color w:val="auto"/>
          <w:spacing w:val="20"/>
          <w:sz w:val="44"/>
          <w:szCs w:val="44"/>
          <w:highlight w:val="none"/>
        </w:rPr>
      </w:pPr>
    </w:p>
    <w:p w14:paraId="1C212579">
      <w:pPr>
        <w:spacing w:before="120" w:beforeLines="50" w:after="120" w:afterLines="50"/>
        <w:jc w:val="center"/>
        <w:rPr>
          <w:rFonts w:ascii="宋体" w:hAnsi="宋体" w:cs="宋体"/>
          <w:color w:val="auto"/>
          <w:spacing w:val="20"/>
          <w:sz w:val="44"/>
          <w:szCs w:val="44"/>
          <w:highlight w:val="none"/>
        </w:rPr>
      </w:pPr>
    </w:p>
    <w:p w14:paraId="43CD2FDB">
      <w:pPr>
        <w:spacing w:before="120" w:beforeLines="50" w:after="120" w:afterLines="50"/>
        <w:jc w:val="center"/>
        <w:rPr>
          <w:rFonts w:ascii="宋体" w:hAnsi="宋体" w:cs="宋体"/>
          <w:color w:val="auto"/>
          <w:spacing w:val="20"/>
          <w:sz w:val="44"/>
          <w:szCs w:val="44"/>
          <w:highlight w:val="none"/>
        </w:rPr>
      </w:pPr>
      <w:bookmarkStart w:id="301" w:name="PO_3000001866_PM002_12"/>
      <w:r>
        <w:rPr>
          <w:rFonts w:hint="eastAsia" w:ascii="宋体" w:hAnsi="宋体" w:cs="宋体"/>
          <w:color w:val="auto"/>
          <w:spacing w:val="20"/>
          <w:sz w:val="44"/>
          <w:szCs w:val="44"/>
          <w:highlight w:val="none"/>
        </w:rPr>
        <w:t>[项目采购-项目名称]</w:t>
      </w:r>
      <w:bookmarkEnd w:id="301"/>
    </w:p>
    <w:p w14:paraId="5CABC72C">
      <w:pPr>
        <w:spacing w:before="120" w:beforeLines="50" w:after="120" w:afterLines="50"/>
        <w:jc w:val="center"/>
        <w:rPr>
          <w:rFonts w:ascii="宋体" w:hAnsi="宋体" w:cs="宋体"/>
          <w:color w:val="auto"/>
          <w:spacing w:val="40"/>
          <w:w w:val="110"/>
          <w:sz w:val="44"/>
          <w:szCs w:val="44"/>
          <w:highlight w:val="none"/>
        </w:rPr>
      </w:pPr>
      <w:r>
        <w:rPr>
          <w:rFonts w:hint="eastAsia" w:ascii="宋体" w:hAnsi="宋体" w:cs="宋体"/>
          <w:color w:val="auto"/>
          <w:spacing w:val="40"/>
          <w:w w:val="110"/>
          <w:sz w:val="44"/>
          <w:szCs w:val="44"/>
          <w:highlight w:val="none"/>
        </w:rPr>
        <w:t>投标文件</w:t>
      </w:r>
    </w:p>
    <w:p w14:paraId="7700EDC4">
      <w:pPr>
        <w:jc w:val="center"/>
        <w:rPr>
          <w:rFonts w:ascii="宋体" w:hAnsi="宋体" w:cs="宋体"/>
          <w:color w:val="auto"/>
          <w:sz w:val="24"/>
          <w:highlight w:val="none"/>
        </w:rPr>
      </w:pPr>
      <w:r>
        <w:rPr>
          <w:rFonts w:hint="eastAsia" w:ascii="宋体" w:hAnsi="宋体" w:cs="宋体"/>
          <w:color w:val="auto"/>
          <w:sz w:val="24"/>
          <w:highlight w:val="none"/>
        </w:rPr>
        <w:t>（电子投标文件）</w:t>
      </w:r>
    </w:p>
    <w:tbl>
      <w:tblPr>
        <w:tblStyle w:val="37"/>
        <w:tblW w:w="0" w:type="auto"/>
        <w:jc w:val="center"/>
        <w:tblLayout w:type="fixed"/>
        <w:tblCellMar>
          <w:top w:w="0" w:type="dxa"/>
          <w:left w:w="108" w:type="dxa"/>
          <w:bottom w:w="0" w:type="dxa"/>
          <w:right w:w="108" w:type="dxa"/>
        </w:tblCellMar>
      </w:tblPr>
      <w:tblGrid>
        <w:gridCol w:w="1601"/>
        <w:gridCol w:w="6172"/>
      </w:tblGrid>
      <w:tr w14:paraId="7BF7E74D">
        <w:tblPrEx>
          <w:tblCellMar>
            <w:top w:w="0" w:type="dxa"/>
            <w:left w:w="108" w:type="dxa"/>
            <w:bottom w:w="0" w:type="dxa"/>
            <w:right w:w="108" w:type="dxa"/>
          </w:tblCellMar>
        </w:tblPrEx>
        <w:trPr>
          <w:jc w:val="center"/>
        </w:trPr>
        <w:tc>
          <w:tcPr>
            <w:tcW w:w="1601" w:type="dxa"/>
            <w:vAlign w:val="bottom"/>
          </w:tcPr>
          <w:p w14:paraId="31A2BD0D">
            <w:pPr>
              <w:keepNext w:val="0"/>
              <w:keepLines w:val="0"/>
              <w:suppressLineNumbers w:val="0"/>
              <w:spacing w:before="0" w:beforeAutospacing="0" w:after="0" w:afterAutospacing="0"/>
              <w:ind w:left="0" w:right="0"/>
              <w:jc w:val="distribute"/>
              <w:rPr>
                <w:rFonts w:hint="default" w:ascii="宋体" w:hAnsi="宋体" w:cs="宋体"/>
                <w:color w:val="auto"/>
                <w:sz w:val="24"/>
                <w:highlight w:val="none"/>
              </w:rPr>
            </w:pPr>
            <w:r>
              <w:rPr>
                <w:rFonts w:hint="eastAsia" w:ascii="宋体" w:hAnsi="宋体" w:cs="宋体"/>
                <w:color w:val="auto"/>
                <w:sz w:val="24"/>
                <w:highlight w:val="none"/>
              </w:rPr>
              <w:t>项目名称：</w:t>
            </w:r>
          </w:p>
        </w:tc>
        <w:tc>
          <w:tcPr>
            <w:tcW w:w="6172" w:type="dxa"/>
            <w:tcBorders>
              <w:top w:val="nil"/>
              <w:left w:val="nil"/>
              <w:bottom w:val="single" w:color="000000" w:sz="4" w:space="0"/>
              <w:right w:val="nil"/>
            </w:tcBorders>
            <w:vAlign w:val="bottom"/>
          </w:tcPr>
          <w:p w14:paraId="76DC5CA1">
            <w:pPr>
              <w:keepNext w:val="0"/>
              <w:keepLines w:val="0"/>
              <w:suppressLineNumbers w:val="0"/>
              <w:spacing w:before="0" w:beforeAutospacing="0" w:after="0" w:afterAutospacing="0"/>
              <w:ind w:left="0" w:right="0"/>
              <w:jc w:val="left"/>
              <w:rPr>
                <w:rFonts w:hint="default" w:ascii="宋体" w:hAnsi="宋体" w:cs="宋体"/>
                <w:color w:val="auto"/>
                <w:sz w:val="24"/>
                <w:highlight w:val="none"/>
              </w:rPr>
            </w:pPr>
            <w:bookmarkStart w:id="302" w:name="PO_3000001866_PM002_11"/>
            <w:r>
              <w:rPr>
                <w:rFonts w:hint="eastAsia" w:ascii="宋体" w:hAnsi="宋体" w:cs="宋体"/>
                <w:color w:val="auto"/>
                <w:sz w:val="24"/>
                <w:highlight w:val="none"/>
              </w:rPr>
              <w:t>[项目采购-项目名称]</w:t>
            </w:r>
            <w:bookmarkEnd w:id="302"/>
          </w:p>
        </w:tc>
      </w:tr>
      <w:tr w14:paraId="504168D4">
        <w:tblPrEx>
          <w:tblCellMar>
            <w:top w:w="0" w:type="dxa"/>
            <w:left w:w="108" w:type="dxa"/>
            <w:bottom w:w="0" w:type="dxa"/>
            <w:right w:w="108" w:type="dxa"/>
          </w:tblCellMar>
        </w:tblPrEx>
        <w:trPr>
          <w:jc w:val="center"/>
        </w:trPr>
        <w:tc>
          <w:tcPr>
            <w:tcW w:w="1601" w:type="dxa"/>
            <w:vAlign w:val="bottom"/>
          </w:tcPr>
          <w:p w14:paraId="2E7E2B13">
            <w:pPr>
              <w:keepNext w:val="0"/>
              <w:keepLines w:val="0"/>
              <w:suppressLineNumbers w:val="0"/>
              <w:spacing w:before="0" w:beforeAutospacing="0" w:after="0" w:afterAutospacing="0"/>
              <w:ind w:left="0" w:right="0"/>
              <w:jc w:val="distribute"/>
              <w:rPr>
                <w:rFonts w:hint="default" w:ascii="宋体" w:hAnsi="宋体" w:cs="宋体"/>
                <w:color w:val="auto"/>
                <w:sz w:val="24"/>
                <w:highlight w:val="none"/>
              </w:rPr>
            </w:pPr>
            <w:r>
              <w:rPr>
                <w:rFonts w:hint="eastAsia" w:ascii="宋体" w:hAnsi="宋体" w:cs="宋体"/>
                <w:color w:val="auto"/>
                <w:sz w:val="24"/>
                <w:highlight w:val="none"/>
              </w:rPr>
              <w:t>采购方式：</w:t>
            </w:r>
          </w:p>
        </w:tc>
        <w:tc>
          <w:tcPr>
            <w:tcW w:w="6172" w:type="dxa"/>
            <w:tcBorders>
              <w:top w:val="single" w:color="000000" w:sz="4" w:space="0"/>
              <w:left w:val="nil"/>
              <w:bottom w:val="single" w:color="000000" w:sz="4" w:space="0"/>
              <w:right w:val="nil"/>
            </w:tcBorders>
            <w:vAlign w:val="bottom"/>
          </w:tcPr>
          <w:p w14:paraId="64882DAC">
            <w:pPr>
              <w:keepNext w:val="0"/>
              <w:keepLines w:val="0"/>
              <w:suppressLineNumbers w:val="0"/>
              <w:spacing w:before="0" w:beforeAutospacing="0" w:after="0" w:afterAutospacing="0"/>
              <w:ind w:left="0" w:right="0"/>
              <w:jc w:val="left"/>
              <w:rPr>
                <w:rFonts w:hint="default" w:ascii="宋体" w:hAnsi="宋体" w:cs="宋体"/>
                <w:color w:val="auto"/>
                <w:sz w:val="24"/>
                <w:highlight w:val="none"/>
              </w:rPr>
            </w:pPr>
            <w:bookmarkStart w:id="303" w:name="PO_3000001866_PM003"/>
            <w:r>
              <w:rPr>
                <w:rFonts w:hint="eastAsia" w:ascii="宋体" w:hAnsi="宋体" w:cs="宋体"/>
                <w:color w:val="auto"/>
                <w:sz w:val="24"/>
                <w:highlight w:val="none"/>
              </w:rPr>
              <w:t>[项目采购-采购方式]</w:t>
            </w:r>
            <w:bookmarkEnd w:id="303"/>
          </w:p>
        </w:tc>
      </w:tr>
      <w:tr w14:paraId="6966CE24">
        <w:tblPrEx>
          <w:tblCellMar>
            <w:top w:w="0" w:type="dxa"/>
            <w:left w:w="108" w:type="dxa"/>
            <w:bottom w:w="0" w:type="dxa"/>
            <w:right w:w="108" w:type="dxa"/>
          </w:tblCellMar>
        </w:tblPrEx>
        <w:trPr>
          <w:jc w:val="center"/>
        </w:trPr>
        <w:tc>
          <w:tcPr>
            <w:tcW w:w="1601" w:type="dxa"/>
            <w:vAlign w:val="bottom"/>
          </w:tcPr>
          <w:p w14:paraId="402DD2FD">
            <w:pPr>
              <w:keepNext w:val="0"/>
              <w:keepLines w:val="0"/>
              <w:suppressLineNumbers w:val="0"/>
              <w:spacing w:before="0" w:beforeAutospacing="0" w:after="0" w:afterAutospacing="0"/>
              <w:ind w:left="0" w:right="0"/>
              <w:jc w:val="distribute"/>
              <w:rPr>
                <w:rFonts w:hint="default" w:ascii="宋体" w:hAnsi="宋体" w:cs="宋体"/>
                <w:color w:val="auto"/>
                <w:sz w:val="24"/>
                <w:highlight w:val="none"/>
              </w:rPr>
            </w:pPr>
            <w:r>
              <w:rPr>
                <w:rFonts w:hint="eastAsia" w:ascii="宋体" w:hAnsi="宋体" w:cs="宋体"/>
                <w:color w:val="auto"/>
                <w:sz w:val="24"/>
                <w:highlight w:val="none"/>
              </w:rPr>
              <w:t>项目编号：</w:t>
            </w:r>
          </w:p>
        </w:tc>
        <w:tc>
          <w:tcPr>
            <w:tcW w:w="6172" w:type="dxa"/>
            <w:tcBorders>
              <w:top w:val="single" w:color="000000" w:sz="4" w:space="0"/>
              <w:left w:val="nil"/>
              <w:bottom w:val="single" w:color="000000" w:sz="4" w:space="0"/>
              <w:right w:val="nil"/>
            </w:tcBorders>
            <w:vAlign w:val="bottom"/>
          </w:tcPr>
          <w:p w14:paraId="303A72E9">
            <w:pPr>
              <w:keepNext w:val="0"/>
              <w:keepLines w:val="0"/>
              <w:suppressLineNumbers w:val="0"/>
              <w:spacing w:before="0" w:beforeAutospacing="0" w:after="0" w:afterAutospacing="0"/>
              <w:ind w:left="0" w:right="0"/>
              <w:jc w:val="left"/>
              <w:rPr>
                <w:rFonts w:hint="default" w:ascii="宋体" w:hAnsi="宋体" w:cs="宋体"/>
                <w:color w:val="auto"/>
                <w:sz w:val="24"/>
                <w:highlight w:val="none"/>
              </w:rPr>
            </w:pPr>
            <w:bookmarkStart w:id="304" w:name="PO_3000001866_PM001_8"/>
            <w:r>
              <w:rPr>
                <w:rFonts w:hint="eastAsia" w:ascii="宋体" w:hAnsi="宋体" w:cs="宋体"/>
                <w:color w:val="auto"/>
                <w:sz w:val="24"/>
                <w:highlight w:val="none"/>
              </w:rPr>
              <w:t>[项目采购-项目编号]</w:t>
            </w:r>
            <w:bookmarkEnd w:id="304"/>
          </w:p>
        </w:tc>
      </w:tr>
      <w:tr w14:paraId="19B9C298">
        <w:tblPrEx>
          <w:tblCellMar>
            <w:top w:w="0" w:type="dxa"/>
            <w:left w:w="108" w:type="dxa"/>
            <w:bottom w:w="0" w:type="dxa"/>
            <w:right w:w="108" w:type="dxa"/>
          </w:tblCellMar>
        </w:tblPrEx>
        <w:trPr>
          <w:jc w:val="center"/>
        </w:trPr>
        <w:tc>
          <w:tcPr>
            <w:tcW w:w="1601" w:type="dxa"/>
            <w:vAlign w:val="bottom"/>
          </w:tcPr>
          <w:p w14:paraId="6F9CC7F5">
            <w:pPr>
              <w:keepNext w:val="0"/>
              <w:keepLines w:val="0"/>
              <w:suppressLineNumbers w:val="0"/>
              <w:spacing w:before="0" w:beforeAutospacing="0" w:after="0" w:afterAutospacing="0"/>
              <w:ind w:left="0" w:right="0"/>
              <w:jc w:val="distribute"/>
              <w:rPr>
                <w:rFonts w:hint="default" w:ascii="宋体" w:hAnsi="宋体" w:cs="宋体"/>
                <w:color w:val="auto"/>
                <w:sz w:val="24"/>
                <w:highlight w:val="none"/>
              </w:rPr>
            </w:pPr>
            <w:r>
              <w:rPr>
                <w:rFonts w:hint="eastAsia" w:ascii="宋体" w:hAnsi="宋体" w:cs="宋体"/>
                <w:color w:val="auto"/>
                <w:sz w:val="24"/>
                <w:highlight w:val="none"/>
              </w:rPr>
              <w:t>所投分标：</w:t>
            </w:r>
          </w:p>
        </w:tc>
        <w:tc>
          <w:tcPr>
            <w:tcW w:w="6172" w:type="dxa"/>
            <w:tcBorders>
              <w:top w:val="single" w:color="000000" w:sz="4" w:space="0"/>
              <w:left w:val="nil"/>
              <w:bottom w:val="single" w:color="000000" w:sz="4" w:space="0"/>
              <w:right w:val="nil"/>
            </w:tcBorders>
            <w:vAlign w:val="bottom"/>
          </w:tcPr>
          <w:p w14:paraId="0D5A33FC">
            <w:pPr>
              <w:keepNext w:val="0"/>
              <w:keepLines w:val="0"/>
              <w:suppressLineNumbers w:val="0"/>
              <w:spacing w:before="0" w:beforeAutospacing="0" w:after="0" w:afterAutospacing="0"/>
              <w:ind w:left="0" w:right="0"/>
              <w:jc w:val="left"/>
              <w:rPr>
                <w:rFonts w:hint="default" w:ascii="宋体" w:hAnsi="宋体" w:cs="宋体"/>
                <w:color w:val="auto"/>
                <w:sz w:val="24"/>
                <w:highlight w:val="none"/>
              </w:rPr>
            </w:pPr>
          </w:p>
        </w:tc>
      </w:tr>
      <w:tr w14:paraId="6CA3B11F">
        <w:tblPrEx>
          <w:tblCellMar>
            <w:top w:w="0" w:type="dxa"/>
            <w:left w:w="108" w:type="dxa"/>
            <w:bottom w:w="0" w:type="dxa"/>
            <w:right w:w="108" w:type="dxa"/>
          </w:tblCellMar>
        </w:tblPrEx>
        <w:trPr>
          <w:jc w:val="center"/>
        </w:trPr>
        <w:tc>
          <w:tcPr>
            <w:tcW w:w="1601" w:type="dxa"/>
            <w:vAlign w:val="bottom"/>
          </w:tcPr>
          <w:p w14:paraId="5C8580E1">
            <w:pPr>
              <w:keepNext w:val="0"/>
              <w:keepLines w:val="0"/>
              <w:suppressLineNumbers w:val="0"/>
              <w:spacing w:before="0" w:beforeAutospacing="0" w:after="0" w:afterAutospacing="0"/>
              <w:ind w:left="0" w:right="0"/>
              <w:jc w:val="distribute"/>
              <w:rPr>
                <w:rFonts w:hint="default" w:ascii="宋体" w:hAnsi="宋体" w:cs="宋体"/>
                <w:color w:val="auto"/>
                <w:sz w:val="24"/>
                <w:highlight w:val="none"/>
              </w:rPr>
            </w:pPr>
            <w:r>
              <w:rPr>
                <w:rFonts w:hint="eastAsia" w:ascii="宋体" w:hAnsi="宋体" w:cs="宋体"/>
                <w:color w:val="auto"/>
                <w:sz w:val="24"/>
                <w:highlight w:val="none"/>
              </w:rPr>
              <w:t>投标人名称：</w:t>
            </w:r>
          </w:p>
        </w:tc>
        <w:tc>
          <w:tcPr>
            <w:tcW w:w="6172" w:type="dxa"/>
            <w:tcBorders>
              <w:top w:val="single" w:color="000000" w:sz="4" w:space="0"/>
              <w:left w:val="nil"/>
              <w:bottom w:val="single" w:color="000000" w:sz="4" w:space="0"/>
              <w:right w:val="nil"/>
            </w:tcBorders>
            <w:vAlign w:val="bottom"/>
          </w:tcPr>
          <w:p w14:paraId="7175DD23">
            <w:pPr>
              <w:keepNext w:val="0"/>
              <w:keepLines w:val="0"/>
              <w:suppressLineNumbers w:val="0"/>
              <w:spacing w:before="0" w:beforeAutospacing="0" w:after="0" w:afterAutospacing="0"/>
              <w:ind w:left="0" w:right="0"/>
              <w:jc w:val="left"/>
              <w:rPr>
                <w:rFonts w:hint="default" w:ascii="宋体" w:hAnsi="宋体" w:cs="宋体"/>
                <w:color w:val="auto"/>
                <w:sz w:val="24"/>
                <w:highlight w:val="none"/>
              </w:rPr>
            </w:pPr>
          </w:p>
        </w:tc>
      </w:tr>
      <w:tr w14:paraId="24B2FA49">
        <w:tblPrEx>
          <w:tblCellMar>
            <w:top w:w="0" w:type="dxa"/>
            <w:left w:w="108" w:type="dxa"/>
            <w:bottom w:w="0" w:type="dxa"/>
            <w:right w:w="108" w:type="dxa"/>
          </w:tblCellMar>
        </w:tblPrEx>
        <w:trPr>
          <w:jc w:val="center"/>
        </w:trPr>
        <w:tc>
          <w:tcPr>
            <w:tcW w:w="1601" w:type="dxa"/>
            <w:vAlign w:val="bottom"/>
          </w:tcPr>
          <w:p w14:paraId="5EBA4D1E">
            <w:pPr>
              <w:keepNext w:val="0"/>
              <w:keepLines w:val="0"/>
              <w:suppressLineNumbers w:val="0"/>
              <w:spacing w:before="0" w:beforeAutospacing="0" w:after="0" w:afterAutospacing="0"/>
              <w:ind w:left="0" w:right="0"/>
              <w:jc w:val="distribute"/>
              <w:rPr>
                <w:rFonts w:hint="default" w:ascii="宋体" w:hAnsi="宋体" w:cs="宋体"/>
                <w:color w:val="auto"/>
                <w:sz w:val="24"/>
                <w:highlight w:val="none"/>
              </w:rPr>
            </w:pPr>
            <w:r>
              <w:rPr>
                <w:rFonts w:hint="eastAsia" w:ascii="宋体" w:hAnsi="宋体" w:cs="宋体"/>
                <w:color w:val="auto"/>
                <w:sz w:val="24"/>
                <w:highlight w:val="none"/>
              </w:rPr>
              <w:t>投标人地址：</w:t>
            </w:r>
          </w:p>
        </w:tc>
        <w:tc>
          <w:tcPr>
            <w:tcW w:w="6172" w:type="dxa"/>
            <w:tcBorders>
              <w:top w:val="single" w:color="000000" w:sz="4" w:space="0"/>
              <w:left w:val="nil"/>
              <w:bottom w:val="single" w:color="000000" w:sz="4" w:space="0"/>
              <w:right w:val="nil"/>
            </w:tcBorders>
            <w:vAlign w:val="bottom"/>
          </w:tcPr>
          <w:p w14:paraId="6597D9AC">
            <w:pPr>
              <w:keepNext w:val="0"/>
              <w:keepLines w:val="0"/>
              <w:suppressLineNumbers w:val="0"/>
              <w:spacing w:before="0" w:beforeAutospacing="0" w:after="0" w:afterAutospacing="0"/>
              <w:ind w:left="0" w:right="0"/>
              <w:jc w:val="left"/>
              <w:rPr>
                <w:rFonts w:hint="default" w:ascii="宋体" w:hAnsi="宋体" w:cs="宋体"/>
                <w:color w:val="auto"/>
                <w:sz w:val="24"/>
                <w:highlight w:val="none"/>
              </w:rPr>
            </w:pPr>
          </w:p>
        </w:tc>
      </w:tr>
    </w:tbl>
    <w:p w14:paraId="2416A16C">
      <w:pPr>
        <w:ind w:firstLine="4200" w:firstLineChars="1750"/>
        <w:rPr>
          <w:rFonts w:ascii="宋体" w:hAnsi="宋体" w:cs="宋体"/>
          <w:color w:val="auto"/>
          <w:sz w:val="24"/>
          <w:highlight w:val="none"/>
        </w:rPr>
      </w:pPr>
    </w:p>
    <w:p w14:paraId="375ED46F">
      <w:pPr>
        <w:ind w:firstLine="4200" w:firstLineChars="1750"/>
        <w:rPr>
          <w:rFonts w:ascii="宋体" w:hAnsi="宋体" w:cs="宋体"/>
          <w:color w:val="auto"/>
          <w:sz w:val="24"/>
          <w:highlight w:val="none"/>
        </w:rPr>
      </w:pPr>
    </w:p>
    <w:p w14:paraId="6268D4A4">
      <w:pPr>
        <w:ind w:firstLine="4200" w:firstLineChars="1750"/>
        <w:rPr>
          <w:rFonts w:ascii="宋体" w:hAnsi="宋体" w:cs="宋体"/>
          <w:color w:val="auto"/>
          <w:sz w:val="24"/>
          <w:highlight w:val="none"/>
        </w:rPr>
      </w:pPr>
    </w:p>
    <w:p w14:paraId="445FE73A">
      <w:pPr>
        <w:ind w:firstLine="5880" w:firstLineChars="2450"/>
        <w:rPr>
          <w:rFonts w:ascii="宋体" w:hAnsi="宋体" w:cs="宋体"/>
          <w:color w:val="auto"/>
          <w:sz w:val="24"/>
          <w:highlight w:val="none"/>
        </w:rPr>
      </w:pPr>
      <w:r>
        <w:rPr>
          <w:rFonts w:hint="eastAsia" w:ascii="宋体" w:hAnsi="宋体" w:cs="宋体"/>
          <w:color w:val="auto"/>
          <w:sz w:val="24"/>
          <w:highlight w:val="none"/>
        </w:rPr>
        <w:t>投标截止时间前不得解密</w:t>
      </w:r>
    </w:p>
    <w:p w14:paraId="6A03480A">
      <w:pPr>
        <w:ind w:firstLine="6480" w:firstLineChars="2700"/>
        <w:rPr>
          <w:rFonts w:ascii="宋体" w:hAnsi="宋体" w:cs="宋体"/>
          <w:color w:val="auto"/>
          <w:sz w:val="24"/>
          <w:highlight w:val="none"/>
        </w:rPr>
      </w:pPr>
      <w:r>
        <w:rPr>
          <w:rFonts w:hint="eastAsia" w:ascii="宋体" w:hAnsi="宋体" w:cs="宋体"/>
          <w:color w:val="auto"/>
          <w:sz w:val="24"/>
          <w:highlight w:val="none"/>
        </w:rPr>
        <w:t>年   月   日</w:t>
      </w:r>
    </w:p>
    <w:p w14:paraId="66972B46">
      <w:pPr>
        <w:widowControl/>
        <w:jc w:val="left"/>
        <w:rPr>
          <w:rFonts w:ascii="宋体" w:hAnsi="宋体" w:cs="宋体"/>
          <w:color w:val="auto"/>
          <w:sz w:val="24"/>
          <w:highlight w:val="none"/>
        </w:rPr>
        <w:sectPr>
          <w:pgSz w:w="11907" w:h="16840"/>
          <w:pgMar w:top="1531" w:right="1418" w:bottom="1361" w:left="1418" w:header="720" w:footer="720" w:gutter="0"/>
          <w:pgNumType w:fmt="decimal"/>
          <w:cols w:space="720" w:num="1"/>
        </w:sectPr>
      </w:pPr>
    </w:p>
    <w:p w14:paraId="185CBCBD">
      <w:pPr>
        <w:pStyle w:val="7"/>
        <w:jc w:val="center"/>
        <w:outlineLvl w:val="1"/>
        <w:rPr>
          <w:rFonts w:hAnsi="宋体"/>
          <w:b/>
          <w:bCs/>
          <w:color w:val="auto"/>
          <w:sz w:val="28"/>
          <w:szCs w:val="28"/>
          <w:highlight w:val="none"/>
        </w:rPr>
      </w:pPr>
      <w:bookmarkStart w:id="305" w:name="_Toc187761573"/>
      <w:r>
        <w:rPr>
          <w:rFonts w:hint="eastAsia" w:hAnsi="宋体"/>
          <w:b/>
          <w:bCs/>
          <w:color w:val="auto"/>
          <w:sz w:val="28"/>
          <w:szCs w:val="28"/>
          <w:highlight w:val="none"/>
        </w:rPr>
        <w:t>第二节 资格证明文件格式</w:t>
      </w:r>
      <w:bookmarkEnd w:id="305"/>
    </w:p>
    <w:p w14:paraId="7BBA954B">
      <w:pPr>
        <w:pStyle w:val="7"/>
        <w:spacing w:line="360" w:lineRule="auto"/>
        <w:ind w:firstLine="420"/>
        <w:rPr>
          <w:rFonts w:hAnsi="宋体"/>
          <w:color w:val="auto"/>
          <w:sz w:val="30"/>
          <w:highlight w:val="none"/>
        </w:rPr>
      </w:pPr>
    </w:p>
    <w:p w14:paraId="593770E3">
      <w:pPr>
        <w:snapToGrid w:val="0"/>
        <w:spacing w:before="165" w:beforeLines="50" w:after="50"/>
        <w:rPr>
          <w:rFonts w:ascii="宋体" w:hAnsi="宋体"/>
          <w:bCs/>
          <w:color w:val="auto"/>
          <w:sz w:val="32"/>
          <w:szCs w:val="20"/>
          <w:highlight w:val="none"/>
        </w:rPr>
      </w:pPr>
      <w:r>
        <w:rPr>
          <w:rFonts w:hint="eastAsia" w:ascii="宋体" w:hAnsi="宋体"/>
          <w:bCs/>
          <w:color w:val="auto"/>
          <w:highlight w:val="none"/>
        </w:rPr>
        <w:t>电子投标文件</w:t>
      </w:r>
    </w:p>
    <w:p w14:paraId="620A0B36">
      <w:pPr>
        <w:snapToGrid w:val="0"/>
        <w:spacing w:before="165" w:beforeLines="50" w:after="50"/>
        <w:rPr>
          <w:rFonts w:ascii="宋体" w:hAnsi="宋体"/>
          <w:color w:val="auto"/>
          <w:sz w:val="24"/>
          <w:szCs w:val="20"/>
          <w:highlight w:val="none"/>
        </w:rPr>
      </w:pPr>
    </w:p>
    <w:p w14:paraId="31D5814F">
      <w:pPr>
        <w:snapToGrid w:val="0"/>
        <w:spacing w:before="165" w:beforeLines="50" w:after="50"/>
        <w:jc w:val="center"/>
        <w:rPr>
          <w:rFonts w:ascii="宋体" w:hAnsi="宋体"/>
          <w:b/>
          <w:color w:val="auto"/>
          <w:sz w:val="24"/>
          <w:szCs w:val="20"/>
          <w:highlight w:val="none"/>
        </w:rPr>
      </w:pPr>
      <w:r>
        <w:rPr>
          <w:rFonts w:hint="eastAsia" w:ascii="宋体" w:hAnsi="宋体"/>
          <w:b/>
          <w:color w:val="auto"/>
          <w:sz w:val="32"/>
          <w:szCs w:val="32"/>
          <w:highlight w:val="none"/>
        </w:rPr>
        <w:t>资格证明文件（封面）</w:t>
      </w:r>
    </w:p>
    <w:p w14:paraId="46B6AC32">
      <w:pPr>
        <w:snapToGrid w:val="0"/>
        <w:spacing w:before="165" w:beforeLines="50" w:after="50"/>
        <w:rPr>
          <w:rFonts w:ascii="宋体" w:hAnsi="宋体"/>
          <w:bCs/>
          <w:color w:val="auto"/>
          <w:sz w:val="24"/>
          <w:szCs w:val="20"/>
          <w:highlight w:val="none"/>
        </w:rPr>
      </w:pPr>
    </w:p>
    <w:p w14:paraId="58249110">
      <w:pPr>
        <w:snapToGrid w:val="0"/>
        <w:spacing w:before="165" w:beforeLines="50" w:after="50"/>
        <w:rPr>
          <w:rFonts w:ascii="宋体" w:hAnsi="宋体"/>
          <w:bCs/>
          <w:color w:val="auto"/>
          <w:sz w:val="24"/>
          <w:szCs w:val="20"/>
          <w:highlight w:val="none"/>
        </w:rPr>
      </w:pPr>
    </w:p>
    <w:p w14:paraId="681BA366">
      <w:pPr>
        <w:snapToGrid w:val="0"/>
        <w:spacing w:before="165" w:beforeLines="50" w:after="50"/>
        <w:rPr>
          <w:rFonts w:ascii="宋体" w:hAnsi="宋体"/>
          <w:bCs/>
          <w:color w:val="auto"/>
          <w:sz w:val="24"/>
          <w:szCs w:val="20"/>
          <w:highlight w:val="none"/>
        </w:rPr>
      </w:pPr>
    </w:p>
    <w:p w14:paraId="3ADCE76E">
      <w:pPr>
        <w:snapToGrid w:val="0"/>
        <w:spacing w:before="165" w:beforeLines="50" w:after="50"/>
        <w:rPr>
          <w:rFonts w:ascii="宋体" w:hAnsi="宋体"/>
          <w:bCs/>
          <w:color w:val="auto"/>
          <w:sz w:val="24"/>
          <w:szCs w:val="20"/>
          <w:highlight w:val="none"/>
        </w:rPr>
      </w:pPr>
    </w:p>
    <w:p w14:paraId="028876A3">
      <w:pPr>
        <w:snapToGrid w:val="0"/>
        <w:spacing w:before="165" w:beforeLines="50" w:after="50"/>
        <w:rPr>
          <w:rFonts w:ascii="宋体" w:hAnsi="宋体"/>
          <w:bCs/>
          <w:color w:val="auto"/>
          <w:sz w:val="24"/>
          <w:szCs w:val="20"/>
          <w:highlight w:val="none"/>
        </w:rPr>
      </w:pPr>
    </w:p>
    <w:p w14:paraId="48A84686">
      <w:pPr>
        <w:snapToGrid w:val="0"/>
        <w:spacing w:before="165" w:beforeLines="50" w:after="50"/>
        <w:rPr>
          <w:rFonts w:ascii="宋体" w:hAnsi="宋体"/>
          <w:bCs/>
          <w:color w:val="auto"/>
          <w:sz w:val="24"/>
          <w:szCs w:val="20"/>
          <w:highlight w:val="none"/>
        </w:rPr>
      </w:pPr>
    </w:p>
    <w:p w14:paraId="3F824620">
      <w:pPr>
        <w:snapToGrid w:val="0"/>
        <w:spacing w:before="165" w:beforeLines="50" w:after="50"/>
        <w:rPr>
          <w:rFonts w:ascii="宋体" w:hAnsi="宋体"/>
          <w:bCs/>
          <w:color w:val="auto"/>
          <w:sz w:val="24"/>
          <w:szCs w:val="20"/>
          <w:highlight w:val="none"/>
        </w:rPr>
      </w:pPr>
    </w:p>
    <w:p w14:paraId="0AE0CDA3">
      <w:pPr>
        <w:snapToGrid w:val="0"/>
        <w:spacing w:before="165" w:beforeLines="50" w:after="50"/>
        <w:ind w:firstLine="540" w:firstLineChars="225"/>
        <w:rPr>
          <w:rFonts w:ascii="宋体" w:hAnsi="宋体"/>
          <w:bCs/>
          <w:color w:val="auto"/>
          <w:sz w:val="24"/>
          <w:highlight w:val="none"/>
        </w:rPr>
      </w:pPr>
      <w:r>
        <w:rPr>
          <w:rFonts w:hint="eastAsia" w:ascii="宋体" w:hAnsi="宋体"/>
          <w:bCs/>
          <w:color w:val="auto"/>
          <w:sz w:val="24"/>
          <w:highlight w:val="none"/>
        </w:rPr>
        <w:t>项目名称：</w:t>
      </w:r>
      <w:bookmarkStart w:id="306" w:name="PO_3000001866_PM002_13"/>
      <w:r>
        <w:rPr>
          <w:rFonts w:hint="eastAsia" w:ascii="宋体" w:hAnsi="宋体"/>
          <w:bCs/>
          <w:color w:val="auto"/>
          <w:sz w:val="24"/>
          <w:highlight w:val="none"/>
        </w:rPr>
        <w:t>[项目采购-项目名称]</w:t>
      </w:r>
      <w:bookmarkEnd w:id="306"/>
    </w:p>
    <w:p w14:paraId="6AF7A08F">
      <w:pPr>
        <w:snapToGrid w:val="0"/>
        <w:spacing w:before="165" w:beforeLines="50" w:after="50"/>
        <w:ind w:firstLine="540" w:firstLineChars="225"/>
        <w:rPr>
          <w:rFonts w:ascii="宋体" w:hAnsi="宋体"/>
          <w:bCs/>
          <w:color w:val="auto"/>
          <w:sz w:val="24"/>
          <w:szCs w:val="20"/>
          <w:highlight w:val="none"/>
        </w:rPr>
      </w:pPr>
    </w:p>
    <w:p w14:paraId="231FCE8B">
      <w:pPr>
        <w:snapToGrid w:val="0"/>
        <w:spacing w:before="165" w:beforeLines="50" w:after="50"/>
        <w:ind w:firstLine="540" w:firstLineChars="225"/>
        <w:rPr>
          <w:rFonts w:ascii="宋体" w:hAnsi="宋体"/>
          <w:bCs/>
          <w:color w:val="auto"/>
          <w:sz w:val="24"/>
          <w:highlight w:val="none"/>
        </w:rPr>
      </w:pPr>
      <w:r>
        <w:rPr>
          <w:rFonts w:hint="eastAsia" w:ascii="宋体" w:hAnsi="宋体"/>
          <w:bCs/>
          <w:color w:val="auto"/>
          <w:sz w:val="24"/>
          <w:highlight w:val="none"/>
        </w:rPr>
        <w:t>项目编号：</w:t>
      </w:r>
      <w:bookmarkStart w:id="307" w:name="PO_3000001866_PM001_9"/>
      <w:r>
        <w:rPr>
          <w:rFonts w:hint="eastAsia" w:ascii="宋体" w:hAnsi="宋体"/>
          <w:bCs/>
          <w:color w:val="auto"/>
          <w:sz w:val="24"/>
          <w:highlight w:val="none"/>
        </w:rPr>
        <w:t>[项目采购-项目编号]</w:t>
      </w:r>
      <w:bookmarkEnd w:id="307"/>
    </w:p>
    <w:p w14:paraId="0E5EC48D">
      <w:pPr>
        <w:snapToGrid w:val="0"/>
        <w:spacing w:before="165" w:beforeLines="50" w:after="50"/>
        <w:ind w:firstLine="540" w:firstLineChars="225"/>
        <w:rPr>
          <w:rFonts w:ascii="宋体" w:hAnsi="宋体"/>
          <w:bCs/>
          <w:color w:val="auto"/>
          <w:sz w:val="24"/>
          <w:szCs w:val="20"/>
          <w:highlight w:val="none"/>
        </w:rPr>
      </w:pPr>
    </w:p>
    <w:p w14:paraId="62286245">
      <w:pPr>
        <w:snapToGrid w:val="0"/>
        <w:spacing w:before="165" w:beforeLines="50" w:after="50"/>
        <w:ind w:firstLine="540" w:firstLineChars="225"/>
        <w:rPr>
          <w:rFonts w:ascii="宋体" w:hAnsi="宋体"/>
          <w:bCs/>
          <w:color w:val="auto"/>
          <w:sz w:val="24"/>
          <w:highlight w:val="none"/>
        </w:rPr>
      </w:pPr>
      <w:r>
        <w:rPr>
          <w:rFonts w:hint="eastAsia" w:ascii="宋体" w:hAnsi="宋体"/>
          <w:bCs/>
          <w:color w:val="auto"/>
          <w:sz w:val="24"/>
          <w:highlight w:val="none"/>
        </w:rPr>
        <w:t>所投分标：</w:t>
      </w:r>
    </w:p>
    <w:p w14:paraId="56F13AB2">
      <w:pPr>
        <w:pStyle w:val="15"/>
        <w:snapToGrid w:val="0"/>
        <w:spacing w:before="50" w:after="50"/>
        <w:ind w:firstLine="540" w:firstLineChars="225"/>
        <w:rPr>
          <w:rFonts w:ascii="宋体" w:hAnsi="宋体"/>
          <w:bCs/>
          <w:color w:val="auto"/>
          <w:sz w:val="24"/>
          <w:szCs w:val="24"/>
          <w:highlight w:val="none"/>
        </w:rPr>
      </w:pPr>
    </w:p>
    <w:p w14:paraId="28A5FD81">
      <w:pPr>
        <w:pStyle w:val="15"/>
        <w:snapToGrid w:val="0"/>
        <w:spacing w:before="50" w:after="50"/>
        <w:ind w:firstLine="540" w:firstLineChars="225"/>
        <w:rPr>
          <w:rFonts w:ascii="宋体" w:hAnsi="宋体"/>
          <w:bCs/>
          <w:color w:val="auto"/>
          <w:sz w:val="24"/>
          <w:szCs w:val="24"/>
          <w:highlight w:val="none"/>
        </w:rPr>
      </w:pPr>
      <w:r>
        <w:rPr>
          <w:rFonts w:hint="eastAsia" w:ascii="宋体" w:hAnsi="宋体"/>
          <w:bCs/>
          <w:color w:val="auto"/>
          <w:sz w:val="24"/>
          <w:szCs w:val="24"/>
          <w:highlight w:val="none"/>
        </w:rPr>
        <w:t>投标人名称：</w:t>
      </w:r>
    </w:p>
    <w:p w14:paraId="49051170">
      <w:pPr>
        <w:pStyle w:val="15"/>
        <w:snapToGrid w:val="0"/>
        <w:spacing w:before="50" w:after="50"/>
        <w:ind w:firstLine="540" w:firstLineChars="225"/>
        <w:rPr>
          <w:rFonts w:ascii="宋体" w:hAnsi="宋体"/>
          <w:bCs/>
          <w:color w:val="auto"/>
          <w:sz w:val="24"/>
          <w:szCs w:val="24"/>
          <w:highlight w:val="none"/>
        </w:rPr>
      </w:pPr>
    </w:p>
    <w:p w14:paraId="5740D8B7">
      <w:pPr>
        <w:pStyle w:val="15"/>
        <w:snapToGrid w:val="0"/>
        <w:spacing w:before="50" w:after="50"/>
        <w:ind w:firstLine="960" w:firstLineChars="400"/>
        <w:rPr>
          <w:rFonts w:ascii="宋体" w:hAnsi="宋体"/>
          <w:bCs/>
          <w:color w:val="auto"/>
          <w:sz w:val="24"/>
          <w:szCs w:val="24"/>
          <w:highlight w:val="none"/>
        </w:rPr>
      </w:pPr>
    </w:p>
    <w:p w14:paraId="594C6AD3">
      <w:pPr>
        <w:snapToGrid w:val="0"/>
        <w:spacing w:before="165" w:beforeLines="50" w:after="50"/>
        <w:ind w:firstLine="645"/>
        <w:jc w:val="center"/>
        <w:rPr>
          <w:rFonts w:ascii="宋体" w:hAnsi="宋体"/>
          <w:color w:val="auto"/>
          <w:sz w:val="24"/>
          <w:highlight w:val="none"/>
        </w:rPr>
      </w:pPr>
      <w:r>
        <w:rPr>
          <w:rFonts w:hint="eastAsia" w:ascii="宋体" w:hAnsi="宋体"/>
          <w:color w:val="auto"/>
          <w:sz w:val="24"/>
          <w:highlight w:val="none"/>
        </w:rPr>
        <w:t>年  月  日</w:t>
      </w:r>
    </w:p>
    <w:p w14:paraId="76A3B795">
      <w:pPr>
        <w:widowControl/>
        <w:spacing w:line="360" w:lineRule="auto"/>
        <w:jc w:val="left"/>
        <w:rPr>
          <w:rFonts w:ascii="宋体" w:hAnsi="宋体"/>
          <w:color w:val="auto"/>
          <w:sz w:val="30"/>
          <w:szCs w:val="20"/>
          <w:highlight w:val="none"/>
        </w:rPr>
        <w:sectPr>
          <w:pgSz w:w="11906" w:h="16838"/>
          <w:pgMar w:top="1134" w:right="1134" w:bottom="1134" w:left="1134" w:header="720" w:footer="720" w:gutter="0"/>
          <w:pgNumType w:fmt="decimal"/>
          <w:cols w:space="720" w:num="1"/>
          <w:docGrid w:type="lines" w:linePitch="331" w:charSpace="0"/>
        </w:sectPr>
      </w:pPr>
    </w:p>
    <w:p w14:paraId="12E9A402">
      <w:pPr>
        <w:jc w:val="center"/>
        <w:rPr>
          <w:rFonts w:ascii="方正仿宋_GB2312" w:hAnsi="仿宋" w:eastAsia="方正仿宋_GB2312" w:cs="方正仿宋_GB2312"/>
          <w:b/>
          <w:color w:val="auto"/>
          <w:kern w:val="0"/>
          <w:sz w:val="36"/>
          <w:szCs w:val="36"/>
          <w:highlight w:val="none"/>
        </w:rPr>
      </w:pPr>
      <w:r>
        <w:rPr>
          <w:rFonts w:hint="eastAsia" w:ascii="方正仿宋_GB2312" w:hAnsi="仿宋" w:eastAsia="方正仿宋_GB2312" w:cs="方正仿宋_GB2312"/>
          <w:b/>
          <w:color w:val="auto"/>
          <w:kern w:val="0"/>
          <w:sz w:val="36"/>
          <w:szCs w:val="36"/>
          <w:highlight w:val="none"/>
        </w:rPr>
        <w:t>资格证明文件目录</w:t>
      </w:r>
    </w:p>
    <w:p w14:paraId="32A7AC93">
      <w:pPr>
        <w:snapToGrid w:val="0"/>
        <w:spacing w:line="360" w:lineRule="auto"/>
        <w:rPr>
          <w:rFonts w:ascii="方正仿宋_GB2312" w:hAnsi="仿宋" w:eastAsia="方正仿宋_GB2312" w:cs="方正仿宋_GB2312"/>
          <w:color w:val="auto"/>
          <w:kern w:val="0"/>
          <w:sz w:val="24"/>
          <w:highlight w:val="none"/>
        </w:rPr>
      </w:pPr>
    </w:p>
    <w:p w14:paraId="251B97B8">
      <w:pPr>
        <w:snapToGrid w:val="0"/>
        <w:spacing w:line="360" w:lineRule="auto"/>
        <w:rPr>
          <w:rFonts w:ascii="方正仿宋_GB2312" w:hAnsi="仿宋" w:eastAsia="方正仿宋_GB2312" w:cs="方正仿宋_GB2312"/>
          <w:color w:val="auto"/>
          <w:kern w:val="0"/>
          <w:sz w:val="24"/>
          <w:highlight w:val="none"/>
        </w:rPr>
      </w:pPr>
      <w:r>
        <w:rPr>
          <w:rFonts w:hint="eastAsia" w:ascii="方正仿宋_GB2312" w:hAnsi="仿宋" w:eastAsia="方正仿宋_GB2312" w:cs="方正仿宋_GB2312"/>
          <w:color w:val="auto"/>
          <w:kern w:val="0"/>
          <w:sz w:val="24"/>
          <w:highlight w:val="none"/>
        </w:rPr>
        <w:t>一、</w:t>
      </w:r>
      <w:r>
        <w:rPr>
          <w:rFonts w:hint="eastAsia" w:ascii="方正仿宋_GB2312" w:hAnsi="仿宋" w:eastAsia="方正仿宋_GB2312"/>
          <w:color w:val="auto"/>
          <w:sz w:val="24"/>
          <w:highlight w:val="none"/>
        </w:rPr>
        <w:t>营业执照(或事业法人登记证或其他工商等登记证明材料)复印件（投标人为自然人的，须提供</w:t>
      </w:r>
      <w:r>
        <w:rPr>
          <w:rFonts w:hint="eastAsia" w:ascii="方正仿宋_GB2312" w:hAnsi="仿宋" w:eastAsia="方正仿宋_GB2312" w:cs="Helvetica LT Pro"/>
          <w:color w:val="auto"/>
          <w:kern w:val="0"/>
          <w:sz w:val="24"/>
          <w:highlight w:val="none"/>
        </w:rPr>
        <w:t>自然人的身份证明</w:t>
      </w:r>
      <w:r>
        <w:rPr>
          <w:rFonts w:hint="eastAsia" w:ascii="方正仿宋_GB2312" w:hAnsi="仿宋" w:eastAsia="方正仿宋_GB2312"/>
          <w:color w:val="auto"/>
          <w:sz w:val="24"/>
          <w:highlight w:val="none"/>
        </w:rPr>
        <w:t>）</w:t>
      </w:r>
      <w:r>
        <w:rPr>
          <w:rFonts w:hint="eastAsia" w:ascii="方正仿宋_GB2312" w:hAnsi="仿宋" w:eastAsia="方正仿宋_GB2312" w:cs="方正仿宋_GB2312"/>
          <w:color w:val="auto"/>
          <w:kern w:val="0"/>
          <w:sz w:val="24"/>
          <w:highlight w:val="none"/>
        </w:rPr>
        <w:t>……………………………………………………………（页码）</w:t>
      </w:r>
    </w:p>
    <w:p w14:paraId="398AC0FF">
      <w:pPr>
        <w:snapToGrid w:val="0"/>
        <w:spacing w:line="360" w:lineRule="auto"/>
        <w:rPr>
          <w:rFonts w:ascii="方正仿宋_GB2312" w:hAnsi="仿宋" w:eastAsia="方正仿宋_GB2312" w:cs="方正仿宋_GB2312"/>
          <w:color w:val="auto"/>
          <w:kern w:val="0"/>
          <w:sz w:val="24"/>
          <w:highlight w:val="none"/>
        </w:rPr>
      </w:pPr>
      <w:r>
        <w:rPr>
          <w:rFonts w:hint="eastAsia" w:ascii="方正仿宋_GB2312" w:hAnsi="仿宋" w:eastAsia="方正仿宋_GB2312" w:cs="方正仿宋_GB2312"/>
          <w:color w:val="auto"/>
          <w:kern w:val="0"/>
          <w:sz w:val="24"/>
          <w:highlight w:val="none"/>
        </w:rPr>
        <w:t>二、符合参与政府采购活动的资格条件依法缴纳税收、社会保障资金等方面的材料…………………………………………………………………………………………（页码）</w:t>
      </w:r>
    </w:p>
    <w:p w14:paraId="00B2D157">
      <w:pPr>
        <w:snapToGrid w:val="0"/>
        <w:spacing w:line="360" w:lineRule="auto"/>
        <w:rPr>
          <w:rFonts w:ascii="方正仿宋_GB2312" w:hAnsi="仿宋" w:eastAsia="方正仿宋_GB2312" w:cs="方正仿宋_GB2312"/>
          <w:color w:val="auto"/>
          <w:kern w:val="0"/>
          <w:sz w:val="24"/>
          <w:highlight w:val="none"/>
        </w:rPr>
      </w:pPr>
      <w:r>
        <w:rPr>
          <w:rFonts w:hint="eastAsia" w:ascii="方正仿宋_GB2312" w:hAnsi="仿宋" w:eastAsia="方正仿宋_GB2312" w:cs="方正仿宋_GB2312"/>
          <w:color w:val="auto"/>
          <w:kern w:val="0"/>
          <w:sz w:val="24"/>
          <w:highlight w:val="none"/>
        </w:rPr>
        <w:t>三、财务状况报告方面的材料…………………………………………………………（页码）</w:t>
      </w:r>
    </w:p>
    <w:p w14:paraId="158F88C1">
      <w:pPr>
        <w:snapToGrid w:val="0"/>
        <w:spacing w:line="360" w:lineRule="auto"/>
        <w:rPr>
          <w:rFonts w:ascii="方正仿宋_GB2312" w:hAnsi="仿宋" w:eastAsia="方正仿宋_GB2312" w:cs="方正仿宋_GB2312"/>
          <w:color w:val="auto"/>
          <w:kern w:val="0"/>
          <w:sz w:val="24"/>
          <w:highlight w:val="none"/>
        </w:rPr>
      </w:pPr>
      <w:r>
        <w:rPr>
          <w:rFonts w:hint="eastAsia" w:ascii="方正仿宋_GB2312" w:hAnsi="仿宋" w:eastAsia="方正仿宋_GB2312" w:cs="方正仿宋_GB2312"/>
          <w:color w:val="auto"/>
          <w:sz w:val="24"/>
          <w:highlight w:val="none"/>
        </w:rPr>
        <w:t>四、投标人直接控股股东信息</w:t>
      </w:r>
      <w:r>
        <w:rPr>
          <w:rFonts w:hint="eastAsia" w:ascii="方正仿宋_GB2312" w:hAnsi="仿宋" w:eastAsia="方正仿宋_GB2312" w:cs="方正仿宋_GB2312"/>
          <w:color w:val="auto"/>
          <w:kern w:val="0"/>
          <w:sz w:val="24"/>
          <w:highlight w:val="none"/>
        </w:rPr>
        <w:t>…………………………………………………………（页码）</w:t>
      </w:r>
    </w:p>
    <w:p w14:paraId="5A0F720A">
      <w:pPr>
        <w:snapToGrid w:val="0"/>
        <w:spacing w:line="360" w:lineRule="auto"/>
        <w:rPr>
          <w:rFonts w:ascii="方正仿宋_GB2312" w:hAnsi="仿宋" w:eastAsia="方正仿宋_GB2312" w:cs="方正仿宋_GB2312"/>
          <w:color w:val="auto"/>
          <w:kern w:val="0"/>
          <w:sz w:val="24"/>
          <w:highlight w:val="none"/>
        </w:rPr>
      </w:pPr>
      <w:r>
        <w:rPr>
          <w:rFonts w:hint="eastAsia" w:ascii="方正仿宋_GB2312" w:hAnsi="仿宋" w:eastAsia="方正仿宋_GB2312" w:cs="方正仿宋_GB2312"/>
          <w:color w:val="auto"/>
          <w:sz w:val="24"/>
          <w:highlight w:val="none"/>
        </w:rPr>
        <w:t>五、投标人直接关联关系信息表</w:t>
      </w:r>
      <w:r>
        <w:rPr>
          <w:rFonts w:hint="eastAsia" w:ascii="方正仿宋_GB2312" w:hAnsi="仿宋" w:eastAsia="方正仿宋_GB2312" w:cs="方正仿宋_GB2312"/>
          <w:color w:val="auto"/>
          <w:kern w:val="0"/>
          <w:sz w:val="24"/>
          <w:highlight w:val="none"/>
        </w:rPr>
        <w:t>………………………………………………………（页码）</w:t>
      </w:r>
    </w:p>
    <w:p w14:paraId="52DD11E9">
      <w:pPr>
        <w:snapToGrid w:val="0"/>
        <w:spacing w:line="360" w:lineRule="auto"/>
        <w:rPr>
          <w:rFonts w:ascii="方正仿宋_GB2312" w:hAnsi="仿宋" w:eastAsia="方正仿宋_GB2312" w:cs="方正仿宋_GB2312"/>
          <w:color w:val="auto"/>
          <w:kern w:val="0"/>
          <w:sz w:val="24"/>
          <w:highlight w:val="none"/>
        </w:rPr>
      </w:pPr>
      <w:r>
        <w:rPr>
          <w:rFonts w:hint="eastAsia" w:ascii="方正仿宋_GB2312" w:hAnsi="仿宋" w:eastAsia="方正仿宋_GB2312" w:cs="方正仿宋_GB2312"/>
          <w:color w:val="auto"/>
          <w:kern w:val="0"/>
          <w:sz w:val="24"/>
          <w:highlight w:val="none"/>
        </w:rPr>
        <w:t>六、投标资格声明函……………………………………………………………………（页码）</w:t>
      </w:r>
    </w:p>
    <w:p w14:paraId="11ED224E">
      <w:pPr>
        <w:snapToGrid w:val="0"/>
        <w:spacing w:line="360" w:lineRule="auto"/>
        <w:rPr>
          <w:rFonts w:ascii="方正仿宋_GB2312" w:hAnsi="仿宋" w:eastAsia="方正仿宋_GB2312" w:cs="方正仿宋_GB2312"/>
          <w:color w:val="auto"/>
          <w:kern w:val="0"/>
          <w:sz w:val="24"/>
          <w:highlight w:val="none"/>
        </w:rPr>
      </w:pPr>
      <w:r>
        <w:rPr>
          <w:rFonts w:hint="eastAsia" w:ascii="方正仿宋_GB2312" w:hAnsi="仿宋" w:eastAsia="方正仿宋_GB2312" w:cs="方正仿宋_GB2312"/>
          <w:color w:val="auto"/>
          <w:kern w:val="0"/>
          <w:sz w:val="24"/>
          <w:highlight w:val="none"/>
        </w:rPr>
        <w:t>七、联合体协议书（</w:t>
      </w:r>
      <w:r>
        <w:rPr>
          <w:rFonts w:hint="eastAsia" w:ascii="方正仿宋_GB2312" w:hAnsi="仿宋" w:eastAsia="方正仿宋_GB2312" w:cs="方正仿宋_GB2312"/>
          <w:color w:val="auto"/>
          <w:sz w:val="24"/>
          <w:highlight w:val="none"/>
        </w:rPr>
        <w:t>以联合体形式投标的，提供联合体协议；本项目不接受联合体投标或者投标人不以联合体形式投标的，则不需要提供</w:t>
      </w:r>
      <w:r>
        <w:rPr>
          <w:rFonts w:hint="eastAsia" w:ascii="方正仿宋_GB2312" w:hAnsi="仿宋" w:eastAsia="方正仿宋_GB2312" w:cs="方正仿宋_GB2312"/>
          <w:color w:val="auto"/>
          <w:kern w:val="0"/>
          <w:sz w:val="24"/>
          <w:highlight w:val="none"/>
        </w:rPr>
        <w:t>）……………………………………（页码）</w:t>
      </w:r>
    </w:p>
    <w:p w14:paraId="66CF33E2">
      <w:pPr>
        <w:snapToGrid w:val="0"/>
        <w:spacing w:line="360" w:lineRule="auto"/>
        <w:rPr>
          <w:rFonts w:ascii="方正仿宋_GB2312" w:hAnsi="仿宋" w:eastAsia="方正仿宋_GB2312" w:cs="方正仿宋_GB2312"/>
          <w:color w:val="auto"/>
          <w:kern w:val="0"/>
          <w:sz w:val="24"/>
          <w:highlight w:val="none"/>
        </w:rPr>
      </w:pPr>
      <w:r>
        <w:rPr>
          <w:rFonts w:hint="eastAsia" w:ascii="方正仿宋_GB2312" w:hAnsi="仿宋" w:eastAsia="方正仿宋_GB2312" w:cs="方正仿宋_GB2312"/>
          <w:color w:val="auto"/>
          <w:sz w:val="24"/>
          <w:highlight w:val="none"/>
        </w:rPr>
        <w:t>八、符合特定资格条件（如有）的有关证明材料（复印件）</w:t>
      </w:r>
      <w:r>
        <w:rPr>
          <w:rFonts w:hint="eastAsia" w:ascii="方正仿宋_GB2312" w:hAnsi="仿宋" w:eastAsia="方正仿宋_GB2312" w:cs="方正仿宋_GB2312"/>
          <w:color w:val="auto"/>
          <w:kern w:val="0"/>
          <w:sz w:val="24"/>
          <w:highlight w:val="none"/>
        </w:rPr>
        <w:t>………………………（页码）</w:t>
      </w:r>
    </w:p>
    <w:p w14:paraId="45F2730E">
      <w:pPr>
        <w:spacing w:line="360" w:lineRule="auto"/>
        <w:rPr>
          <w:rFonts w:ascii="方正仿宋_GB2312" w:hAnsi="仿宋" w:eastAsia="方正仿宋_GB2312" w:cs="方正仿宋_GB2312"/>
          <w:b/>
          <w:bCs/>
          <w:color w:val="auto"/>
          <w:sz w:val="24"/>
          <w:highlight w:val="none"/>
        </w:rPr>
      </w:pPr>
      <w:r>
        <w:rPr>
          <w:rFonts w:hint="eastAsia" w:ascii="方正仿宋_GB2312" w:hAnsi="仿宋" w:eastAsia="方正仿宋_GB2312" w:cs="方正仿宋_GB2312"/>
          <w:b/>
          <w:bCs/>
          <w:color w:val="auto"/>
          <w:sz w:val="24"/>
          <w:highlight w:val="none"/>
        </w:rPr>
        <w:t>注：以上目录是基本格式要求，各投标人可根据自身情况进一步向下增加内容或细化。</w:t>
      </w:r>
    </w:p>
    <w:p w14:paraId="433FDF6C">
      <w:pPr>
        <w:widowControl/>
        <w:spacing w:line="360" w:lineRule="auto"/>
        <w:jc w:val="left"/>
        <w:rPr>
          <w:rFonts w:ascii="宋体" w:hAnsi="宋体"/>
          <w:color w:val="auto"/>
          <w:sz w:val="30"/>
          <w:szCs w:val="20"/>
          <w:highlight w:val="none"/>
        </w:rPr>
        <w:sectPr>
          <w:pgSz w:w="11906" w:h="16838"/>
          <w:pgMar w:top="1134" w:right="1134" w:bottom="1134" w:left="1134" w:header="720" w:footer="720" w:gutter="0"/>
          <w:pgNumType w:fmt="decimal"/>
          <w:cols w:space="720" w:num="1"/>
          <w:docGrid w:type="lines" w:linePitch="331" w:charSpace="0"/>
        </w:sectPr>
      </w:pPr>
    </w:p>
    <w:p w14:paraId="72532BF6">
      <w:pPr>
        <w:snapToGrid w:val="0"/>
        <w:spacing w:line="360" w:lineRule="auto"/>
        <w:rPr>
          <w:rFonts w:ascii="方正仿宋_GB2312" w:hAnsi="仿宋" w:eastAsia="方正仿宋_GB2312" w:cs="方正仿宋_GB2312"/>
          <w:b/>
          <w:color w:val="auto"/>
          <w:kern w:val="0"/>
          <w:sz w:val="32"/>
          <w:szCs w:val="32"/>
          <w:highlight w:val="none"/>
          <w:lang w:val="zh-CN"/>
        </w:rPr>
      </w:pPr>
    </w:p>
    <w:p w14:paraId="6CC11090">
      <w:pPr>
        <w:spacing w:line="360" w:lineRule="auto"/>
        <w:jc w:val="center"/>
        <w:rPr>
          <w:rFonts w:ascii="方正仿宋_GB2312" w:hAnsi="仿宋" w:eastAsia="方正仿宋_GB2312" w:cs="方正仿宋_GB2312"/>
          <w:b/>
          <w:color w:val="auto"/>
          <w:sz w:val="30"/>
          <w:szCs w:val="30"/>
          <w:highlight w:val="none"/>
        </w:rPr>
      </w:pPr>
      <w:r>
        <w:rPr>
          <w:rFonts w:hint="eastAsia" w:ascii="方正仿宋_GB2312" w:hAnsi="仿宋" w:eastAsia="方正仿宋_GB2312" w:cs="方正仿宋_GB2312"/>
          <w:b/>
          <w:color w:val="auto"/>
          <w:kern w:val="0"/>
          <w:sz w:val="32"/>
          <w:szCs w:val="32"/>
          <w:highlight w:val="none"/>
          <w:lang w:val="zh-CN"/>
        </w:rPr>
        <w:t>一、</w:t>
      </w:r>
      <w:r>
        <w:rPr>
          <w:rFonts w:hint="eastAsia" w:ascii="方正仿宋_GB2312" w:hAnsi="仿宋" w:eastAsia="方正仿宋_GB2312" w:cs="方正仿宋_GB2312"/>
          <w:b/>
          <w:color w:val="auto"/>
          <w:sz w:val="30"/>
          <w:szCs w:val="30"/>
          <w:highlight w:val="none"/>
        </w:rPr>
        <w:t>营业执照(或事业法人登记证或其他工商等登记证明材料)复印件（投标人为自然人的，提供自然人的身份证明）</w:t>
      </w:r>
    </w:p>
    <w:p w14:paraId="08263433">
      <w:pPr>
        <w:spacing w:line="360" w:lineRule="auto"/>
        <w:rPr>
          <w:rFonts w:ascii="方正仿宋_GB2312" w:hAnsi="仿宋" w:eastAsia="方正仿宋_GB2312" w:cs="方正仿宋_GB2312"/>
          <w:b/>
          <w:color w:val="auto"/>
          <w:sz w:val="30"/>
          <w:szCs w:val="30"/>
          <w:highlight w:val="none"/>
        </w:rPr>
      </w:pPr>
    </w:p>
    <w:p w14:paraId="50875902">
      <w:pPr>
        <w:snapToGrid w:val="0"/>
        <w:spacing w:line="360" w:lineRule="auto"/>
        <w:ind w:firstLine="576"/>
        <w:jc w:val="center"/>
        <w:rPr>
          <w:rFonts w:ascii="方正仿宋_GB2312" w:hAnsi="仿宋" w:eastAsia="方正仿宋_GB2312" w:cs="方正仿宋_GB2312"/>
          <w:color w:val="auto"/>
          <w:kern w:val="0"/>
          <w:sz w:val="24"/>
          <w:highlight w:val="none"/>
          <w:lang w:val="zh-CN"/>
        </w:rPr>
      </w:pPr>
      <w:r>
        <w:rPr>
          <w:rFonts w:hint="eastAsia" w:ascii="方正仿宋_GB2312" w:hAnsi="仿宋" w:eastAsia="方正仿宋_GB2312" w:cs="方正仿宋_GB2312"/>
          <w:color w:val="auto"/>
          <w:kern w:val="0"/>
          <w:sz w:val="24"/>
          <w:highlight w:val="none"/>
          <w:lang w:val="zh-CN"/>
        </w:rPr>
        <w:t xml:space="preserve">               投标人名称(电子签章)：                              </w:t>
      </w:r>
    </w:p>
    <w:p w14:paraId="570490D7">
      <w:pPr>
        <w:spacing w:line="360" w:lineRule="auto"/>
        <w:jc w:val="center"/>
        <w:rPr>
          <w:rFonts w:ascii="方正仿宋_GB2312" w:hAnsi="仿宋" w:eastAsia="方正仿宋_GB2312" w:cs="方正仿宋_GB2312"/>
          <w:b/>
          <w:color w:val="auto"/>
          <w:sz w:val="30"/>
          <w:szCs w:val="30"/>
          <w:highlight w:val="none"/>
        </w:rPr>
      </w:pPr>
      <w:r>
        <w:rPr>
          <w:rFonts w:hint="eastAsia" w:ascii="方正仿宋_GB2312" w:hAnsi="仿宋" w:eastAsia="方正仿宋_GB2312" w:cs="方正仿宋_GB2312"/>
          <w:color w:val="auto"/>
          <w:kern w:val="0"/>
          <w:sz w:val="24"/>
          <w:highlight w:val="none"/>
          <w:lang w:val="zh-CN"/>
        </w:rPr>
        <w:t xml:space="preserve">                   日期：  年  月</w:t>
      </w:r>
    </w:p>
    <w:p w14:paraId="1C74A0C7">
      <w:pPr>
        <w:spacing w:line="360" w:lineRule="auto"/>
        <w:jc w:val="center"/>
        <w:rPr>
          <w:rFonts w:ascii="方正仿宋_GB2312" w:hAnsi="仿宋" w:eastAsia="方正仿宋_GB2312" w:cs="方正仿宋_GB2312"/>
          <w:b/>
          <w:color w:val="auto"/>
          <w:sz w:val="30"/>
          <w:szCs w:val="30"/>
          <w:highlight w:val="none"/>
        </w:rPr>
      </w:pPr>
    </w:p>
    <w:p w14:paraId="475A22ED">
      <w:pPr>
        <w:snapToGrid w:val="0"/>
        <w:spacing w:line="360" w:lineRule="auto"/>
        <w:ind w:right="480"/>
        <w:jc w:val="center"/>
        <w:rPr>
          <w:rFonts w:ascii="方正仿宋_GB2312" w:hAnsi="仿宋" w:eastAsia="方正仿宋_GB2312" w:cs="方正仿宋_GB2312"/>
          <w:b/>
          <w:color w:val="auto"/>
          <w:kern w:val="0"/>
          <w:sz w:val="32"/>
          <w:szCs w:val="32"/>
          <w:highlight w:val="none"/>
        </w:rPr>
      </w:pPr>
      <w:r>
        <w:rPr>
          <w:rFonts w:hint="eastAsia" w:ascii="方正仿宋_GB2312" w:hAnsi="仿宋" w:eastAsia="方正仿宋_GB2312" w:cs="方正仿宋_GB2312"/>
          <w:b/>
          <w:color w:val="auto"/>
          <w:sz w:val="30"/>
          <w:szCs w:val="30"/>
          <w:highlight w:val="none"/>
        </w:rPr>
        <w:t>二、</w:t>
      </w:r>
      <w:r>
        <w:rPr>
          <w:rFonts w:hint="eastAsia" w:ascii="方正仿宋_GB2312" w:hAnsi="仿宋" w:eastAsia="方正仿宋_GB2312" w:cs="方正仿宋_GB2312"/>
          <w:b/>
          <w:color w:val="auto"/>
          <w:kern w:val="0"/>
          <w:sz w:val="32"/>
          <w:szCs w:val="32"/>
          <w:highlight w:val="none"/>
        </w:rPr>
        <w:t>符合参与政府采购活动的资格条件依法缴纳税收、社会保障资金等方面的材料</w:t>
      </w:r>
    </w:p>
    <w:p w14:paraId="0A2C7F35">
      <w:pPr>
        <w:snapToGrid w:val="0"/>
        <w:spacing w:line="360" w:lineRule="auto"/>
        <w:ind w:firstLine="480" w:firstLineChars="200"/>
        <w:rPr>
          <w:rFonts w:ascii="方正仿宋_GB2312" w:hAnsi="仿宋" w:eastAsia="方正仿宋_GB2312" w:cs="方正仿宋_GB2312"/>
          <w:color w:val="auto"/>
          <w:sz w:val="24"/>
          <w:highlight w:val="none"/>
        </w:rPr>
      </w:pPr>
    </w:p>
    <w:p w14:paraId="6CB995A7">
      <w:pPr>
        <w:snapToGrid w:val="0"/>
        <w:spacing w:line="360" w:lineRule="auto"/>
        <w:rPr>
          <w:rFonts w:ascii="方正仿宋_GB2312" w:hAnsi="仿宋" w:eastAsia="方正仿宋_GB2312" w:cs="方正仿宋_GB2312"/>
          <w:color w:val="auto"/>
          <w:kern w:val="0"/>
          <w:sz w:val="24"/>
          <w:highlight w:val="none"/>
          <w:lang w:val="zh-CN"/>
        </w:rPr>
      </w:pPr>
    </w:p>
    <w:p w14:paraId="20B77A2E">
      <w:pPr>
        <w:snapToGrid w:val="0"/>
        <w:spacing w:line="360" w:lineRule="auto"/>
        <w:ind w:firstLine="5040" w:firstLineChars="2100"/>
        <w:rPr>
          <w:rFonts w:ascii="方正仿宋_GB2312" w:hAnsi="仿宋" w:eastAsia="方正仿宋_GB2312" w:cs="方正仿宋_GB2312"/>
          <w:color w:val="auto"/>
          <w:kern w:val="0"/>
          <w:sz w:val="24"/>
          <w:highlight w:val="none"/>
        </w:rPr>
      </w:pPr>
      <w:r>
        <w:rPr>
          <w:rFonts w:hint="eastAsia" w:ascii="方正仿宋_GB2312" w:hAnsi="仿宋" w:eastAsia="方正仿宋_GB2312" w:cs="方正仿宋_GB2312"/>
          <w:color w:val="auto"/>
          <w:kern w:val="0"/>
          <w:sz w:val="24"/>
          <w:highlight w:val="none"/>
          <w:lang w:val="zh-CN"/>
        </w:rPr>
        <w:t xml:space="preserve"> 投标人名称(电子签章)：</w:t>
      </w:r>
    </w:p>
    <w:p w14:paraId="45292057">
      <w:pPr>
        <w:snapToGrid w:val="0"/>
        <w:spacing w:line="360" w:lineRule="auto"/>
        <w:ind w:firstLine="5160" w:firstLineChars="2150"/>
        <w:rPr>
          <w:rFonts w:ascii="方正仿宋_GB2312" w:hAnsi="仿宋" w:eastAsia="方正仿宋_GB2312" w:cs="方正仿宋_GB2312"/>
          <w:color w:val="auto"/>
          <w:kern w:val="0"/>
          <w:sz w:val="24"/>
          <w:highlight w:val="none"/>
          <w:lang w:val="zh-CN"/>
        </w:rPr>
      </w:pPr>
      <w:r>
        <w:rPr>
          <w:rFonts w:hint="eastAsia" w:ascii="方正仿宋_GB2312" w:hAnsi="仿宋" w:eastAsia="方正仿宋_GB2312" w:cs="方正仿宋_GB2312"/>
          <w:color w:val="auto"/>
          <w:kern w:val="0"/>
          <w:sz w:val="24"/>
          <w:highlight w:val="none"/>
          <w:lang w:val="zh-CN"/>
        </w:rPr>
        <w:t>日期</w:t>
      </w:r>
      <w:r>
        <w:rPr>
          <w:rFonts w:hint="eastAsia" w:ascii="方正仿宋_GB2312" w:hAnsi="仿宋" w:eastAsia="方正仿宋_GB2312" w:cs="方正仿宋_GB2312"/>
          <w:color w:val="auto"/>
          <w:kern w:val="0"/>
          <w:sz w:val="24"/>
          <w:highlight w:val="none"/>
        </w:rPr>
        <w:t xml:space="preserve">：  年  </w:t>
      </w:r>
      <w:r>
        <w:rPr>
          <w:rFonts w:hint="eastAsia" w:ascii="方正仿宋_GB2312" w:hAnsi="仿宋" w:eastAsia="方正仿宋_GB2312" w:cs="方正仿宋_GB2312"/>
          <w:color w:val="auto"/>
          <w:kern w:val="0"/>
          <w:sz w:val="24"/>
          <w:highlight w:val="none"/>
          <w:lang w:val="zh-CN"/>
        </w:rPr>
        <w:t>月日</w:t>
      </w:r>
    </w:p>
    <w:p w14:paraId="2D739790">
      <w:pPr>
        <w:snapToGrid w:val="0"/>
        <w:spacing w:line="360" w:lineRule="auto"/>
        <w:ind w:right="480"/>
        <w:jc w:val="center"/>
        <w:rPr>
          <w:rFonts w:ascii="方正仿宋_GB2312" w:hAnsi="仿宋" w:eastAsia="方正仿宋_GB2312" w:cs="方正仿宋_GB2312"/>
          <w:b/>
          <w:color w:val="auto"/>
          <w:kern w:val="0"/>
          <w:sz w:val="32"/>
          <w:szCs w:val="32"/>
          <w:highlight w:val="none"/>
        </w:rPr>
      </w:pPr>
      <w:r>
        <w:rPr>
          <w:rFonts w:hint="eastAsia" w:ascii="方正仿宋_GB2312" w:hAnsi="仿宋" w:eastAsia="方正仿宋_GB2312" w:cs="方正仿宋_GB2312"/>
          <w:b/>
          <w:color w:val="auto"/>
          <w:sz w:val="30"/>
          <w:szCs w:val="30"/>
          <w:highlight w:val="none"/>
        </w:rPr>
        <w:t>三、</w:t>
      </w:r>
      <w:r>
        <w:rPr>
          <w:rFonts w:hint="eastAsia" w:ascii="方正仿宋_GB2312" w:hAnsi="仿宋" w:eastAsia="方正仿宋_GB2312" w:cs="方正仿宋_GB2312"/>
          <w:b/>
          <w:color w:val="auto"/>
          <w:kern w:val="0"/>
          <w:sz w:val="32"/>
          <w:szCs w:val="32"/>
          <w:highlight w:val="none"/>
        </w:rPr>
        <w:t>财务状况报告方面的材料</w:t>
      </w:r>
    </w:p>
    <w:p w14:paraId="10E99B14">
      <w:pPr>
        <w:snapToGrid w:val="0"/>
        <w:spacing w:line="360" w:lineRule="auto"/>
        <w:ind w:firstLine="480" w:firstLineChars="200"/>
        <w:rPr>
          <w:rFonts w:ascii="方正仿宋_GB2312" w:hAnsi="仿宋" w:eastAsia="方正仿宋_GB2312" w:cs="方正仿宋_GB2312"/>
          <w:color w:val="auto"/>
          <w:sz w:val="24"/>
          <w:highlight w:val="none"/>
        </w:rPr>
      </w:pPr>
    </w:p>
    <w:p w14:paraId="3B53CEC6">
      <w:pPr>
        <w:snapToGrid w:val="0"/>
        <w:spacing w:line="360" w:lineRule="auto"/>
        <w:rPr>
          <w:rFonts w:ascii="方正仿宋_GB2312" w:hAnsi="仿宋" w:eastAsia="方正仿宋_GB2312" w:cs="方正仿宋_GB2312"/>
          <w:color w:val="auto"/>
          <w:kern w:val="0"/>
          <w:sz w:val="24"/>
          <w:highlight w:val="none"/>
          <w:lang w:val="zh-CN"/>
        </w:rPr>
      </w:pPr>
    </w:p>
    <w:p w14:paraId="673BC2B5">
      <w:pPr>
        <w:snapToGrid w:val="0"/>
        <w:spacing w:line="360" w:lineRule="auto"/>
        <w:ind w:firstLine="5040" w:firstLineChars="2100"/>
        <w:rPr>
          <w:rFonts w:ascii="方正仿宋_GB2312" w:hAnsi="仿宋" w:eastAsia="方正仿宋_GB2312" w:cs="方正仿宋_GB2312"/>
          <w:color w:val="auto"/>
          <w:kern w:val="0"/>
          <w:sz w:val="24"/>
          <w:highlight w:val="none"/>
        </w:rPr>
      </w:pPr>
      <w:r>
        <w:rPr>
          <w:rFonts w:hint="eastAsia" w:ascii="方正仿宋_GB2312" w:hAnsi="仿宋" w:eastAsia="方正仿宋_GB2312" w:cs="方正仿宋_GB2312"/>
          <w:color w:val="auto"/>
          <w:kern w:val="0"/>
          <w:sz w:val="24"/>
          <w:highlight w:val="none"/>
          <w:lang w:val="zh-CN"/>
        </w:rPr>
        <w:t xml:space="preserve"> 投标人名称(电子签章)：</w:t>
      </w:r>
    </w:p>
    <w:p w14:paraId="2BA7E8EB">
      <w:pPr>
        <w:snapToGrid w:val="0"/>
        <w:spacing w:line="360" w:lineRule="auto"/>
        <w:ind w:firstLine="5160" w:firstLineChars="2150"/>
        <w:rPr>
          <w:rFonts w:ascii="方正仿宋_GB2312" w:hAnsi="仿宋" w:eastAsia="方正仿宋_GB2312" w:cs="方正仿宋_GB2312"/>
          <w:color w:val="auto"/>
          <w:kern w:val="0"/>
          <w:sz w:val="24"/>
          <w:highlight w:val="none"/>
          <w:lang w:val="zh-CN"/>
        </w:rPr>
      </w:pPr>
      <w:r>
        <w:rPr>
          <w:rFonts w:hint="eastAsia" w:ascii="方正仿宋_GB2312" w:hAnsi="仿宋" w:eastAsia="方正仿宋_GB2312" w:cs="方正仿宋_GB2312"/>
          <w:color w:val="auto"/>
          <w:kern w:val="0"/>
          <w:sz w:val="24"/>
          <w:highlight w:val="none"/>
          <w:lang w:val="zh-CN"/>
        </w:rPr>
        <w:t>日期</w:t>
      </w:r>
      <w:r>
        <w:rPr>
          <w:rFonts w:hint="eastAsia" w:ascii="方正仿宋_GB2312" w:hAnsi="仿宋" w:eastAsia="方正仿宋_GB2312" w:cs="方正仿宋_GB2312"/>
          <w:color w:val="auto"/>
          <w:kern w:val="0"/>
          <w:sz w:val="24"/>
          <w:highlight w:val="none"/>
        </w:rPr>
        <w:t xml:space="preserve">：  年  </w:t>
      </w:r>
      <w:r>
        <w:rPr>
          <w:rFonts w:hint="eastAsia" w:ascii="方正仿宋_GB2312" w:hAnsi="仿宋" w:eastAsia="方正仿宋_GB2312" w:cs="方正仿宋_GB2312"/>
          <w:color w:val="auto"/>
          <w:kern w:val="0"/>
          <w:sz w:val="24"/>
          <w:highlight w:val="none"/>
          <w:lang w:val="zh-CN"/>
        </w:rPr>
        <w:t>月日</w:t>
      </w:r>
    </w:p>
    <w:p w14:paraId="75BA08D3">
      <w:pPr>
        <w:snapToGrid w:val="0"/>
        <w:spacing w:line="360" w:lineRule="auto"/>
        <w:ind w:firstLine="5160" w:firstLineChars="2150"/>
        <w:rPr>
          <w:rFonts w:ascii="方正仿宋_GB2312" w:hAnsi="仿宋" w:eastAsia="方正仿宋_GB2312" w:cs="方正仿宋_GB2312"/>
          <w:color w:val="auto"/>
          <w:kern w:val="0"/>
          <w:sz w:val="24"/>
          <w:highlight w:val="none"/>
          <w:lang w:val="zh-CN"/>
        </w:rPr>
      </w:pPr>
    </w:p>
    <w:p w14:paraId="35E51862">
      <w:pPr>
        <w:snapToGrid w:val="0"/>
        <w:spacing w:line="360" w:lineRule="auto"/>
        <w:ind w:right="480"/>
        <w:jc w:val="center"/>
        <w:rPr>
          <w:rFonts w:ascii="方正仿宋_GB2312" w:hAnsi="仿宋" w:eastAsia="方正仿宋_GB2312" w:cs="方正仿宋_GB2312"/>
          <w:b/>
          <w:color w:val="auto"/>
          <w:kern w:val="0"/>
          <w:sz w:val="32"/>
          <w:szCs w:val="32"/>
          <w:highlight w:val="none"/>
          <w:lang w:val="zh-CN"/>
        </w:rPr>
      </w:pPr>
    </w:p>
    <w:p w14:paraId="2B51BA0D">
      <w:pPr>
        <w:snapToGrid w:val="0"/>
        <w:spacing w:line="360" w:lineRule="auto"/>
        <w:ind w:right="480"/>
        <w:jc w:val="center"/>
        <w:rPr>
          <w:rFonts w:ascii="宋体" w:hAnsi="宋体"/>
          <w:b/>
          <w:color w:val="auto"/>
          <w:sz w:val="28"/>
          <w:szCs w:val="28"/>
          <w:highlight w:val="none"/>
        </w:rPr>
      </w:pPr>
      <w:r>
        <w:rPr>
          <w:rFonts w:hint="eastAsia" w:ascii="方正仿宋_GB2312" w:hAnsi="仿宋" w:eastAsia="方正仿宋_GB2312" w:cs="方正仿宋_GB2312"/>
          <w:b/>
          <w:color w:val="auto"/>
          <w:kern w:val="0"/>
          <w:sz w:val="32"/>
          <w:szCs w:val="32"/>
          <w:highlight w:val="none"/>
        </w:rPr>
        <w:br w:type="page"/>
      </w:r>
    </w:p>
    <w:p w14:paraId="68CD9D89">
      <w:pPr>
        <w:snapToGrid w:val="0"/>
        <w:spacing w:before="50" w:after="165" w:afterLines="50" w:line="360" w:lineRule="auto"/>
        <w:jc w:val="center"/>
        <w:rPr>
          <w:rFonts w:ascii="方正仿宋_GB2312" w:hAnsi="仿宋" w:eastAsia="方正仿宋_GB2312" w:cs="方正仿宋_GB2312"/>
          <w:b/>
          <w:color w:val="auto"/>
          <w:kern w:val="0"/>
          <w:sz w:val="32"/>
          <w:szCs w:val="32"/>
          <w:highlight w:val="none"/>
        </w:rPr>
      </w:pPr>
      <w:r>
        <w:rPr>
          <w:rFonts w:hint="eastAsia" w:ascii="方正仿宋_GB2312" w:hAnsi="仿宋" w:eastAsia="方正仿宋_GB2312" w:cs="方正仿宋_GB2312"/>
          <w:b/>
          <w:color w:val="auto"/>
          <w:kern w:val="0"/>
          <w:sz w:val="32"/>
          <w:szCs w:val="32"/>
          <w:highlight w:val="none"/>
        </w:rPr>
        <w:t>四、投标人直接控股股东信息表</w:t>
      </w:r>
    </w:p>
    <w:tbl>
      <w:tblPr>
        <w:tblStyle w:val="37"/>
        <w:tblW w:w="0" w:type="auto"/>
        <w:tblInd w:w="125" w:type="dxa"/>
        <w:shd w:val="clear" w:color="auto" w:fill="FBFBFB"/>
        <w:tblLayout w:type="fixed"/>
        <w:tblCellMar>
          <w:top w:w="0" w:type="dxa"/>
          <w:left w:w="0" w:type="dxa"/>
          <w:bottom w:w="0" w:type="dxa"/>
          <w:right w:w="0" w:type="dxa"/>
        </w:tblCellMar>
      </w:tblPr>
      <w:tblGrid>
        <w:gridCol w:w="828"/>
        <w:gridCol w:w="2269"/>
        <w:gridCol w:w="1239"/>
        <w:gridCol w:w="3722"/>
        <w:gridCol w:w="1418"/>
      </w:tblGrid>
      <w:tr w14:paraId="11DBF6D4">
        <w:tblPrEx>
          <w:shd w:val="clear" w:color="auto" w:fill="FBFBFB"/>
          <w:tblCellMar>
            <w:top w:w="0" w:type="dxa"/>
            <w:left w:w="0" w:type="dxa"/>
            <w:bottom w:w="0" w:type="dxa"/>
            <w:right w:w="0" w:type="dxa"/>
          </w:tblCellMar>
        </w:tblPrEx>
        <w:trPr>
          <w:tblHeader/>
        </w:trPr>
        <w:tc>
          <w:tcPr>
            <w:tcW w:w="828" w:type="dxa"/>
            <w:tcBorders>
              <w:top w:val="single" w:color="auto" w:sz="4" w:space="0"/>
              <w:left w:val="single" w:color="auto" w:sz="4" w:space="0"/>
              <w:bottom w:val="single" w:color="auto" w:sz="4" w:space="0"/>
              <w:right w:val="single" w:color="auto" w:sz="4" w:space="0"/>
            </w:tcBorders>
            <w:shd w:val="clear" w:color="auto" w:fill="EAE3D8"/>
            <w:tcMar>
              <w:top w:w="120" w:type="dxa"/>
              <w:left w:w="120" w:type="dxa"/>
              <w:bottom w:w="120" w:type="dxa"/>
              <w:right w:w="120" w:type="dxa"/>
            </w:tcMar>
            <w:vAlign w:val="center"/>
          </w:tcPr>
          <w:p w14:paraId="6DCD55E8">
            <w:pPr>
              <w:keepNext w:val="0"/>
              <w:keepLines w:val="0"/>
              <w:suppressLineNumbers w:val="0"/>
              <w:spacing w:before="0" w:beforeAutospacing="0" w:after="0" w:afterAutospacing="0" w:line="360" w:lineRule="auto"/>
              <w:ind w:left="0" w:right="0"/>
              <w:jc w:val="center"/>
              <w:rPr>
                <w:rFonts w:hint="default" w:ascii="宋体" w:hAnsi="宋体" w:cs="宋体"/>
                <w:b/>
                <w:bCs/>
                <w:color w:val="auto"/>
                <w:kern w:val="0"/>
                <w:sz w:val="24"/>
                <w:highlight w:val="none"/>
              </w:rPr>
            </w:pPr>
            <w:r>
              <w:rPr>
                <w:rFonts w:hint="eastAsia" w:ascii="宋体" w:hAnsi="宋体" w:cs="宋体"/>
                <w:b/>
                <w:bCs/>
                <w:color w:val="auto"/>
                <w:kern w:val="0"/>
                <w:sz w:val="24"/>
                <w:highlight w:val="none"/>
              </w:rPr>
              <w:t>序号</w:t>
            </w:r>
          </w:p>
        </w:tc>
        <w:tc>
          <w:tcPr>
            <w:tcW w:w="2269" w:type="dxa"/>
            <w:tcBorders>
              <w:top w:val="single" w:color="auto" w:sz="4" w:space="0"/>
              <w:left w:val="single" w:color="auto" w:sz="4" w:space="0"/>
              <w:bottom w:val="single" w:color="auto" w:sz="4" w:space="0"/>
              <w:right w:val="single" w:color="auto" w:sz="4" w:space="0"/>
            </w:tcBorders>
            <w:shd w:val="clear" w:color="auto" w:fill="EAE3D8"/>
            <w:tcMar>
              <w:top w:w="120" w:type="dxa"/>
              <w:left w:w="120" w:type="dxa"/>
              <w:bottom w:w="120" w:type="dxa"/>
              <w:right w:w="120" w:type="dxa"/>
            </w:tcMar>
            <w:vAlign w:val="center"/>
          </w:tcPr>
          <w:p w14:paraId="0A7E4174">
            <w:pPr>
              <w:keepNext w:val="0"/>
              <w:keepLines w:val="0"/>
              <w:suppressLineNumbers w:val="0"/>
              <w:spacing w:before="0" w:beforeAutospacing="0" w:after="0" w:afterAutospacing="0" w:line="360" w:lineRule="auto"/>
              <w:ind w:left="0" w:right="0"/>
              <w:jc w:val="center"/>
              <w:rPr>
                <w:rFonts w:hint="default" w:ascii="宋体" w:hAnsi="宋体" w:cs="宋体"/>
                <w:b/>
                <w:bCs/>
                <w:color w:val="auto"/>
                <w:kern w:val="0"/>
                <w:sz w:val="24"/>
                <w:highlight w:val="none"/>
              </w:rPr>
            </w:pPr>
            <w:r>
              <w:rPr>
                <w:rFonts w:hint="eastAsia" w:ascii="宋体" w:hAnsi="宋体" w:cs="宋体"/>
                <w:b/>
                <w:bCs/>
                <w:color w:val="auto"/>
                <w:kern w:val="0"/>
                <w:sz w:val="24"/>
                <w:highlight w:val="none"/>
              </w:rPr>
              <w:t>直接控股股东名称</w:t>
            </w:r>
          </w:p>
        </w:tc>
        <w:tc>
          <w:tcPr>
            <w:tcW w:w="1239" w:type="dxa"/>
            <w:tcBorders>
              <w:top w:val="single" w:color="auto" w:sz="4" w:space="0"/>
              <w:left w:val="single" w:color="auto" w:sz="4" w:space="0"/>
              <w:bottom w:val="single" w:color="auto" w:sz="4" w:space="0"/>
              <w:right w:val="single" w:color="auto" w:sz="4" w:space="0"/>
            </w:tcBorders>
            <w:shd w:val="clear" w:color="auto" w:fill="EAE3D8"/>
            <w:tcMar>
              <w:top w:w="120" w:type="dxa"/>
              <w:left w:w="120" w:type="dxa"/>
              <w:bottom w:w="120" w:type="dxa"/>
              <w:right w:w="120" w:type="dxa"/>
            </w:tcMar>
            <w:vAlign w:val="center"/>
          </w:tcPr>
          <w:p w14:paraId="0F7D33DC">
            <w:pPr>
              <w:keepNext w:val="0"/>
              <w:keepLines w:val="0"/>
              <w:suppressLineNumbers w:val="0"/>
              <w:spacing w:before="0" w:beforeAutospacing="0" w:after="0" w:afterAutospacing="0" w:line="360" w:lineRule="auto"/>
              <w:ind w:left="0" w:right="0"/>
              <w:jc w:val="center"/>
              <w:rPr>
                <w:rFonts w:hint="default" w:ascii="宋体" w:hAnsi="宋体" w:cs="宋体"/>
                <w:b/>
                <w:bCs/>
                <w:color w:val="auto"/>
                <w:kern w:val="0"/>
                <w:sz w:val="24"/>
                <w:highlight w:val="none"/>
              </w:rPr>
            </w:pPr>
            <w:r>
              <w:rPr>
                <w:rFonts w:hint="eastAsia" w:ascii="宋体" w:hAnsi="宋体" w:cs="宋体"/>
                <w:b/>
                <w:bCs/>
                <w:color w:val="auto"/>
                <w:kern w:val="0"/>
                <w:sz w:val="24"/>
                <w:highlight w:val="none"/>
              </w:rPr>
              <w:t>出资比例</w:t>
            </w:r>
          </w:p>
        </w:tc>
        <w:tc>
          <w:tcPr>
            <w:tcW w:w="3722" w:type="dxa"/>
            <w:tcBorders>
              <w:top w:val="single" w:color="auto" w:sz="4" w:space="0"/>
              <w:left w:val="single" w:color="auto" w:sz="4" w:space="0"/>
              <w:bottom w:val="single" w:color="auto" w:sz="4" w:space="0"/>
              <w:right w:val="single" w:color="auto" w:sz="4" w:space="0"/>
            </w:tcBorders>
            <w:shd w:val="clear" w:color="auto" w:fill="EAE3D8"/>
            <w:tcMar>
              <w:top w:w="120" w:type="dxa"/>
              <w:left w:w="120" w:type="dxa"/>
              <w:bottom w:w="120" w:type="dxa"/>
              <w:right w:w="120" w:type="dxa"/>
            </w:tcMar>
            <w:vAlign w:val="center"/>
          </w:tcPr>
          <w:p w14:paraId="6EDA59C5">
            <w:pPr>
              <w:keepNext w:val="0"/>
              <w:keepLines w:val="0"/>
              <w:suppressLineNumbers w:val="0"/>
              <w:spacing w:before="0" w:beforeAutospacing="0" w:after="0" w:afterAutospacing="0" w:line="360" w:lineRule="auto"/>
              <w:ind w:left="0" w:right="0"/>
              <w:jc w:val="center"/>
              <w:rPr>
                <w:rFonts w:hint="default" w:ascii="宋体" w:hAnsi="宋体" w:cs="宋体"/>
                <w:b/>
                <w:bCs/>
                <w:color w:val="auto"/>
                <w:kern w:val="0"/>
                <w:sz w:val="24"/>
                <w:highlight w:val="none"/>
              </w:rPr>
            </w:pPr>
            <w:r>
              <w:rPr>
                <w:rFonts w:hint="eastAsia" w:ascii="宋体" w:hAnsi="宋体" w:cs="宋体"/>
                <w:b/>
                <w:bCs/>
                <w:color w:val="auto"/>
                <w:kern w:val="0"/>
                <w:sz w:val="24"/>
                <w:highlight w:val="none"/>
              </w:rPr>
              <w:t>身份证号码或者统一社会信用代码</w:t>
            </w:r>
          </w:p>
        </w:tc>
        <w:tc>
          <w:tcPr>
            <w:tcW w:w="1418" w:type="dxa"/>
            <w:tcBorders>
              <w:top w:val="single" w:color="auto" w:sz="4" w:space="0"/>
              <w:left w:val="single" w:color="auto" w:sz="4" w:space="0"/>
              <w:bottom w:val="single" w:color="auto" w:sz="4" w:space="0"/>
              <w:right w:val="single" w:color="auto" w:sz="4" w:space="0"/>
            </w:tcBorders>
            <w:shd w:val="clear" w:color="auto" w:fill="EAE3D8"/>
            <w:tcMar>
              <w:top w:w="120" w:type="dxa"/>
              <w:left w:w="120" w:type="dxa"/>
              <w:bottom w:w="120" w:type="dxa"/>
              <w:right w:w="120" w:type="dxa"/>
            </w:tcMar>
            <w:vAlign w:val="center"/>
          </w:tcPr>
          <w:p w14:paraId="536B7690">
            <w:pPr>
              <w:keepNext w:val="0"/>
              <w:keepLines w:val="0"/>
              <w:suppressLineNumbers w:val="0"/>
              <w:spacing w:before="0" w:beforeAutospacing="0" w:after="0" w:afterAutospacing="0" w:line="360" w:lineRule="auto"/>
              <w:ind w:left="0" w:right="0"/>
              <w:jc w:val="center"/>
              <w:rPr>
                <w:rFonts w:hint="default" w:ascii="宋体" w:hAnsi="宋体" w:cs="宋体"/>
                <w:b/>
                <w:bCs/>
                <w:color w:val="auto"/>
                <w:kern w:val="0"/>
                <w:sz w:val="24"/>
                <w:highlight w:val="none"/>
              </w:rPr>
            </w:pPr>
            <w:r>
              <w:rPr>
                <w:rFonts w:hint="eastAsia" w:ascii="宋体" w:hAnsi="宋体" w:cs="宋体"/>
                <w:b/>
                <w:bCs/>
                <w:color w:val="auto"/>
                <w:kern w:val="0"/>
                <w:sz w:val="24"/>
                <w:highlight w:val="none"/>
              </w:rPr>
              <w:t>备注</w:t>
            </w:r>
          </w:p>
        </w:tc>
      </w:tr>
      <w:tr w14:paraId="3B427046">
        <w:tblPrEx>
          <w:shd w:val="clear" w:color="auto" w:fill="FBFBFB"/>
          <w:tblCellMar>
            <w:top w:w="0" w:type="dxa"/>
            <w:left w:w="0" w:type="dxa"/>
            <w:bottom w:w="0" w:type="dxa"/>
            <w:right w:w="0" w:type="dxa"/>
          </w:tblCellMar>
        </w:tblPrEx>
        <w:tc>
          <w:tcPr>
            <w:tcW w:w="828"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24383A16">
            <w:pPr>
              <w:keepNext w:val="0"/>
              <w:keepLines w:val="0"/>
              <w:suppressLineNumbers w:val="0"/>
              <w:spacing w:before="0" w:beforeAutospacing="0" w:after="0" w:afterAutospacing="0" w:line="360" w:lineRule="auto"/>
              <w:ind w:left="0" w:right="0"/>
              <w:jc w:val="center"/>
              <w:rPr>
                <w:rFonts w:hint="default" w:ascii="宋体" w:hAnsi="宋体" w:cs="宋体"/>
                <w:color w:val="auto"/>
                <w:kern w:val="0"/>
                <w:sz w:val="24"/>
                <w:highlight w:val="none"/>
              </w:rPr>
            </w:pPr>
            <w:r>
              <w:rPr>
                <w:rFonts w:hint="eastAsia" w:ascii="宋体" w:hAnsi="宋体" w:cs="宋体"/>
                <w:color w:val="auto"/>
                <w:kern w:val="0"/>
                <w:sz w:val="24"/>
                <w:highlight w:val="none"/>
              </w:rPr>
              <w:t>1</w:t>
            </w:r>
          </w:p>
        </w:tc>
        <w:tc>
          <w:tcPr>
            <w:tcW w:w="2269"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36C03A19">
            <w:pPr>
              <w:keepNext w:val="0"/>
              <w:keepLines w:val="0"/>
              <w:suppressLineNumbers w:val="0"/>
              <w:spacing w:before="0" w:beforeAutospacing="0" w:after="0" w:afterAutospacing="0" w:line="360" w:lineRule="auto"/>
              <w:ind w:left="0" w:right="0"/>
              <w:jc w:val="center"/>
              <w:rPr>
                <w:rFonts w:hint="default" w:ascii="宋体" w:hAnsi="宋体" w:cs="宋体"/>
                <w:color w:val="auto"/>
                <w:kern w:val="0"/>
                <w:sz w:val="24"/>
                <w:highlight w:val="none"/>
              </w:rPr>
            </w:pPr>
          </w:p>
        </w:tc>
        <w:tc>
          <w:tcPr>
            <w:tcW w:w="1239"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3BBB846C">
            <w:pPr>
              <w:keepNext w:val="0"/>
              <w:keepLines w:val="0"/>
              <w:suppressLineNumbers w:val="0"/>
              <w:spacing w:before="0" w:beforeAutospacing="0" w:after="0" w:afterAutospacing="0" w:line="360" w:lineRule="auto"/>
              <w:ind w:left="0" w:right="0"/>
              <w:jc w:val="center"/>
              <w:rPr>
                <w:rFonts w:hint="default" w:ascii="宋体" w:hAnsi="宋体" w:cs="宋体"/>
                <w:color w:val="auto"/>
                <w:kern w:val="0"/>
                <w:sz w:val="24"/>
                <w:highlight w:val="none"/>
              </w:rPr>
            </w:pPr>
          </w:p>
        </w:tc>
        <w:tc>
          <w:tcPr>
            <w:tcW w:w="3722"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7A06212C">
            <w:pPr>
              <w:keepNext w:val="0"/>
              <w:keepLines w:val="0"/>
              <w:suppressLineNumbers w:val="0"/>
              <w:spacing w:before="0" w:beforeAutospacing="0" w:after="0" w:afterAutospacing="0" w:line="360" w:lineRule="auto"/>
              <w:ind w:left="0" w:right="0"/>
              <w:jc w:val="center"/>
              <w:rPr>
                <w:rFonts w:hint="default" w:ascii="宋体" w:hAnsi="宋体" w:cs="宋体"/>
                <w:color w:val="auto"/>
                <w:kern w:val="0"/>
                <w:sz w:val="24"/>
                <w:highlight w:val="none"/>
              </w:rPr>
            </w:pPr>
          </w:p>
        </w:tc>
        <w:tc>
          <w:tcPr>
            <w:tcW w:w="1418"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45237D49">
            <w:pPr>
              <w:keepNext w:val="0"/>
              <w:keepLines w:val="0"/>
              <w:suppressLineNumbers w:val="0"/>
              <w:spacing w:before="0" w:beforeAutospacing="0" w:after="0" w:afterAutospacing="0" w:line="360" w:lineRule="auto"/>
              <w:ind w:left="0" w:right="0"/>
              <w:jc w:val="center"/>
              <w:rPr>
                <w:rFonts w:hint="default" w:ascii="宋体" w:hAnsi="宋体" w:cs="宋体"/>
                <w:color w:val="auto"/>
                <w:kern w:val="0"/>
                <w:sz w:val="24"/>
                <w:highlight w:val="none"/>
              </w:rPr>
            </w:pPr>
          </w:p>
        </w:tc>
      </w:tr>
      <w:tr w14:paraId="51FACC07">
        <w:tblPrEx>
          <w:shd w:val="clear" w:color="auto" w:fill="FBFBFB"/>
          <w:tblCellMar>
            <w:top w:w="0" w:type="dxa"/>
            <w:left w:w="0" w:type="dxa"/>
            <w:bottom w:w="0" w:type="dxa"/>
            <w:right w:w="0" w:type="dxa"/>
          </w:tblCellMar>
        </w:tblPrEx>
        <w:tc>
          <w:tcPr>
            <w:tcW w:w="828"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34A73D1D">
            <w:pPr>
              <w:keepNext w:val="0"/>
              <w:keepLines w:val="0"/>
              <w:suppressLineNumbers w:val="0"/>
              <w:spacing w:before="0" w:beforeAutospacing="0" w:after="0" w:afterAutospacing="0" w:line="360" w:lineRule="auto"/>
              <w:ind w:left="0" w:right="0"/>
              <w:jc w:val="center"/>
              <w:rPr>
                <w:rFonts w:hint="default" w:ascii="宋体" w:hAnsi="宋体" w:cs="宋体"/>
                <w:color w:val="auto"/>
                <w:kern w:val="0"/>
                <w:sz w:val="24"/>
                <w:highlight w:val="none"/>
              </w:rPr>
            </w:pPr>
            <w:r>
              <w:rPr>
                <w:rFonts w:hint="eastAsia" w:ascii="宋体" w:hAnsi="宋体" w:cs="宋体"/>
                <w:color w:val="auto"/>
                <w:kern w:val="0"/>
                <w:sz w:val="24"/>
                <w:highlight w:val="none"/>
              </w:rPr>
              <w:t>2</w:t>
            </w:r>
          </w:p>
        </w:tc>
        <w:tc>
          <w:tcPr>
            <w:tcW w:w="2269"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6BBF585B">
            <w:pPr>
              <w:keepNext w:val="0"/>
              <w:keepLines w:val="0"/>
              <w:suppressLineNumbers w:val="0"/>
              <w:spacing w:before="0" w:beforeAutospacing="0" w:after="0" w:afterAutospacing="0" w:line="360" w:lineRule="auto"/>
              <w:ind w:left="0" w:right="0"/>
              <w:jc w:val="center"/>
              <w:rPr>
                <w:rFonts w:hint="default" w:ascii="宋体" w:hAnsi="宋体" w:cs="宋体"/>
                <w:color w:val="auto"/>
                <w:kern w:val="0"/>
                <w:sz w:val="24"/>
                <w:highlight w:val="none"/>
              </w:rPr>
            </w:pPr>
          </w:p>
        </w:tc>
        <w:tc>
          <w:tcPr>
            <w:tcW w:w="1239"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5087BCD4">
            <w:pPr>
              <w:keepNext w:val="0"/>
              <w:keepLines w:val="0"/>
              <w:suppressLineNumbers w:val="0"/>
              <w:spacing w:before="0" w:beforeAutospacing="0" w:after="0" w:afterAutospacing="0" w:line="360" w:lineRule="auto"/>
              <w:ind w:left="0" w:right="0"/>
              <w:jc w:val="center"/>
              <w:rPr>
                <w:rFonts w:hint="default" w:ascii="宋体" w:hAnsi="宋体" w:cs="宋体"/>
                <w:color w:val="auto"/>
                <w:kern w:val="0"/>
                <w:sz w:val="24"/>
                <w:highlight w:val="none"/>
              </w:rPr>
            </w:pPr>
          </w:p>
        </w:tc>
        <w:tc>
          <w:tcPr>
            <w:tcW w:w="3722"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3217392C">
            <w:pPr>
              <w:keepNext w:val="0"/>
              <w:keepLines w:val="0"/>
              <w:suppressLineNumbers w:val="0"/>
              <w:spacing w:before="0" w:beforeAutospacing="0" w:after="0" w:afterAutospacing="0" w:line="360" w:lineRule="auto"/>
              <w:ind w:left="0" w:right="0"/>
              <w:jc w:val="center"/>
              <w:rPr>
                <w:rFonts w:hint="default" w:ascii="宋体" w:hAnsi="宋体" w:cs="宋体"/>
                <w:color w:val="auto"/>
                <w:kern w:val="0"/>
                <w:sz w:val="24"/>
                <w:highlight w:val="none"/>
              </w:rPr>
            </w:pPr>
          </w:p>
        </w:tc>
        <w:tc>
          <w:tcPr>
            <w:tcW w:w="1418"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0CAD0A63">
            <w:pPr>
              <w:keepNext w:val="0"/>
              <w:keepLines w:val="0"/>
              <w:suppressLineNumbers w:val="0"/>
              <w:spacing w:before="0" w:beforeAutospacing="0" w:after="0" w:afterAutospacing="0" w:line="360" w:lineRule="auto"/>
              <w:ind w:left="0" w:right="0"/>
              <w:jc w:val="center"/>
              <w:rPr>
                <w:rFonts w:hint="default" w:ascii="宋体" w:hAnsi="宋体" w:cs="宋体"/>
                <w:color w:val="auto"/>
                <w:kern w:val="0"/>
                <w:sz w:val="24"/>
                <w:highlight w:val="none"/>
              </w:rPr>
            </w:pPr>
          </w:p>
        </w:tc>
      </w:tr>
      <w:tr w14:paraId="260341D4">
        <w:tblPrEx>
          <w:shd w:val="clear" w:color="auto" w:fill="FBFBFB"/>
          <w:tblCellMar>
            <w:top w:w="0" w:type="dxa"/>
            <w:left w:w="0" w:type="dxa"/>
            <w:bottom w:w="0" w:type="dxa"/>
            <w:right w:w="0" w:type="dxa"/>
          </w:tblCellMar>
        </w:tblPrEx>
        <w:tc>
          <w:tcPr>
            <w:tcW w:w="828"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3333DBE2">
            <w:pPr>
              <w:keepNext w:val="0"/>
              <w:keepLines w:val="0"/>
              <w:suppressLineNumbers w:val="0"/>
              <w:spacing w:before="0" w:beforeAutospacing="0" w:after="0" w:afterAutospacing="0" w:line="360" w:lineRule="auto"/>
              <w:ind w:left="0" w:right="0"/>
              <w:jc w:val="center"/>
              <w:rPr>
                <w:rFonts w:hint="default" w:ascii="宋体" w:hAnsi="宋体" w:cs="宋体"/>
                <w:color w:val="auto"/>
                <w:kern w:val="0"/>
                <w:sz w:val="24"/>
                <w:highlight w:val="none"/>
              </w:rPr>
            </w:pPr>
            <w:r>
              <w:rPr>
                <w:rFonts w:hint="eastAsia" w:ascii="宋体" w:hAnsi="宋体" w:cs="宋体"/>
                <w:color w:val="auto"/>
                <w:kern w:val="0"/>
                <w:sz w:val="24"/>
                <w:highlight w:val="none"/>
              </w:rPr>
              <w:t>3</w:t>
            </w:r>
          </w:p>
        </w:tc>
        <w:tc>
          <w:tcPr>
            <w:tcW w:w="2269"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75F91E04">
            <w:pPr>
              <w:keepNext w:val="0"/>
              <w:keepLines w:val="0"/>
              <w:suppressLineNumbers w:val="0"/>
              <w:spacing w:before="0" w:beforeAutospacing="0" w:after="0" w:afterAutospacing="0" w:line="360" w:lineRule="auto"/>
              <w:ind w:left="0" w:right="0"/>
              <w:jc w:val="center"/>
              <w:rPr>
                <w:rFonts w:hint="default" w:ascii="宋体" w:hAnsi="宋体" w:cs="宋体"/>
                <w:color w:val="auto"/>
                <w:kern w:val="0"/>
                <w:sz w:val="24"/>
                <w:highlight w:val="none"/>
              </w:rPr>
            </w:pPr>
          </w:p>
        </w:tc>
        <w:tc>
          <w:tcPr>
            <w:tcW w:w="1239"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7C0C9327">
            <w:pPr>
              <w:keepNext w:val="0"/>
              <w:keepLines w:val="0"/>
              <w:suppressLineNumbers w:val="0"/>
              <w:spacing w:before="0" w:beforeAutospacing="0" w:after="0" w:afterAutospacing="0" w:line="360" w:lineRule="auto"/>
              <w:ind w:left="0" w:right="0"/>
              <w:jc w:val="center"/>
              <w:rPr>
                <w:rFonts w:hint="default" w:ascii="宋体" w:hAnsi="宋体" w:cs="宋体"/>
                <w:color w:val="auto"/>
                <w:kern w:val="0"/>
                <w:sz w:val="24"/>
                <w:highlight w:val="none"/>
              </w:rPr>
            </w:pPr>
          </w:p>
        </w:tc>
        <w:tc>
          <w:tcPr>
            <w:tcW w:w="3722"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6502FA26">
            <w:pPr>
              <w:keepNext w:val="0"/>
              <w:keepLines w:val="0"/>
              <w:suppressLineNumbers w:val="0"/>
              <w:spacing w:before="0" w:beforeAutospacing="0" w:after="0" w:afterAutospacing="0" w:line="360" w:lineRule="auto"/>
              <w:ind w:left="0" w:right="0"/>
              <w:jc w:val="center"/>
              <w:rPr>
                <w:rFonts w:hint="default" w:ascii="宋体" w:hAnsi="宋体" w:cs="宋体"/>
                <w:color w:val="auto"/>
                <w:kern w:val="0"/>
                <w:sz w:val="24"/>
                <w:highlight w:val="none"/>
              </w:rPr>
            </w:pPr>
          </w:p>
        </w:tc>
        <w:tc>
          <w:tcPr>
            <w:tcW w:w="1418"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610DB607">
            <w:pPr>
              <w:keepNext w:val="0"/>
              <w:keepLines w:val="0"/>
              <w:suppressLineNumbers w:val="0"/>
              <w:spacing w:before="0" w:beforeAutospacing="0" w:after="0" w:afterAutospacing="0" w:line="360" w:lineRule="auto"/>
              <w:ind w:left="0" w:right="0"/>
              <w:jc w:val="center"/>
              <w:rPr>
                <w:rFonts w:hint="default" w:ascii="宋体" w:hAnsi="宋体" w:cs="宋体"/>
                <w:color w:val="auto"/>
                <w:kern w:val="0"/>
                <w:sz w:val="24"/>
                <w:highlight w:val="none"/>
              </w:rPr>
            </w:pPr>
          </w:p>
        </w:tc>
      </w:tr>
      <w:tr w14:paraId="027D72A1">
        <w:tblPrEx>
          <w:shd w:val="clear" w:color="auto" w:fill="FBFBFB"/>
          <w:tblCellMar>
            <w:top w:w="0" w:type="dxa"/>
            <w:left w:w="0" w:type="dxa"/>
            <w:bottom w:w="0" w:type="dxa"/>
            <w:right w:w="0" w:type="dxa"/>
          </w:tblCellMar>
        </w:tblPrEx>
        <w:tc>
          <w:tcPr>
            <w:tcW w:w="828"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0BBEBFC0">
            <w:pPr>
              <w:keepNext w:val="0"/>
              <w:keepLines w:val="0"/>
              <w:suppressLineNumbers w:val="0"/>
              <w:spacing w:before="0" w:beforeAutospacing="0" w:after="0" w:afterAutospacing="0" w:line="360" w:lineRule="auto"/>
              <w:ind w:left="0" w:right="0"/>
              <w:jc w:val="center"/>
              <w:rPr>
                <w:rFonts w:hint="default" w:ascii="宋体" w:hAnsi="宋体" w:cs="宋体"/>
                <w:color w:val="auto"/>
                <w:kern w:val="0"/>
                <w:sz w:val="24"/>
                <w:highlight w:val="none"/>
              </w:rPr>
            </w:pPr>
            <w:r>
              <w:rPr>
                <w:rFonts w:hint="eastAsia" w:ascii="宋体" w:hAnsi="宋体" w:cs="宋体"/>
                <w:color w:val="auto"/>
                <w:kern w:val="0"/>
                <w:sz w:val="24"/>
                <w:highlight w:val="none"/>
              </w:rPr>
              <w:t>……</w:t>
            </w:r>
          </w:p>
        </w:tc>
        <w:tc>
          <w:tcPr>
            <w:tcW w:w="2269"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1A1E50BB">
            <w:pPr>
              <w:keepNext w:val="0"/>
              <w:keepLines w:val="0"/>
              <w:suppressLineNumbers w:val="0"/>
              <w:spacing w:before="0" w:beforeAutospacing="0" w:after="0" w:afterAutospacing="0" w:line="360" w:lineRule="auto"/>
              <w:ind w:left="0" w:right="0"/>
              <w:jc w:val="center"/>
              <w:rPr>
                <w:rFonts w:hint="default" w:ascii="宋体" w:hAnsi="宋体" w:cs="宋体"/>
                <w:color w:val="auto"/>
                <w:kern w:val="0"/>
                <w:sz w:val="24"/>
                <w:highlight w:val="none"/>
              </w:rPr>
            </w:pPr>
          </w:p>
        </w:tc>
        <w:tc>
          <w:tcPr>
            <w:tcW w:w="1239"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0A4BD69B">
            <w:pPr>
              <w:keepNext w:val="0"/>
              <w:keepLines w:val="0"/>
              <w:suppressLineNumbers w:val="0"/>
              <w:spacing w:before="0" w:beforeAutospacing="0" w:after="0" w:afterAutospacing="0" w:line="360" w:lineRule="auto"/>
              <w:ind w:left="0" w:right="0"/>
              <w:jc w:val="center"/>
              <w:rPr>
                <w:rFonts w:hint="default" w:ascii="宋体" w:hAnsi="宋体" w:cs="宋体"/>
                <w:color w:val="auto"/>
                <w:kern w:val="0"/>
                <w:sz w:val="24"/>
                <w:highlight w:val="none"/>
              </w:rPr>
            </w:pPr>
          </w:p>
        </w:tc>
        <w:tc>
          <w:tcPr>
            <w:tcW w:w="3722"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16D101B5">
            <w:pPr>
              <w:keepNext w:val="0"/>
              <w:keepLines w:val="0"/>
              <w:suppressLineNumbers w:val="0"/>
              <w:spacing w:before="0" w:beforeAutospacing="0" w:after="0" w:afterAutospacing="0" w:line="360" w:lineRule="auto"/>
              <w:ind w:left="0" w:right="0"/>
              <w:jc w:val="center"/>
              <w:rPr>
                <w:rFonts w:hint="default" w:ascii="宋体" w:hAnsi="宋体" w:cs="宋体"/>
                <w:color w:val="auto"/>
                <w:kern w:val="0"/>
                <w:sz w:val="24"/>
                <w:highlight w:val="none"/>
              </w:rPr>
            </w:pPr>
          </w:p>
        </w:tc>
        <w:tc>
          <w:tcPr>
            <w:tcW w:w="1418"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6663AB6D">
            <w:pPr>
              <w:keepNext w:val="0"/>
              <w:keepLines w:val="0"/>
              <w:suppressLineNumbers w:val="0"/>
              <w:spacing w:before="0" w:beforeAutospacing="0" w:after="0" w:afterAutospacing="0" w:line="360" w:lineRule="auto"/>
              <w:ind w:left="0" w:right="0"/>
              <w:jc w:val="center"/>
              <w:rPr>
                <w:rFonts w:hint="default" w:ascii="宋体" w:hAnsi="宋体" w:cs="宋体"/>
                <w:color w:val="auto"/>
                <w:kern w:val="0"/>
                <w:sz w:val="24"/>
                <w:highlight w:val="none"/>
              </w:rPr>
            </w:pPr>
          </w:p>
        </w:tc>
      </w:tr>
    </w:tbl>
    <w:p w14:paraId="6B7DCF69">
      <w:pPr>
        <w:snapToGrid w:val="0"/>
        <w:spacing w:line="360" w:lineRule="auto"/>
        <w:jc w:val="left"/>
        <w:rPr>
          <w:rFonts w:ascii="宋体" w:hAnsi="宋体"/>
          <w:color w:val="auto"/>
          <w:sz w:val="24"/>
          <w:highlight w:val="none"/>
        </w:rPr>
      </w:pPr>
      <w:r>
        <w:rPr>
          <w:rFonts w:hint="eastAsia" w:ascii="宋体" w:hAnsi="宋体"/>
          <w:color w:val="auto"/>
          <w:sz w:val="24"/>
          <w:highlight w:val="none"/>
        </w:rPr>
        <w:t>注：</w:t>
      </w:r>
    </w:p>
    <w:p w14:paraId="7365F4B8">
      <w:pPr>
        <w:snapToGrid w:val="0"/>
        <w:spacing w:line="360" w:lineRule="auto"/>
        <w:jc w:val="left"/>
        <w:rPr>
          <w:rFonts w:ascii="宋体" w:hAnsi="宋体"/>
          <w:color w:val="auto"/>
          <w:sz w:val="24"/>
          <w:highlight w:val="none"/>
        </w:rPr>
      </w:pPr>
      <w:r>
        <w:rPr>
          <w:rFonts w:hint="eastAsia" w:ascii="宋体" w:hAnsi="宋体"/>
          <w:color w:val="auto"/>
          <w:sz w:val="24"/>
          <w:highlight w:val="none"/>
        </w:rPr>
        <w:t>1.直接控股股东：是指其出资额占有限责任公司资本总额百分之五十以上或者其持有的股份占股份有限公司股份总额百分之五十以上的股东；出资额或者持有股份的比例虽然不足百分之五十，但依其出资额或者持有的股份所享有的表决权已足以对股东会、股东大会的决议产生重大影响的股东。</w:t>
      </w:r>
    </w:p>
    <w:p w14:paraId="6E7FF9CE">
      <w:pPr>
        <w:snapToGrid w:val="0"/>
        <w:spacing w:line="360" w:lineRule="auto"/>
        <w:jc w:val="left"/>
        <w:rPr>
          <w:rFonts w:ascii="宋体" w:hAnsi="宋体"/>
          <w:color w:val="auto"/>
          <w:sz w:val="24"/>
          <w:highlight w:val="none"/>
        </w:rPr>
      </w:pPr>
      <w:r>
        <w:rPr>
          <w:rFonts w:hint="eastAsia" w:ascii="宋体" w:hAnsi="宋体"/>
          <w:color w:val="auto"/>
          <w:sz w:val="24"/>
          <w:highlight w:val="none"/>
        </w:rPr>
        <w:t>2.本表所指的控股关系仅限于直接控股关系，不包括间接的控股关系。公司实际控制人与公司之间的关系不属于本表所指的直接控股关系。</w:t>
      </w:r>
    </w:p>
    <w:p w14:paraId="39ED8FC8">
      <w:pPr>
        <w:snapToGrid w:val="0"/>
        <w:spacing w:line="360" w:lineRule="auto"/>
        <w:jc w:val="left"/>
        <w:rPr>
          <w:rFonts w:ascii="宋体" w:hAnsi="宋体"/>
          <w:color w:val="auto"/>
          <w:sz w:val="24"/>
          <w:highlight w:val="none"/>
        </w:rPr>
      </w:pPr>
      <w:r>
        <w:rPr>
          <w:rFonts w:hint="eastAsia" w:ascii="宋体" w:hAnsi="宋体"/>
          <w:color w:val="auto"/>
          <w:sz w:val="24"/>
          <w:highlight w:val="none"/>
        </w:rPr>
        <w:t>3.供应商不存在直接控股股东的，则填“无”。</w:t>
      </w:r>
    </w:p>
    <w:p w14:paraId="1E027E2D">
      <w:pPr>
        <w:snapToGrid w:val="0"/>
        <w:spacing w:line="360" w:lineRule="auto"/>
        <w:jc w:val="left"/>
        <w:rPr>
          <w:rFonts w:ascii="宋体" w:hAnsi="宋体"/>
          <w:color w:val="auto"/>
          <w:sz w:val="24"/>
          <w:highlight w:val="none"/>
        </w:rPr>
      </w:pPr>
    </w:p>
    <w:p w14:paraId="200CEA8D">
      <w:pPr>
        <w:snapToGrid w:val="0"/>
        <w:spacing w:line="360" w:lineRule="auto"/>
        <w:jc w:val="left"/>
        <w:rPr>
          <w:rFonts w:ascii="宋体" w:hAnsi="宋体"/>
          <w:color w:val="auto"/>
          <w:sz w:val="24"/>
          <w:highlight w:val="none"/>
        </w:rPr>
      </w:pPr>
    </w:p>
    <w:p w14:paraId="408DE69D">
      <w:pPr>
        <w:snapToGrid w:val="0"/>
        <w:spacing w:line="360" w:lineRule="auto"/>
        <w:jc w:val="left"/>
        <w:rPr>
          <w:rFonts w:ascii="宋体" w:hAnsi="宋体"/>
          <w:color w:val="auto"/>
          <w:sz w:val="24"/>
          <w:highlight w:val="none"/>
        </w:rPr>
      </w:pPr>
    </w:p>
    <w:p w14:paraId="2D5462AF">
      <w:pPr>
        <w:snapToGrid w:val="0"/>
        <w:spacing w:line="360" w:lineRule="auto"/>
        <w:jc w:val="left"/>
        <w:rPr>
          <w:rFonts w:ascii="宋体" w:hAnsi="宋体"/>
          <w:color w:val="auto"/>
          <w:sz w:val="24"/>
          <w:highlight w:val="none"/>
        </w:rPr>
      </w:pPr>
    </w:p>
    <w:p w14:paraId="45A40363">
      <w:pPr>
        <w:snapToGrid w:val="0"/>
        <w:spacing w:line="360" w:lineRule="auto"/>
        <w:jc w:val="left"/>
        <w:rPr>
          <w:rFonts w:ascii="宋体" w:hAnsi="宋体"/>
          <w:color w:val="auto"/>
          <w:sz w:val="24"/>
          <w:highlight w:val="none"/>
        </w:rPr>
      </w:pPr>
    </w:p>
    <w:p w14:paraId="6D8F79F4">
      <w:pPr>
        <w:snapToGrid w:val="0"/>
        <w:spacing w:line="360" w:lineRule="auto"/>
        <w:ind w:firstLine="5040" w:firstLineChars="2100"/>
        <w:rPr>
          <w:rFonts w:ascii="方正仿宋_GB2312" w:hAnsi="仿宋" w:eastAsia="方正仿宋_GB2312" w:cs="方正仿宋_GB2312"/>
          <w:color w:val="auto"/>
          <w:kern w:val="0"/>
          <w:sz w:val="24"/>
          <w:highlight w:val="none"/>
        </w:rPr>
      </w:pPr>
      <w:r>
        <w:rPr>
          <w:rFonts w:hint="eastAsia" w:ascii="方正仿宋_GB2312" w:hAnsi="仿宋" w:eastAsia="方正仿宋_GB2312" w:cs="方正仿宋_GB2312"/>
          <w:color w:val="auto"/>
          <w:kern w:val="0"/>
          <w:sz w:val="24"/>
          <w:highlight w:val="none"/>
          <w:lang w:val="zh-CN"/>
        </w:rPr>
        <w:t>投标人名称(电子签章)：</w:t>
      </w:r>
    </w:p>
    <w:p w14:paraId="2F1A5ECF">
      <w:pPr>
        <w:snapToGrid w:val="0"/>
        <w:spacing w:line="360" w:lineRule="auto"/>
        <w:ind w:firstLine="5160" w:firstLineChars="2150"/>
        <w:rPr>
          <w:rFonts w:ascii="方正仿宋_GB2312" w:hAnsi="仿宋" w:eastAsia="方正仿宋_GB2312" w:cs="方正仿宋_GB2312"/>
          <w:color w:val="auto"/>
          <w:kern w:val="0"/>
          <w:sz w:val="24"/>
          <w:highlight w:val="none"/>
          <w:lang w:val="zh-CN"/>
        </w:rPr>
      </w:pPr>
      <w:r>
        <w:rPr>
          <w:rFonts w:hint="eastAsia" w:ascii="方正仿宋_GB2312" w:hAnsi="仿宋" w:eastAsia="方正仿宋_GB2312" w:cs="方正仿宋_GB2312"/>
          <w:color w:val="auto"/>
          <w:kern w:val="0"/>
          <w:sz w:val="24"/>
          <w:highlight w:val="none"/>
          <w:lang w:val="zh-CN"/>
        </w:rPr>
        <w:t>日期</w:t>
      </w:r>
      <w:r>
        <w:rPr>
          <w:rFonts w:hint="eastAsia" w:ascii="方正仿宋_GB2312" w:hAnsi="仿宋" w:eastAsia="方正仿宋_GB2312" w:cs="方正仿宋_GB2312"/>
          <w:color w:val="auto"/>
          <w:kern w:val="0"/>
          <w:sz w:val="24"/>
          <w:highlight w:val="none"/>
        </w:rPr>
        <w:t xml:space="preserve">：  年  </w:t>
      </w:r>
      <w:r>
        <w:rPr>
          <w:rFonts w:hint="eastAsia" w:ascii="方正仿宋_GB2312" w:hAnsi="仿宋" w:eastAsia="方正仿宋_GB2312" w:cs="方正仿宋_GB2312"/>
          <w:color w:val="auto"/>
          <w:kern w:val="0"/>
          <w:sz w:val="24"/>
          <w:highlight w:val="none"/>
          <w:lang w:val="zh-CN"/>
        </w:rPr>
        <w:t>月日</w:t>
      </w:r>
    </w:p>
    <w:p w14:paraId="5EC77018">
      <w:pPr>
        <w:snapToGrid w:val="0"/>
        <w:jc w:val="center"/>
        <w:rPr>
          <w:rFonts w:ascii="宋体" w:hAnsi="宋体"/>
          <w:b/>
          <w:color w:val="auto"/>
          <w:sz w:val="28"/>
          <w:szCs w:val="28"/>
          <w:highlight w:val="none"/>
        </w:rPr>
      </w:pPr>
      <w:r>
        <w:rPr>
          <w:rFonts w:hint="eastAsia" w:ascii="宋体" w:hAnsi="宋体"/>
          <w:b/>
          <w:color w:val="auto"/>
          <w:sz w:val="28"/>
          <w:szCs w:val="28"/>
          <w:highlight w:val="none"/>
        </w:rPr>
        <w:br w:type="page"/>
      </w:r>
    </w:p>
    <w:p w14:paraId="200DB128">
      <w:pPr>
        <w:snapToGrid w:val="0"/>
        <w:spacing w:line="360" w:lineRule="auto"/>
        <w:jc w:val="center"/>
        <w:rPr>
          <w:rFonts w:ascii="宋体" w:hAnsi="宋体"/>
          <w:color w:val="auto"/>
          <w:sz w:val="32"/>
          <w:szCs w:val="32"/>
          <w:highlight w:val="none"/>
        </w:rPr>
      </w:pPr>
      <w:r>
        <w:rPr>
          <w:rFonts w:hint="eastAsia" w:ascii="宋体" w:hAnsi="宋体"/>
          <w:b/>
          <w:color w:val="auto"/>
          <w:sz w:val="32"/>
          <w:szCs w:val="32"/>
          <w:highlight w:val="none"/>
        </w:rPr>
        <w:t>五、投标人直接管理关系信息表</w:t>
      </w:r>
    </w:p>
    <w:tbl>
      <w:tblPr>
        <w:tblStyle w:val="37"/>
        <w:tblW w:w="0" w:type="auto"/>
        <w:tblInd w:w="125" w:type="dxa"/>
        <w:shd w:val="clear" w:color="auto" w:fill="FBFBFB"/>
        <w:tblLayout w:type="fixed"/>
        <w:tblCellMar>
          <w:top w:w="0" w:type="dxa"/>
          <w:left w:w="0" w:type="dxa"/>
          <w:bottom w:w="0" w:type="dxa"/>
          <w:right w:w="0" w:type="dxa"/>
        </w:tblCellMar>
      </w:tblPr>
      <w:tblGrid>
        <w:gridCol w:w="1005"/>
        <w:gridCol w:w="2659"/>
        <w:gridCol w:w="3924"/>
        <w:gridCol w:w="2064"/>
      </w:tblGrid>
      <w:tr w14:paraId="620F3680">
        <w:tblPrEx>
          <w:tblCellMar>
            <w:top w:w="0" w:type="dxa"/>
            <w:left w:w="0" w:type="dxa"/>
            <w:bottom w:w="0" w:type="dxa"/>
            <w:right w:w="0" w:type="dxa"/>
          </w:tblCellMar>
        </w:tblPrEx>
        <w:trPr>
          <w:tblHeader/>
        </w:trPr>
        <w:tc>
          <w:tcPr>
            <w:tcW w:w="1005" w:type="dxa"/>
            <w:tcBorders>
              <w:top w:val="single" w:color="auto" w:sz="4" w:space="0"/>
              <w:left w:val="single" w:color="auto" w:sz="4" w:space="0"/>
              <w:bottom w:val="single" w:color="auto" w:sz="4" w:space="0"/>
              <w:right w:val="single" w:color="auto" w:sz="4" w:space="0"/>
            </w:tcBorders>
            <w:shd w:val="clear" w:color="auto" w:fill="EAE3D8"/>
            <w:tcMar>
              <w:top w:w="120" w:type="dxa"/>
              <w:left w:w="120" w:type="dxa"/>
              <w:bottom w:w="120" w:type="dxa"/>
              <w:right w:w="120" w:type="dxa"/>
            </w:tcMar>
            <w:vAlign w:val="center"/>
          </w:tcPr>
          <w:p w14:paraId="3E1DD94E">
            <w:pPr>
              <w:keepNext w:val="0"/>
              <w:keepLines w:val="0"/>
              <w:suppressLineNumbers w:val="0"/>
              <w:spacing w:before="0" w:beforeAutospacing="0" w:after="0" w:afterAutospacing="0" w:line="360" w:lineRule="auto"/>
              <w:ind w:left="0" w:right="0"/>
              <w:jc w:val="center"/>
              <w:rPr>
                <w:rFonts w:hint="default" w:ascii="宋体" w:hAnsi="宋体" w:cs="宋体"/>
                <w:b/>
                <w:bCs/>
                <w:color w:val="auto"/>
                <w:kern w:val="0"/>
                <w:sz w:val="24"/>
                <w:highlight w:val="none"/>
              </w:rPr>
            </w:pPr>
            <w:r>
              <w:rPr>
                <w:rFonts w:hint="eastAsia" w:ascii="宋体" w:hAnsi="宋体" w:cs="宋体"/>
                <w:b/>
                <w:bCs/>
                <w:color w:val="auto"/>
                <w:kern w:val="0"/>
                <w:sz w:val="24"/>
                <w:highlight w:val="none"/>
              </w:rPr>
              <w:t>序号</w:t>
            </w:r>
          </w:p>
        </w:tc>
        <w:tc>
          <w:tcPr>
            <w:tcW w:w="2659" w:type="dxa"/>
            <w:tcBorders>
              <w:top w:val="single" w:color="auto" w:sz="4" w:space="0"/>
              <w:left w:val="single" w:color="auto" w:sz="4" w:space="0"/>
              <w:bottom w:val="single" w:color="auto" w:sz="4" w:space="0"/>
              <w:right w:val="single" w:color="auto" w:sz="4" w:space="0"/>
            </w:tcBorders>
            <w:shd w:val="clear" w:color="auto" w:fill="EAE3D8"/>
            <w:tcMar>
              <w:top w:w="120" w:type="dxa"/>
              <w:left w:w="120" w:type="dxa"/>
              <w:bottom w:w="120" w:type="dxa"/>
              <w:right w:w="120" w:type="dxa"/>
            </w:tcMar>
            <w:vAlign w:val="center"/>
          </w:tcPr>
          <w:p w14:paraId="5F522F38">
            <w:pPr>
              <w:keepNext w:val="0"/>
              <w:keepLines w:val="0"/>
              <w:suppressLineNumbers w:val="0"/>
              <w:spacing w:before="0" w:beforeAutospacing="0" w:after="0" w:afterAutospacing="0" w:line="360" w:lineRule="auto"/>
              <w:ind w:left="0" w:right="0"/>
              <w:jc w:val="center"/>
              <w:rPr>
                <w:rFonts w:hint="default" w:ascii="宋体" w:hAnsi="宋体" w:cs="宋体"/>
                <w:b/>
                <w:bCs/>
                <w:color w:val="auto"/>
                <w:kern w:val="0"/>
                <w:sz w:val="24"/>
                <w:highlight w:val="none"/>
              </w:rPr>
            </w:pPr>
            <w:r>
              <w:rPr>
                <w:rFonts w:hint="eastAsia" w:ascii="宋体" w:hAnsi="宋体" w:cs="宋体"/>
                <w:b/>
                <w:bCs/>
                <w:color w:val="auto"/>
                <w:kern w:val="0"/>
                <w:sz w:val="24"/>
                <w:highlight w:val="none"/>
              </w:rPr>
              <w:t>直接管理关系单位名称</w:t>
            </w:r>
          </w:p>
        </w:tc>
        <w:tc>
          <w:tcPr>
            <w:tcW w:w="3924" w:type="dxa"/>
            <w:tcBorders>
              <w:top w:val="single" w:color="auto" w:sz="4" w:space="0"/>
              <w:left w:val="single" w:color="auto" w:sz="4" w:space="0"/>
              <w:bottom w:val="single" w:color="auto" w:sz="4" w:space="0"/>
              <w:right w:val="single" w:color="auto" w:sz="4" w:space="0"/>
            </w:tcBorders>
            <w:shd w:val="clear" w:color="auto" w:fill="EAE3D8"/>
            <w:tcMar>
              <w:top w:w="120" w:type="dxa"/>
              <w:left w:w="120" w:type="dxa"/>
              <w:bottom w:w="120" w:type="dxa"/>
              <w:right w:w="120" w:type="dxa"/>
            </w:tcMar>
            <w:vAlign w:val="center"/>
          </w:tcPr>
          <w:p w14:paraId="10A0CC89">
            <w:pPr>
              <w:keepNext w:val="0"/>
              <w:keepLines w:val="0"/>
              <w:suppressLineNumbers w:val="0"/>
              <w:spacing w:before="0" w:beforeAutospacing="0" w:after="0" w:afterAutospacing="0" w:line="360" w:lineRule="auto"/>
              <w:ind w:left="0" w:right="0"/>
              <w:jc w:val="center"/>
              <w:rPr>
                <w:rFonts w:hint="default" w:ascii="宋体" w:hAnsi="宋体" w:cs="宋体"/>
                <w:b/>
                <w:bCs/>
                <w:color w:val="auto"/>
                <w:kern w:val="0"/>
                <w:sz w:val="24"/>
                <w:highlight w:val="none"/>
              </w:rPr>
            </w:pPr>
            <w:r>
              <w:rPr>
                <w:rFonts w:hint="eastAsia" w:ascii="宋体" w:hAnsi="宋体" w:cs="宋体"/>
                <w:b/>
                <w:bCs/>
                <w:color w:val="auto"/>
                <w:kern w:val="0"/>
                <w:sz w:val="24"/>
                <w:highlight w:val="none"/>
              </w:rPr>
              <w:t>统一社会信用代码</w:t>
            </w:r>
          </w:p>
        </w:tc>
        <w:tc>
          <w:tcPr>
            <w:tcW w:w="2064" w:type="dxa"/>
            <w:tcBorders>
              <w:top w:val="single" w:color="auto" w:sz="4" w:space="0"/>
              <w:left w:val="single" w:color="auto" w:sz="4" w:space="0"/>
              <w:bottom w:val="single" w:color="auto" w:sz="4" w:space="0"/>
              <w:right w:val="single" w:color="auto" w:sz="4" w:space="0"/>
            </w:tcBorders>
            <w:shd w:val="clear" w:color="auto" w:fill="EAE3D8"/>
            <w:tcMar>
              <w:top w:w="120" w:type="dxa"/>
              <w:left w:w="120" w:type="dxa"/>
              <w:bottom w:w="120" w:type="dxa"/>
              <w:right w:w="120" w:type="dxa"/>
            </w:tcMar>
            <w:vAlign w:val="center"/>
          </w:tcPr>
          <w:p w14:paraId="2A4CD928">
            <w:pPr>
              <w:keepNext w:val="0"/>
              <w:keepLines w:val="0"/>
              <w:suppressLineNumbers w:val="0"/>
              <w:spacing w:before="0" w:beforeAutospacing="0" w:after="0" w:afterAutospacing="0" w:line="360" w:lineRule="auto"/>
              <w:ind w:left="0" w:right="0"/>
              <w:jc w:val="center"/>
              <w:rPr>
                <w:rFonts w:hint="default" w:ascii="宋体" w:hAnsi="宋体" w:cs="宋体"/>
                <w:b/>
                <w:bCs/>
                <w:color w:val="auto"/>
                <w:kern w:val="0"/>
                <w:sz w:val="24"/>
                <w:highlight w:val="none"/>
              </w:rPr>
            </w:pPr>
            <w:r>
              <w:rPr>
                <w:rFonts w:hint="eastAsia" w:ascii="宋体" w:hAnsi="宋体" w:cs="宋体"/>
                <w:b/>
                <w:bCs/>
                <w:color w:val="auto"/>
                <w:kern w:val="0"/>
                <w:sz w:val="24"/>
                <w:highlight w:val="none"/>
              </w:rPr>
              <w:t>备注</w:t>
            </w:r>
          </w:p>
        </w:tc>
      </w:tr>
      <w:tr w14:paraId="67C3D6D5">
        <w:tblPrEx>
          <w:tblCellMar>
            <w:top w:w="0" w:type="dxa"/>
            <w:left w:w="0" w:type="dxa"/>
            <w:bottom w:w="0" w:type="dxa"/>
            <w:right w:w="0" w:type="dxa"/>
          </w:tblCellMar>
        </w:tblPrEx>
        <w:tc>
          <w:tcPr>
            <w:tcW w:w="1005"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76F36D91">
            <w:pPr>
              <w:keepNext w:val="0"/>
              <w:keepLines w:val="0"/>
              <w:suppressLineNumbers w:val="0"/>
              <w:spacing w:before="0" w:beforeAutospacing="0" w:after="0" w:afterAutospacing="0" w:line="360" w:lineRule="auto"/>
              <w:ind w:left="0" w:right="0"/>
              <w:jc w:val="center"/>
              <w:rPr>
                <w:rFonts w:hint="default" w:ascii="宋体" w:hAnsi="宋体" w:cs="宋体"/>
                <w:color w:val="auto"/>
                <w:kern w:val="0"/>
                <w:sz w:val="24"/>
                <w:highlight w:val="none"/>
              </w:rPr>
            </w:pPr>
            <w:r>
              <w:rPr>
                <w:rFonts w:hint="eastAsia" w:ascii="宋体" w:hAnsi="宋体" w:cs="宋体"/>
                <w:color w:val="auto"/>
                <w:kern w:val="0"/>
                <w:sz w:val="24"/>
                <w:highlight w:val="none"/>
              </w:rPr>
              <w:t>1</w:t>
            </w:r>
          </w:p>
        </w:tc>
        <w:tc>
          <w:tcPr>
            <w:tcW w:w="2659"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20895E8F">
            <w:pPr>
              <w:keepNext w:val="0"/>
              <w:keepLines w:val="0"/>
              <w:suppressLineNumbers w:val="0"/>
              <w:spacing w:before="0" w:beforeAutospacing="0" w:after="0" w:afterAutospacing="0" w:line="360" w:lineRule="auto"/>
              <w:ind w:left="0" w:right="0"/>
              <w:jc w:val="center"/>
              <w:rPr>
                <w:rFonts w:hint="default" w:ascii="宋体" w:hAnsi="宋体" w:cs="宋体"/>
                <w:color w:val="auto"/>
                <w:kern w:val="0"/>
                <w:sz w:val="24"/>
                <w:highlight w:val="none"/>
              </w:rPr>
            </w:pPr>
          </w:p>
        </w:tc>
        <w:tc>
          <w:tcPr>
            <w:tcW w:w="3924"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23700996">
            <w:pPr>
              <w:keepNext w:val="0"/>
              <w:keepLines w:val="0"/>
              <w:suppressLineNumbers w:val="0"/>
              <w:spacing w:before="0" w:beforeAutospacing="0" w:after="0" w:afterAutospacing="0" w:line="360" w:lineRule="auto"/>
              <w:ind w:left="0" w:right="0"/>
              <w:jc w:val="center"/>
              <w:rPr>
                <w:rFonts w:hint="default" w:ascii="宋体" w:hAnsi="宋体" w:cs="宋体"/>
                <w:color w:val="auto"/>
                <w:kern w:val="0"/>
                <w:sz w:val="24"/>
                <w:highlight w:val="none"/>
              </w:rPr>
            </w:pPr>
          </w:p>
        </w:tc>
        <w:tc>
          <w:tcPr>
            <w:tcW w:w="2064"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084EC409">
            <w:pPr>
              <w:keepNext w:val="0"/>
              <w:keepLines w:val="0"/>
              <w:suppressLineNumbers w:val="0"/>
              <w:spacing w:before="0" w:beforeAutospacing="0" w:after="0" w:afterAutospacing="0" w:line="360" w:lineRule="auto"/>
              <w:ind w:left="0" w:right="0"/>
              <w:jc w:val="center"/>
              <w:rPr>
                <w:rFonts w:hint="default" w:ascii="宋体" w:hAnsi="宋体" w:cs="宋体"/>
                <w:color w:val="auto"/>
                <w:kern w:val="0"/>
                <w:sz w:val="24"/>
                <w:highlight w:val="none"/>
              </w:rPr>
            </w:pPr>
          </w:p>
        </w:tc>
      </w:tr>
      <w:tr w14:paraId="303CF190">
        <w:tblPrEx>
          <w:tblCellMar>
            <w:top w:w="0" w:type="dxa"/>
            <w:left w:w="0" w:type="dxa"/>
            <w:bottom w:w="0" w:type="dxa"/>
            <w:right w:w="0" w:type="dxa"/>
          </w:tblCellMar>
        </w:tblPrEx>
        <w:tc>
          <w:tcPr>
            <w:tcW w:w="1005"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295AF708">
            <w:pPr>
              <w:keepNext w:val="0"/>
              <w:keepLines w:val="0"/>
              <w:suppressLineNumbers w:val="0"/>
              <w:spacing w:before="0" w:beforeAutospacing="0" w:after="0" w:afterAutospacing="0" w:line="360" w:lineRule="auto"/>
              <w:ind w:left="0" w:right="0"/>
              <w:jc w:val="center"/>
              <w:rPr>
                <w:rFonts w:hint="default" w:ascii="宋体" w:hAnsi="宋体" w:cs="宋体"/>
                <w:color w:val="auto"/>
                <w:kern w:val="0"/>
                <w:sz w:val="24"/>
                <w:highlight w:val="none"/>
              </w:rPr>
            </w:pPr>
            <w:r>
              <w:rPr>
                <w:rFonts w:hint="eastAsia" w:ascii="宋体" w:hAnsi="宋体" w:cs="宋体"/>
                <w:color w:val="auto"/>
                <w:kern w:val="0"/>
                <w:sz w:val="24"/>
                <w:highlight w:val="none"/>
              </w:rPr>
              <w:t>2</w:t>
            </w:r>
          </w:p>
        </w:tc>
        <w:tc>
          <w:tcPr>
            <w:tcW w:w="2659"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46BD0B45">
            <w:pPr>
              <w:keepNext w:val="0"/>
              <w:keepLines w:val="0"/>
              <w:suppressLineNumbers w:val="0"/>
              <w:spacing w:before="0" w:beforeAutospacing="0" w:after="0" w:afterAutospacing="0" w:line="360" w:lineRule="auto"/>
              <w:ind w:left="0" w:right="0"/>
              <w:jc w:val="center"/>
              <w:rPr>
                <w:rFonts w:hint="default" w:ascii="宋体" w:hAnsi="宋体" w:cs="宋体"/>
                <w:color w:val="auto"/>
                <w:kern w:val="0"/>
                <w:sz w:val="24"/>
                <w:highlight w:val="none"/>
              </w:rPr>
            </w:pPr>
          </w:p>
        </w:tc>
        <w:tc>
          <w:tcPr>
            <w:tcW w:w="3924"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4AC1C893">
            <w:pPr>
              <w:keepNext w:val="0"/>
              <w:keepLines w:val="0"/>
              <w:suppressLineNumbers w:val="0"/>
              <w:spacing w:before="0" w:beforeAutospacing="0" w:after="0" w:afterAutospacing="0" w:line="360" w:lineRule="auto"/>
              <w:ind w:left="0" w:right="0"/>
              <w:jc w:val="center"/>
              <w:rPr>
                <w:rFonts w:hint="default" w:ascii="宋体" w:hAnsi="宋体" w:cs="宋体"/>
                <w:color w:val="auto"/>
                <w:kern w:val="0"/>
                <w:sz w:val="24"/>
                <w:highlight w:val="none"/>
              </w:rPr>
            </w:pPr>
          </w:p>
        </w:tc>
        <w:tc>
          <w:tcPr>
            <w:tcW w:w="2064"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078B3B76">
            <w:pPr>
              <w:keepNext w:val="0"/>
              <w:keepLines w:val="0"/>
              <w:suppressLineNumbers w:val="0"/>
              <w:spacing w:before="0" w:beforeAutospacing="0" w:after="0" w:afterAutospacing="0" w:line="360" w:lineRule="auto"/>
              <w:ind w:left="0" w:right="0"/>
              <w:jc w:val="center"/>
              <w:rPr>
                <w:rFonts w:hint="default" w:ascii="宋体" w:hAnsi="宋体" w:cs="宋体"/>
                <w:color w:val="auto"/>
                <w:kern w:val="0"/>
                <w:sz w:val="24"/>
                <w:highlight w:val="none"/>
              </w:rPr>
            </w:pPr>
          </w:p>
        </w:tc>
      </w:tr>
      <w:tr w14:paraId="563F9B75">
        <w:tblPrEx>
          <w:shd w:val="clear" w:color="auto" w:fill="FBFBFB"/>
          <w:tblCellMar>
            <w:top w:w="0" w:type="dxa"/>
            <w:left w:w="0" w:type="dxa"/>
            <w:bottom w:w="0" w:type="dxa"/>
            <w:right w:w="0" w:type="dxa"/>
          </w:tblCellMar>
        </w:tblPrEx>
        <w:tc>
          <w:tcPr>
            <w:tcW w:w="1005"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414276DC">
            <w:pPr>
              <w:keepNext w:val="0"/>
              <w:keepLines w:val="0"/>
              <w:suppressLineNumbers w:val="0"/>
              <w:spacing w:before="0" w:beforeAutospacing="0" w:after="0" w:afterAutospacing="0" w:line="360" w:lineRule="auto"/>
              <w:ind w:left="0" w:right="0"/>
              <w:jc w:val="center"/>
              <w:rPr>
                <w:rFonts w:hint="default" w:ascii="宋体" w:hAnsi="宋体" w:cs="宋体"/>
                <w:color w:val="auto"/>
                <w:kern w:val="0"/>
                <w:sz w:val="24"/>
                <w:highlight w:val="none"/>
              </w:rPr>
            </w:pPr>
            <w:r>
              <w:rPr>
                <w:rFonts w:hint="eastAsia" w:ascii="宋体" w:hAnsi="宋体" w:cs="宋体"/>
                <w:color w:val="auto"/>
                <w:kern w:val="0"/>
                <w:sz w:val="24"/>
                <w:highlight w:val="none"/>
              </w:rPr>
              <w:t>3</w:t>
            </w:r>
          </w:p>
        </w:tc>
        <w:tc>
          <w:tcPr>
            <w:tcW w:w="2659"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3221834F">
            <w:pPr>
              <w:keepNext w:val="0"/>
              <w:keepLines w:val="0"/>
              <w:suppressLineNumbers w:val="0"/>
              <w:spacing w:before="0" w:beforeAutospacing="0" w:after="0" w:afterAutospacing="0" w:line="360" w:lineRule="auto"/>
              <w:ind w:left="0" w:right="0"/>
              <w:jc w:val="center"/>
              <w:rPr>
                <w:rFonts w:hint="default" w:ascii="宋体" w:hAnsi="宋体" w:cs="宋体"/>
                <w:color w:val="auto"/>
                <w:kern w:val="0"/>
                <w:sz w:val="24"/>
                <w:highlight w:val="none"/>
              </w:rPr>
            </w:pPr>
          </w:p>
        </w:tc>
        <w:tc>
          <w:tcPr>
            <w:tcW w:w="3924"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4C9F6E4C">
            <w:pPr>
              <w:keepNext w:val="0"/>
              <w:keepLines w:val="0"/>
              <w:suppressLineNumbers w:val="0"/>
              <w:spacing w:before="0" w:beforeAutospacing="0" w:after="0" w:afterAutospacing="0" w:line="360" w:lineRule="auto"/>
              <w:ind w:left="0" w:right="0"/>
              <w:jc w:val="center"/>
              <w:rPr>
                <w:rFonts w:hint="default" w:ascii="宋体" w:hAnsi="宋体" w:cs="宋体"/>
                <w:color w:val="auto"/>
                <w:kern w:val="0"/>
                <w:sz w:val="24"/>
                <w:highlight w:val="none"/>
              </w:rPr>
            </w:pPr>
          </w:p>
        </w:tc>
        <w:tc>
          <w:tcPr>
            <w:tcW w:w="2064"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0D24976B">
            <w:pPr>
              <w:keepNext w:val="0"/>
              <w:keepLines w:val="0"/>
              <w:suppressLineNumbers w:val="0"/>
              <w:spacing w:before="0" w:beforeAutospacing="0" w:after="0" w:afterAutospacing="0" w:line="360" w:lineRule="auto"/>
              <w:ind w:left="0" w:right="0"/>
              <w:jc w:val="center"/>
              <w:rPr>
                <w:rFonts w:hint="default" w:ascii="宋体" w:hAnsi="宋体" w:cs="宋体"/>
                <w:color w:val="auto"/>
                <w:kern w:val="0"/>
                <w:sz w:val="24"/>
                <w:highlight w:val="none"/>
              </w:rPr>
            </w:pPr>
          </w:p>
        </w:tc>
      </w:tr>
      <w:tr w14:paraId="7A6DFBDD">
        <w:tblPrEx>
          <w:tblCellMar>
            <w:top w:w="0" w:type="dxa"/>
            <w:left w:w="0" w:type="dxa"/>
            <w:bottom w:w="0" w:type="dxa"/>
            <w:right w:w="0" w:type="dxa"/>
          </w:tblCellMar>
        </w:tblPrEx>
        <w:tc>
          <w:tcPr>
            <w:tcW w:w="1005"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40491ADD">
            <w:pPr>
              <w:keepNext w:val="0"/>
              <w:keepLines w:val="0"/>
              <w:suppressLineNumbers w:val="0"/>
              <w:spacing w:before="0" w:beforeAutospacing="0" w:after="0" w:afterAutospacing="0" w:line="360" w:lineRule="auto"/>
              <w:ind w:left="0" w:right="0"/>
              <w:jc w:val="center"/>
              <w:rPr>
                <w:rFonts w:hint="default" w:ascii="宋体" w:hAnsi="宋体" w:cs="宋体"/>
                <w:color w:val="auto"/>
                <w:kern w:val="0"/>
                <w:sz w:val="24"/>
                <w:highlight w:val="none"/>
              </w:rPr>
            </w:pPr>
            <w:r>
              <w:rPr>
                <w:rFonts w:hint="eastAsia" w:ascii="宋体" w:hAnsi="宋体" w:cs="宋体"/>
                <w:color w:val="auto"/>
                <w:kern w:val="0"/>
                <w:sz w:val="24"/>
                <w:highlight w:val="none"/>
              </w:rPr>
              <w:t>……</w:t>
            </w:r>
          </w:p>
        </w:tc>
        <w:tc>
          <w:tcPr>
            <w:tcW w:w="2659"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3EC20DD5">
            <w:pPr>
              <w:keepNext w:val="0"/>
              <w:keepLines w:val="0"/>
              <w:suppressLineNumbers w:val="0"/>
              <w:spacing w:before="0" w:beforeAutospacing="0" w:after="0" w:afterAutospacing="0" w:line="360" w:lineRule="auto"/>
              <w:ind w:left="0" w:right="0"/>
              <w:jc w:val="center"/>
              <w:rPr>
                <w:rFonts w:hint="default" w:ascii="宋体" w:hAnsi="宋体" w:cs="宋体"/>
                <w:color w:val="auto"/>
                <w:kern w:val="0"/>
                <w:sz w:val="24"/>
                <w:highlight w:val="none"/>
              </w:rPr>
            </w:pPr>
          </w:p>
        </w:tc>
        <w:tc>
          <w:tcPr>
            <w:tcW w:w="3924"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22A848E9">
            <w:pPr>
              <w:keepNext w:val="0"/>
              <w:keepLines w:val="0"/>
              <w:suppressLineNumbers w:val="0"/>
              <w:spacing w:before="0" w:beforeAutospacing="0" w:after="0" w:afterAutospacing="0" w:line="360" w:lineRule="auto"/>
              <w:ind w:left="0" w:right="0"/>
              <w:jc w:val="center"/>
              <w:rPr>
                <w:rFonts w:hint="default" w:ascii="宋体" w:hAnsi="宋体" w:cs="宋体"/>
                <w:color w:val="auto"/>
                <w:kern w:val="0"/>
                <w:sz w:val="24"/>
                <w:highlight w:val="none"/>
              </w:rPr>
            </w:pPr>
          </w:p>
        </w:tc>
        <w:tc>
          <w:tcPr>
            <w:tcW w:w="2064"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5C0B5ED7">
            <w:pPr>
              <w:keepNext w:val="0"/>
              <w:keepLines w:val="0"/>
              <w:suppressLineNumbers w:val="0"/>
              <w:spacing w:before="0" w:beforeAutospacing="0" w:after="0" w:afterAutospacing="0" w:line="360" w:lineRule="auto"/>
              <w:ind w:left="0" w:right="0"/>
              <w:jc w:val="center"/>
              <w:rPr>
                <w:rFonts w:hint="default" w:ascii="宋体" w:hAnsi="宋体" w:cs="宋体"/>
                <w:color w:val="auto"/>
                <w:kern w:val="0"/>
                <w:sz w:val="24"/>
                <w:highlight w:val="none"/>
              </w:rPr>
            </w:pPr>
          </w:p>
        </w:tc>
      </w:tr>
    </w:tbl>
    <w:p w14:paraId="243E7CA1">
      <w:pPr>
        <w:snapToGrid w:val="0"/>
        <w:spacing w:line="360" w:lineRule="auto"/>
        <w:jc w:val="left"/>
        <w:rPr>
          <w:rFonts w:ascii="宋体" w:hAnsi="宋体"/>
          <w:color w:val="auto"/>
          <w:sz w:val="24"/>
          <w:highlight w:val="none"/>
        </w:rPr>
      </w:pPr>
      <w:r>
        <w:rPr>
          <w:rFonts w:hint="eastAsia" w:ascii="宋体" w:hAnsi="宋体"/>
          <w:color w:val="auto"/>
          <w:sz w:val="24"/>
          <w:highlight w:val="none"/>
        </w:rPr>
        <w:t>注：</w:t>
      </w:r>
    </w:p>
    <w:p w14:paraId="21A9759D">
      <w:pPr>
        <w:snapToGrid w:val="0"/>
        <w:spacing w:line="360" w:lineRule="auto"/>
        <w:ind w:firstLine="480" w:firstLineChars="200"/>
        <w:jc w:val="left"/>
        <w:rPr>
          <w:rFonts w:ascii="宋体" w:hAnsi="宋体"/>
          <w:color w:val="auto"/>
          <w:sz w:val="24"/>
          <w:highlight w:val="none"/>
        </w:rPr>
      </w:pPr>
      <w:r>
        <w:rPr>
          <w:rFonts w:hint="eastAsia" w:ascii="宋体" w:hAnsi="宋体"/>
          <w:color w:val="auto"/>
          <w:sz w:val="24"/>
          <w:highlight w:val="none"/>
        </w:rPr>
        <w:t>1.管理关系：是指不具有出资持股关系的其他单位之间存在的管理与被管理关系，如一些上下级关系的事业单位和团体组织。</w:t>
      </w:r>
    </w:p>
    <w:p w14:paraId="607C552C">
      <w:pPr>
        <w:snapToGrid w:val="0"/>
        <w:spacing w:line="360" w:lineRule="auto"/>
        <w:ind w:firstLine="480" w:firstLineChars="200"/>
        <w:jc w:val="left"/>
        <w:rPr>
          <w:rFonts w:ascii="宋体" w:hAnsi="宋体"/>
          <w:color w:val="auto"/>
          <w:sz w:val="24"/>
          <w:highlight w:val="none"/>
        </w:rPr>
      </w:pPr>
      <w:r>
        <w:rPr>
          <w:rFonts w:hint="eastAsia" w:ascii="宋体" w:hAnsi="宋体"/>
          <w:color w:val="auto"/>
          <w:sz w:val="24"/>
          <w:highlight w:val="none"/>
        </w:rPr>
        <w:t>2.</w:t>
      </w:r>
      <w:r>
        <w:rPr>
          <w:rFonts w:hint="eastAsia" w:ascii="宋体" w:hAnsi="宋体"/>
          <w:color w:val="auto"/>
          <w:spacing w:val="-6"/>
          <w:sz w:val="24"/>
          <w:highlight w:val="none"/>
        </w:rPr>
        <w:t>本表所指的管理关系仅限于直接管理关系，不包括间接的管理关系。</w:t>
      </w:r>
    </w:p>
    <w:p w14:paraId="3147D5E5">
      <w:pPr>
        <w:snapToGrid w:val="0"/>
        <w:spacing w:line="360" w:lineRule="auto"/>
        <w:ind w:firstLine="480" w:firstLineChars="200"/>
        <w:jc w:val="left"/>
        <w:rPr>
          <w:rFonts w:ascii="宋体" w:hAnsi="宋体"/>
          <w:color w:val="auto"/>
          <w:sz w:val="24"/>
          <w:highlight w:val="none"/>
        </w:rPr>
      </w:pPr>
      <w:r>
        <w:rPr>
          <w:rFonts w:hint="eastAsia" w:ascii="宋体" w:hAnsi="宋体"/>
          <w:color w:val="auto"/>
          <w:sz w:val="24"/>
          <w:highlight w:val="none"/>
        </w:rPr>
        <w:t>3.供应商不存在直接管理关系的，则填“无”。</w:t>
      </w:r>
    </w:p>
    <w:p w14:paraId="4C7CCD8B">
      <w:pPr>
        <w:snapToGrid w:val="0"/>
        <w:spacing w:line="360" w:lineRule="auto"/>
        <w:jc w:val="left"/>
        <w:rPr>
          <w:rFonts w:ascii="宋体" w:hAnsi="宋体"/>
          <w:color w:val="auto"/>
          <w:sz w:val="24"/>
          <w:highlight w:val="none"/>
        </w:rPr>
      </w:pPr>
    </w:p>
    <w:p w14:paraId="321A15AC">
      <w:pPr>
        <w:snapToGrid w:val="0"/>
        <w:spacing w:line="360" w:lineRule="auto"/>
        <w:jc w:val="left"/>
        <w:rPr>
          <w:rFonts w:ascii="宋体" w:hAnsi="宋体"/>
          <w:color w:val="auto"/>
          <w:sz w:val="24"/>
          <w:highlight w:val="none"/>
        </w:rPr>
      </w:pPr>
    </w:p>
    <w:p w14:paraId="17D4DB82">
      <w:pPr>
        <w:snapToGrid w:val="0"/>
        <w:spacing w:line="360" w:lineRule="auto"/>
        <w:jc w:val="left"/>
        <w:rPr>
          <w:rFonts w:ascii="宋体" w:hAnsi="宋体"/>
          <w:color w:val="auto"/>
          <w:sz w:val="24"/>
          <w:highlight w:val="none"/>
        </w:rPr>
      </w:pPr>
    </w:p>
    <w:p w14:paraId="2CA0F801">
      <w:pPr>
        <w:snapToGrid w:val="0"/>
        <w:spacing w:line="360" w:lineRule="auto"/>
        <w:jc w:val="left"/>
        <w:rPr>
          <w:color w:val="auto"/>
          <w:sz w:val="24"/>
          <w:highlight w:val="none"/>
        </w:rPr>
      </w:pPr>
    </w:p>
    <w:p w14:paraId="7B1899D9">
      <w:pPr>
        <w:snapToGrid w:val="0"/>
        <w:spacing w:line="360" w:lineRule="auto"/>
        <w:jc w:val="left"/>
        <w:rPr>
          <w:color w:val="auto"/>
          <w:sz w:val="24"/>
          <w:highlight w:val="none"/>
        </w:rPr>
      </w:pPr>
    </w:p>
    <w:p w14:paraId="6EBE5F54">
      <w:pPr>
        <w:snapToGrid w:val="0"/>
        <w:spacing w:line="360" w:lineRule="auto"/>
        <w:jc w:val="left"/>
        <w:rPr>
          <w:color w:val="auto"/>
          <w:sz w:val="24"/>
          <w:highlight w:val="none"/>
        </w:rPr>
      </w:pPr>
    </w:p>
    <w:p w14:paraId="6A59960D">
      <w:pPr>
        <w:snapToGrid w:val="0"/>
        <w:spacing w:line="360" w:lineRule="auto"/>
        <w:jc w:val="left"/>
        <w:rPr>
          <w:rFonts w:ascii="宋体" w:hAnsi="宋体"/>
          <w:color w:val="auto"/>
          <w:sz w:val="24"/>
          <w:highlight w:val="none"/>
        </w:rPr>
      </w:pPr>
    </w:p>
    <w:p w14:paraId="12E96555">
      <w:pPr>
        <w:snapToGrid w:val="0"/>
        <w:spacing w:line="360" w:lineRule="auto"/>
        <w:jc w:val="left"/>
        <w:rPr>
          <w:rFonts w:ascii="宋体" w:hAnsi="宋体"/>
          <w:color w:val="auto"/>
          <w:sz w:val="24"/>
          <w:highlight w:val="none"/>
        </w:rPr>
      </w:pPr>
    </w:p>
    <w:p w14:paraId="35BDE4BC">
      <w:pPr>
        <w:snapToGrid w:val="0"/>
        <w:spacing w:line="360" w:lineRule="auto"/>
        <w:ind w:firstLine="5040" w:firstLineChars="2100"/>
        <w:rPr>
          <w:rFonts w:ascii="方正仿宋_GB2312" w:hAnsi="仿宋" w:eastAsia="方正仿宋_GB2312" w:cs="方正仿宋_GB2312"/>
          <w:color w:val="auto"/>
          <w:kern w:val="0"/>
          <w:sz w:val="24"/>
          <w:highlight w:val="none"/>
        </w:rPr>
      </w:pPr>
      <w:r>
        <w:rPr>
          <w:rFonts w:hint="eastAsia" w:ascii="方正仿宋_GB2312" w:hAnsi="仿宋" w:eastAsia="方正仿宋_GB2312" w:cs="方正仿宋_GB2312"/>
          <w:color w:val="auto"/>
          <w:kern w:val="0"/>
          <w:sz w:val="24"/>
          <w:highlight w:val="none"/>
          <w:lang w:val="zh-CN"/>
        </w:rPr>
        <w:t>投标人名称(电子签章)：</w:t>
      </w:r>
    </w:p>
    <w:p w14:paraId="22F8A42C">
      <w:pPr>
        <w:snapToGrid w:val="0"/>
        <w:spacing w:line="360" w:lineRule="auto"/>
        <w:ind w:firstLine="5160" w:firstLineChars="2150"/>
        <w:rPr>
          <w:rFonts w:ascii="方正仿宋_GB2312" w:hAnsi="仿宋" w:eastAsia="方正仿宋_GB2312" w:cs="方正仿宋_GB2312"/>
          <w:color w:val="auto"/>
          <w:kern w:val="0"/>
          <w:sz w:val="24"/>
          <w:highlight w:val="none"/>
          <w:lang w:val="zh-CN"/>
        </w:rPr>
      </w:pPr>
      <w:r>
        <w:rPr>
          <w:rFonts w:hint="eastAsia" w:ascii="方正仿宋_GB2312" w:hAnsi="仿宋" w:eastAsia="方正仿宋_GB2312" w:cs="方正仿宋_GB2312"/>
          <w:color w:val="auto"/>
          <w:kern w:val="0"/>
          <w:sz w:val="24"/>
          <w:highlight w:val="none"/>
          <w:lang w:val="zh-CN"/>
        </w:rPr>
        <w:t>日期</w:t>
      </w:r>
      <w:r>
        <w:rPr>
          <w:rFonts w:hint="eastAsia" w:ascii="方正仿宋_GB2312" w:hAnsi="仿宋" w:eastAsia="方正仿宋_GB2312" w:cs="方正仿宋_GB2312"/>
          <w:color w:val="auto"/>
          <w:kern w:val="0"/>
          <w:sz w:val="24"/>
          <w:highlight w:val="none"/>
        </w:rPr>
        <w:t xml:space="preserve">：  年  </w:t>
      </w:r>
      <w:r>
        <w:rPr>
          <w:rFonts w:hint="eastAsia" w:ascii="方正仿宋_GB2312" w:hAnsi="仿宋" w:eastAsia="方正仿宋_GB2312" w:cs="方正仿宋_GB2312"/>
          <w:color w:val="auto"/>
          <w:kern w:val="0"/>
          <w:sz w:val="24"/>
          <w:highlight w:val="none"/>
          <w:lang w:val="zh-CN"/>
        </w:rPr>
        <w:t>月日</w:t>
      </w:r>
    </w:p>
    <w:p w14:paraId="403FB921">
      <w:pPr>
        <w:snapToGrid w:val="0"/>
        <w:spacing w:before="50" w:after="165" w:afterLines="50"/>
        <w:jc w:val="left"/>
        <w:rPr>
          <w:rFonts w:ascii="宋体" w:hAnsi="宋体"/>
          <w:color w:val="auto"/>
          <w:szCs w:val="21"/>
          <w:highlight w:val="none"/>
        </w:rPr>
      </w:pPr>
    </w:p>
    <w:p w14:paraId="037B46F2">
      <w:pPr>
        <w:snapToGrid w:val="0"/>
        <w:spacing w:before="165" w:beforeLines="50" w:after="50"/>
        <w:jc w:val="left"/>
        <w:rPr>
          <w:rFonts w:ascii="宋体" w:hAnsi="宋体"/>
          <w:b/>
          <w:color w:val="auto"/>
          <w:sz w:val="24"/>
          <w:szCs w:val="20"/>
          <w:highlight w:val="none"/>
        </w:rPr>
      </w:pPr>
    </w:p>
    <w:p w14:paraId="00C51305">
      <w:pPr>
        <w:snapToGrid w:val="0"/>
        <w:spacing w:before="165" w:beforeLines="50" w:after="50"/>
        <w:jc w:val="left"/>
        <w:rPr>
          <w:rFonts w:ascii="宋体" w:hAnsi="宋体"/>
          <w:b/>
          <w:color w:val="auto"/>
          <w:sz w:val="24"/>
          <w:highlight w:val="none"/>
        </w:rPr>
      </w:pPr>
    </w:p>
    <w:p w14:paraId="4F2B8210">
      <w:pPr>
        <w:snapToGrid w:val="0"/>
        <w:spacing w:before="165" w:beforeLines="50" w:after="50"/>
        <w:jc w:val="left"/>
        <w:rPr>
          <w:rFonts w:ascii="宋体" w:hAnsi="宋体"/>
          <w:b/>
          <w:color w:val="auto"/>
          <w:sz w:val="24"/>
          <w:szCs w:val="20"/>
          <w:highlight w:val="none"/>
        </w:rPr>
      </w:pPr>
    </w:p>
    <w:p w14:paraId="21C8F669">
      <w:pPr>
        <w:snapToGrid w:val="0"/>
        <w:spacing w:before="165" w:beforeLines="50" w:after="50"/>
        <w:jc w:val="left"/>
        <w:rPr>
          <w:rFonts w:ascii="宋体" w:hAnsi="宋体"/>
          <w:b/>
          <w:color w:val="auto"/>
          <w:sz w:val="24"/>
          <w:szCs w:val="20"/>
          <w:highlight w:val="none"/>
        </w:rPr>
      </w:pPr>
    </w:p>
    <w:p w14:paraId="2B03C427">
      <w:pPr>
        <w:widowControl/>
        <w:jc w:val="left"/>
        <w:rPr>
          <w:rFonts w:ascii="宋体" w:hAnsi="宋体"/>
          <w:color w:val="auto"/>
          <w:highlight w:val="none"/>
        </w:rPr>
      </w:pPr>
      <w:r>
        <w:rPr>
          <w:rFonts w:ascii="宋体" w:hAnsi="宋体"/>
          <w:color w:val="auto"/>
          <w:highlight w:val="none"/>
        </w:rPr>
        <w:br w:type="page"/>
      </w:r>
    </w:p>
    <w:p w14:paraId="61823172">
      <w:pPr>
        <w:snapToGrid w:val="0"/>
        <w:spacing w:before="50" w:after="165" w:afterLines="50"/>
        <w:jc w:val="left"/>
        <w:rPr>
          <w:rFonts w:ascii="宋体" w:hAnsi="宋体"/>
          <w:color w:val="auto"/>
          <w:highlight w:val="none"/>
        </w:rPr>
      </w:pPr>
    </w:p>
    <w:p w14:paraId="3D1FB9DF">
      <w:pPr>
        <w:snapToGrid w:val="0"/>
        <w:spacing w:before="50" w:after="165" w:afterLines="50"/>
        <w:jc w:val="center"/>
        <w:rPr>
          <w:rFonts w:ascii="宋体" w:hAnsi="宋体"/>
          <w:b/>
          <w:color w:val="auto"/>
          <w:sz w:val="32"/>
          <w:szCs w:val="32"/>
          <w:highlight w:val="none"/>
        </w:rPr>
      </w:pPr>
      <w:r>
        <w:rPr>
          <w:rFonts w:hint="eastAsia" w:ascii="宋体" w:hAnsi="宋体"/>
          <w:b/>
          <w:color w:val="auto"/>
          <w:sz w:val="32"/>
          <w:szCs w:val="32"/>
          <w:highlight w:val="none"/>
        </w:rPr>
        <w:t>六、投标资格声明函</w:t>
      </w:r>
    </w:p>
    <w:p w14:paraId="03A1A652">
      <w:pPr>
        <w:tabs>
          <w:tab w:val="left" w:pos="7200"/>
        </w:tabs>
        <w:spacing w:line="360" w:lineRule="auto"/>
        <w:rPr>
          <w:rFonts w:ascii="宋体" w:hAnsi="宋体"/>
          <w:color w:val="auto"/>
          <w:szCs w:val="21"/>
          <w:highlight w:val="none"/>
          <w:u w:val="single"/>
        </w:rPr>
      </w:pPr>
      <w:r>
        <w:rPr>
          <w:rFonts w:hint="eastAsia" w:ascii="宋体" w:hAnsi="宋体"/>
          <w:color w:val="auto"/>
          <w:szCs w:val="21"/>
          <w:highlight w:val="none"/>
        </w:rPr>
        <w:t>致：</w:t>
      </w:r>
      <w:bookmarkStart w:id="308" w:name="PO_3000001866_PM031_5"/>
      <w:r>
        <w:rPr>
          <w:rFonts w:hint="eastAsia" w:ascii="宋体" w:hAnsi="宋体"/>
          <w:color w:val="auto"/>
          <w:szCs w:val="21"/>
          <w:highlight w:val="none"/>
          <w:u w:val="single"/>
        </w:rPr>
        <w:t>[项目采购-采购组织机构_]</w:t>
      </w:r>
      <w:bookmarkEnd w:id="308"/>
    </w:p>
    <w:p w14:paraId="56A42667">
      <w:pPr>
        <w:snapToGrid w:val="0"/>
        <w:spacing w:line="360" w:lineRule="auto"/>
        <w:ind w:firstLine="420" w:firstLineChars="200"/>
        <w:jc w:val="left"/>
        <w:rPr>
          <w:rFonts w:ascii="宋体" w:hAnsi="宋体"/>
          <w:color w:val="auto"/>
          <w:szCs w:val="21"/>
          <w:highlight w:val="none"/>
        </w:rPr>
      </w:pPr>
      <w:r>
        <w:rPr>
          <w:rFonts w:hint="eastAsia" w:ascii="宋体" w:hAnsi="宋体"/>
          <w:color w:val="auto"/>
          <w:szCs w:val="21"/>
          <w:highlight w:val="none"/>
        </w:rPr>
        <w:t>我方愿意参加贵方组织的_</w:t>
      </w:r>
      <w:bookmarkStart w:id="309" w:name="PO_3000001866_PM002_14"/>
      <w:r>
        <w:rPr>
          <w:rFonts w:hint="eastAsia" w:ascii="宋体" w:hAnsi="宋体"/>
          <w:color w:val="auto"/>
          <w:szCs w:val="21"/>
          <w:highlight w:val="none"/>
          <w:u w:val="single"/>
        </w:rPr>
        <w:t>[项目采购-项目名称]</w:t>
      </w:r>
      <w:bookmarkEnd w:id="309"/>
      <w:r>
        <w:rPr>
          <w:rFonts w:hint="eastAsia" w:ascii="宋体" w:hAnsi="宋体"/>
          <w:color w:val="auto"/>
          <w:szCs w:val="21"/>
          <w:highlight w:val="none"/>
        </w:rPr>
        <w:t>_（项目编号：</w:t>
      </w:r>
      <w:bookmarkStart w:id="310" w:name="PO_3000001866_PM001_10"/>
      <w:r>
        <w:rPr>
          <w:rFonts w:hint="eastAsia" w:ascii="宋体" w:hAnsi="宋体"/>
          <w:color w:val="auto"/>
          <w:szCs w:val="21"/>
          <w:highlight w:val="none"/>
        </w:rPr>
        <w:t>[项目采购-项目编号_10]</w:t>
      </w:r>
      <w:bookmarkEnd w:id="310"/>
      <w:r>
        <w:rPr>
          <w:rFonts w:hint="eastAsia" w:ascii="宋体" w:hAnsi="宋体"/>
          <w:color w:val="auto"/>
          <w:szCs w:val="21"/>
          <w:highlight w:val="none"/>
        </w:rPr>
        <w:t xml:space="preserve"> ）项目的投标，为便于贵方公正、择优地确定中标人，我方就本次投标有关事项郑重声明如下：</w:t>
      </w:r>
    </w:p>
    <w:p w14:paraId="7D5D40F2">
      <w:pPr>
        <w:snapToGrid w:val="0"/>
        <w:spacing w:line="360" w:lineRule="auto"/>
        <w:ind w:firstLine="420" w:firstLineChars="200"/>
        <w:jc w:val="left"/>
        <w:rPr>
          <w:rFonts w:ascii="宋体" w:hAnsi="宋体"/>
          <w:color w:val="auto"/>
          <w:szCs w:val="21"/>
          <w:highlight w:val="none"/>
        </w:rPr>
      </w:pPr>
      <w:r>
        <w:rPr>
          <w:rFonts w:hint="eastAsia" w:ascii="宋体" w:hAnsi="宋体"/>
          <w:color w:val="auto"/>
          <w:szCs w:val="21"/>
          <w:highlight w:val="none"/>
        </w:rPr>
        <w:t>1.我方承诺已经具备《中华人民共和国政府采购法》第二十二条中规定的参加政府采购活动的供应商应当具备的条件并按本项目投标文件“第三章”“第二节投标人须知前附表”中“资格证明文件组成”完整提供证明材料。</w:t>
      </w:r>
    </w:p>
    <w:p w14:paraId="3594706A">
      <w:pPr>
        <w:snapToGrid w:val="0"/>
        <w:spacing w:line="360" w:lineRule="auto"/>
        <w:ind w:firstLine="420" w:firstLineChars="200"/>
        <w:jc w:val="left"/>
        <w:rPr>
          <w:rFonts w:ascii="宋体" w:hAnsi="宋体"/>
          <w:color w:val="auto"/>
          <w:szCs w:val="21"/>
          <w:highlight w:val="none"/>
        </w:rPr>
      </w:pPr>
      <w:r>
        <w:rPr>
          <w:rFonts w:hint="eastAsia" w:ascii="宋体" w:hAnsi="宋体"/>
          <w:color w:val="auto"/>
          <w:szCs w:val="21"/>
          <w:highlight w:val="none"/>
        </w:rPr>
        <w:t>2. 我方不是采购人的附属机构；不是为本次采购项目提供整体设计、规范编制或者项目管理、监理、检测等服务的供应商；在获知本项目采购信息后，与采购人聘请的为此项目提供咨询服务的公司及其附属机构没有任何联系。</w:t>
      </w:r>
    </w:p>
    <w:p w14:paraId="0BA895F7">
      <w:pPr>
        <w:snapToGrid w:val="0"/>
        <w:spacing w:line="360" w:lineRule="auto"/>
        <w:ind w:firstLine="420" w:firstLineChars="200"/>
        <w:jc w:val="left"/>
        <w:rPr>
          <w:rFonts w:ascii="宋体" w:hAnsi="宋体"/>
          <w:color w:val="auto"/>
          <w:szCs w:val="21"/>
          <w:highlight w:val="none"/>
        </w:rPr>
      </w:pPr>
      <w:r>
        <w:rPr>
          <w:rFonts w:hint="eastAsia" w:ascii="宋体" w:hAnsi="宋体"/>
          <w:color w:val="auto"/>
          <w:szCs w:val="21"/>
          <w:highlight w:val="none"/>
        </w:rPr>
        <w:t>3.经查询，在“信用中国”和“中国政府采购网”网站我方未被列入失信被执行人、重大税收违法失信主体、政府采购严重违法失信行为记录名单。</w:t>
      </w:r>
    </w:p>
    <w:p w14:paraId="4B0D0F19">
      <w:pPr>
        <w:snapToGrid w:val="0"/>
        <w:spacing w:line="360" w:lineRule="auto"/>
        <w:ind w:firstLine="420" w:firstLineChars="200"/>
        <w:jc w:val="left"/>
        <w:rPr>
          <w:rFonts w:ascii="宋体" w:hAnsi="宋体"/>
          <w:color w:val="auto"/>
          <w:szCs w:val="21"/>
          <w:highlight w:val="none"/>
        </w:rPr>
      </w:pPr>
      <w:r>
        <w:rPr>
          <w:rFonts w:hint="eastAsia" w:ascii="宋体" w:hAnsi="宋体"/>
          <w:color w:val="auto"/>
          <w:szCs w:val="21"/>
          <w:highlight w:val="none"/>
        </w:rPr>
        <w:t xml:space="preserve">4.以上事项如有虚假或隐瞒，我方愿意承担一切后果，并不再寻求任何旨在减轻或免除法律责任的辩解。 </w:t>
      </w:r>
    </w:p>
    <w:p w14:paraId="5CFAD5E7">
      <w:pPr>
        <w:tabs>
          <w:tab w:val="left" w:pos="7200"/>
        </w:tabs>
        <w:ind w:firstLine="270" w:firstLineChars="150"/>
        <w:rPr>
          <w:rFonts w:ascii="宋体" w:hAnsi="宋体"/>
          <w:color w:val="auto"/>
          <w:sz w:val="18"/>
          <w:szCs w:val="18"/>
          <w:highlight w:val="none"/>
        </w:rPr>
      </w:pPr>
      <w:r>
        <w:rPr>
          <w:rFonts w:hint="eastAsia" w:ascii="宋体" w:hAnsi="宋体"/>
          <w:color w:val="auto"/>
          <w:sz w:val="18"/>
          <w:szCs w:val="18"/>
          <w:highlight w:val="none"/>
        </w:rPr>
        <w:t>说明：</w:t>
      </w:r>
    </w:p>
    <w:p w14:paraId="50CABF36">
      <w:pPr>
        <w:ind w:firstLine="420" w:firstLineChars="200"/>
        <w:jc w:val="left"/>
        <w:rPr>
          <w:rFonts w:ascii="宋体" w:hAnsi="宋体"/>
          <w:color w:val="auto"/>
          <w:szCs w:val="21"/>
          <w:highlight w:val="none"/>
        </w:rPr>
      </w:pPr>
      <w:r>
        <w:rPr>
          <w:rFonts w:hint="eastAsia" w:ascii="宋体" w:hAnsi="宋体"/>
          <w:color w:val="auto"/>
          <w:szCs w:val="21"/>
          <w:highlight w:val="none"/>
        </w:rPr>
        <w:t>1.投标人应当通过 “信用中国”（www.creditchina.gov.cn）和“中国政府采购网”网站（www.ccgp.gov.cn）查询投标人相关主体的信用记录。查询时间为本项目投标截止时间前10日至投标截止时间中任意一天。对列入失信被执行人、重大税收违法失信主体、政府采购严重违法失信行为记录名单的投标人，将被拒绝参与本项目政府采购活动。</w:t>
      </w:r>
    </w:p>
    <w:p w14:paraId="322A06B4">
      <w:pPr>
        <w:ind w:firstLine="420" w:firstLineChars="200"/>
        <w:jc w:val="left"/>
        <w:rPr>
          <w:rFonts w:ascii="宋体" w:hAnsi="宋体"/>
          <w:color w:val="auto"/>
          <w:szCs w:val="21"/>
          <w:highlight w:val="none"/>
        </w:rPr>
      </w:pPr>
      <w:r>
        <w:rPr>
          <w:rFonts w:hint="eastAsia" w:ascii="宋体" w:hAnsi="宋体"/>
          <w:color w:val="auto"/>
          <w:szCs w:val="21"/>
          <w:highlight w:val="none"/>
        </w:rPr>
        <w:t>2.两个以上的自然人、法人或者其他组织组成一个联合体，以一个供应商的身份共同参加政府采购活动的，应当对所有联合体成员进行信用记录查询，联合体成员存在不良信用记录的，视同联合体存在不良信用记录。</w:t>
      </w:r>
    </w:p>
    <w:p w14:paraId="2CD97C88">
      <w:pPr>
        <w:snapToGrid w:val="0"/>
        <w:spacing w:before="50" w:after="165" w:afterLines="50"/>
        <w:jc w:val="left"/>
        <w:rPr>
          <w:rFonts w:ascii="宋体" w:hAnsi="宋体"/>
          <w:b/>
          <w:color w:val="auto"/>
          <w:szCs w:val="21"/>
          <w:highlight w:val="none"/>
        </w:rPr>
      </w:pPr>
      <w:r>
        <w:rPr>
          <w:rFonts w:hint="eastAsia" w:ascii="宋体" w:hAnsi="宋体"/>
          <w:b/>
          <w:color w:val="auto"/>
          <w:szCs w:val="21"/>
          <w:highlight w:val="none"/>
        </w:rPr>
        <w:t xml:space="preserve"> 3.如为联合体投标，盖章处须加盖联合体各方公章并由联合体各方法定代表人分别签署，否则投标无效。</w:t>
      </w:r>
    </w:p>
    <w:p w14:paraId="3346414F">
      <w:pPr>
        <w:snapToGrid w:val="0"/>
        <w:spacing w:before="50" w:after="331" w:afterLines="100" w:line="360" w:lineRule="auto"/>
        <w:jc w:val="left"/>
        <w:rPr>
          <w:rFonts w:ascii="宋体" w:hAnsi="宋体"/>
          <w:color w:val="auto"/>
          <w:sz w:val="24"/>
          <w:highlight w:val="none"/>
        </w:rPr>
      </w:pPr>
    </w:p>
    <w:p w14:paraId="1CCAD0F1">
      <w:pPr>
        <w:snapToGrid w:val="0"/>
        <w:spacing w:before="50" w:after="331" w:afterLines="100" w:line="360" w:lineRule="auto"/>
        <w:ind w:left="7428" w:leftChars="2223" w:hanging="2760" w:hangingChars="1150"/>
        <w:jc w:val="left"/>
        <w:rPr>
          <w:rFonts w:ascii="方正仿宋_GB2312" w:hAnsi="仿宋" w:eastAsia="方正仿宋_GB2312" w:cs="方正仿宋_GB2312"/>
          <w:color w:val="auto"/>
          <w:kern w:val="0"/>
          <w:sz w:val="24"/>
          <w:highlight w:val="none"/>
          <w:lang w:val="zh-CN"/>
        </w:rPr>
      </w:pPr>
      <w:r>
        <w:rPr>
          <w:rFonts w:hint="eastAsia" w:ascii="方正仿宋_GB2312" w:hAnsi="仿宋" w:eastAsia="方正仿宋_GB2312" w:cs="方正仿宋_GB2312"/>
          <w:color w:val="auto"/>
          <w:kern w:val="0"/>
          <w:sz w:val="24"/>
          <w:highlight w:val="none"/>
          <w:lang w:val="zh-CN"/>
        </w:rPr>
        <w:t>投标人名称(电子签章)：</w:t>
      </w:r>
      <w:r>
        <w:rPr>
          <w:rFonts w:hint="eastAsia" w:ascii="宋体" w:hAnsi="宋体"/>
          <w:color w:val="auto"/>
          <w:szCs w:val="21"/>
          <w:highlight w:val="none"/>
        </w:rPr>
        <w:t xml:space="preserve">                                     年    月    日</w:t>
      </w:r>
    </w:p>
    <w:p w14:paraId="5D3D183A">
      <w:pPr>
        <w:pStyle w:val="7"/>
        <w:spacing w:line="600" w:lineRule="exact"/>
        <w:jc w:val="center"/>
        <w:rPr>
          <w:rFonts w:ascii="Times New Roman" w:hAnsi="Times New Roman"/>
          <w:b/>
          <w:bCs/>
          <w:color w:val="auto"/>
          <w:sz w:val="30"/>
          <w:szCs w:val="30"/>
          <w:highlight w:val="none"/>
        </w:rPr>
      </w:pPr>
    </w:p>
    <w:p w14:paraId="50D0F9CA">
      <w:pPr>
        <w:pStyle w:val="7"/>
        <w:spacing w:line="600" w:lineRule="exact"/>
        <w:jc w:val="center"/>
        <w:rPr>
          <w:rFonts w:ascii="Times New Roman" w:hAnsi="Times New Roman"/>
          <w:b/>
          <w:bCs/>
          <w:color w:val="auto"/>
          <w:sz w:val="30"/>
          <w:szCs w:val="30"/>
          <w:highlight w:val="none"/>
        </w:rPr>
      </w:pPr>
    </w:p>
    <w:p w14:paraId="0AFE07F5">
      <w:pPr>
        <w:widowControl/>
        <w:jc w:val="left"/>
        <w:rPr>
          <w:b/>
          <w:bCs/>
          <w:color w:val="auto"/>
          <w:sz w:val="30"/>
          <w:szCs w:val="30"/>
          <w:highlight w:val="none"/>
        </w:rPr>
        <w:sectPr>
          <w:pgSz w:w="11906" w:h="16838"/>
          <w:pgMar w:top="1134" w:right="1134" w:bottom="1134" w:left="1134" w:header="720" w:footer="720" w:gutter="0"/>
          <w:pgNumType w:fmt="decimal"/>
          <w:cols w:space="720" w:num="1"/>
          <w:docGrid w:type="lines" w:linePitch="331" w:charSpace="0"/>
        </w:sectPr>
      </w:pPr>
    </w:p>
    <w:p w14:paraId="62D985DF">
      <w:pPr>
        <w:pStyle w:val="7"/>
        <w:spacing w:line="600" w:lineRule="exact"/>
        <w:jc w:val="center"/>
        <w:rPr>
          <w:rFonts w:ascii="Times New Roman" w:hAnsi="Times New Roman"/>
          <w:b/>
          <w:bCs/>
          <w:color w:val="auto"/>
          <w:sz w:val="30"/>
          <w:szCs w:val="30"/>
          <w:highlight w:val="none"/>
        </w:rPr>
      </w:pPr>
    </w:p>
    <w:p w14:paraId="4E642331">
      <w:pPr>
        <w:pStyle w:val="7"/>
        <w:spacing w:line="600" w:lineRule="exact"/>
        <w:jc w:val="center"/>
        <w:rPr>
          <w:rFonts w:ascii="Times New Roman" w:hAnsi="Times New Roman"/>
          <w:color w:val="auto"/>
          <w:highlight w:val="none"/>
        </w:rPr>
      </w:pPr>
      <w:r>
        <w:rPr>
          <w:rFonts w:hint="eastAsia" w:ascii="Times New Roman" w:hAnsi="Times New Roman"/>
          <w:b/>
          <w:bCs/>
          <w:color w:val="auto"/>
          <w:sz w:val="30"/>
          <w:szCs w:val="30"/>
          <w:highlight w:val="none"/>
        </w:rPr>
        <w:t>七、联合体协议书</w:t>
      </w:r>
    </w:p>
    <w:p w14:paraId="5AA97D58">
      <w:pPr>
        <w:autoSpaceDE w:val="0"/>
        <w:autoSpaceDN w:val="0"/>
        <w:adjustRightInd w:val="0"/>
        <w:spacing w:line="360" w:lineRule="auto"/>
        <w:jc w:val="left"/>
        <w:rPr>
          <w:rFonts w:ascii="宋体" w:cs="宋体"/>
          <w:color w:val="auto"/>
          <w:kern w:val="0"/>
          <w:szCs w:val="21"/>
          <w:highlight w:val="none"/>
          <w:u w:val="single"/>
        </w:rPr>
      </w:pPr>
    </w:p>
    <w:p w14:paraId="0EC4B0A4">
      <w:pPr>
        <w:autoSpaceDE w:val="0"/>
        <w:autoSpaceDN w:val="0"/>
        <w:adjustRightInd w:val="0"/>
        <w:spacing w:line="360" w:lineRule="auto"/>
        <w:jc w:val="left"/>
        <w:rPr>
          <w:rFonts w:ascii="宋体" w:cs="宋体"/>
          <w:color w:val="auto"/>
          <w:kern w:val="0"/>
          <w:szCs w:val="21"/>
          <w:highlight w:val="none"/>
        </w:rPr>
      </w:pPr>
      <w:r>
        <w:rPr>
          <w:rFonts w:hint="eastAsia" w:ascii="宋体" w:cs="宋体"/>
          <w:color w:val="auto"/>
          <w:kern w:val="0"/>
          <w:szCs w:val="21"/>
          <w:highlight w:val="none"/>
        </w:rPr>
        <w:t>（所有成员单位名称）自愿组成联合体，共同参加</w:t>
      </w:r>
      <w:bookmarkStart w:id="311" w:name="PO_3000001866_PM031_6"/>
      <w:r>
        <w:rPr>
          <w:rFonts w:hint="eastAsia" w:ascii="宋体" w:cs="宋体"/>
          <w:color w:val="auto"/>
          <w:kern w:val="0"/>
          <w:szCs w:val="21"/>
          <w:highlight w:val="none"/>
          <w:u w:val="single"/>
        </w:rPr>
        <w:t>[项目采购-采购组织机构]</w:t>
      </w:r>
      <w:bookmarkEnd w:id="311"/>
      <w:r>
        <w:rPr>
          <w:rFonts w:hint="eastAsia" w:ascii="宋体" w:cs="宋体"/>
          <w:color w:val="auto"/>
          <w:kern w:val="0"/>
          <w:szCs w:val="21"/>
          <w:highlight w:val="none"/>
        </w:rPr>
        <w:t>组织的</w:t>
      </w:r>
      <w:bookmarkStart w:id="312" w:name="PO_3000001866_PM002_15"/>
      <w:r>
        <w:rPr>
          <w:rFonts w:hint="eastAsia" w:ascii="宋体" w:cs="宋体"/>
          <w:color w:val="auto"/>
          <w:kern w:val="0"/>
          <w:szCs w:val="21"/>
          <w:highlight w:val="none"/>
          <w:u w:val="single"/>
        </w:rPr>
        <w:t>[项目采购-项目名称]</w:t>
      </w:r>
      <w:bookmarkEnd w:id="312"/>
      <w:r>
        <w:rPr>
          <w:rFonts w:hint="eastAsia" w:ascii="宋体" w:cs="宋体"/>
          <w:color w:val="auto"/>
          <w:kern w:val="0"/>
          <w:szCs w:val="21"/>
          <w:highlight w:val="none"/>
        </w:rPr>
        <w:t>（项目编号：</w:t>
      </w:r>
      <w:bookmarkStart w:id="313" w:name="PO_3000001866_PM001_11"/>
      <w:r>
        <w:rPr>
          <w:rFonts w:hint="eastAsia" w:ascii="宋体" w:cs="宋体"/>
          <w:color w:val="auto"/>
          <w:kern w:val="0"/>
          <w:szCs w:val="21"/>
          <w:highlight w:val="none"/>
          <w:u w:val="single"/>
        </w:rPr>
        <w:t>[项目采购-项目编号]</w:t>
      </w:r>
      <w:bookmarkEnd w:id="313"/>
      <w:r>
        <w:rPr>
          <w:rFonts w:hint="eastAsia" w:ascii="宋体" w:cs="宋体"/>
          <w:color w:val="auto"/>
          <w:kern w:val="0"/>
          <w:szCs w:val="21"/>
          <w:highlight w:val="none"/>
        </w:rPr>
        <w:t>）投标。现就联合体投标事宜订立如下协议：</w:t>
      </w:r>
    </w:p>
    <w:p w14:paraId="6978BA7B">
      <w:pPr>
        <w:autoSpaceDE w:val="0"/>
        <w:autoSpaceDN w:val="0"/>
        <w:adjustRightInd w:val="0"/>
        <w:spacing w:line="360" w:lineRule="auto"/>
        <w:ind w:firstLine="420"/>
        <w:jc w:val="left"/>
        <w:rPr>
          <w:rFonts w:ascii="宋体" w:hAnsi="宋体" w:cs="宋体"/>
          <w:color w:val="auto"/>
          <w:kern w:val="0"/>
          <w:szCs w:val="21"/>
          <w:highlight w:val="none"/>
        </w:rPr>
      </w:pPr>
      <w:r>
        <w:rPr>
          <w:rFonts w:hint="eastAsia" w:ascii="宋体" w:hAnsi="宋体"/>
          <w:color w:val="auto"/>
          <w:kern w:val="0"/>
          <w:szCs w:val="21"/>
          <w:highlight w:val="none"/>
        </w:rPr>
        <w:t>1</w:t>
      </w:r>
      <w:r>
        <w:rPr>
          <w:rFonts w:hint="eastAsia" w:ascii="宋体" w:hAnsi="宋体" w:cs="宋体"/>
          <w:color w:val="auto"/>
          <w:kern w:val="0"/>
          <w:szCs w:val="21"/>
          <w:highlight w:val="none"/>
        </w:rPr>
        <w:t>、</w:t>
      </w:r>
      <w:r>
        <w:rPr>
          <w:color w:val="auto"/>
          <w:highlight w:val="none"/>
        </w:rPr>
        <w:t>________________________</w:t>
      </w:r>
      <w:r>
        <w:rPr>
          <w:rFonts w:hint="eastAsia" w:ascii="宋体" w:hAnsi="宋体" w:cs="宋体"/>
          <w:color w:val="auto"/>
          <w:kern w:val="0"/>
          <w:szCs w:val="21"/>
          <w:highlight w:val="none"/>
        </w:rPr>
        <w:t>（某成员单位名称）为联合体名称牵头人。</w:t>
      </w:r>
    </w:p>
    <w:p w14:paraId="1B79BAB1">
      <w:pPr>
        <w:autoSpaceDE w:val="0"/>
        <w:autoSpaceDN w:val="0"/>
        <w:adjustRightInd w:val="0"/>
        <w:spacing w:line="360" w:lineRule="auto"/>
        <w:ind w:firstLine="420"/>
        <w:jc w:val="left"/>
        <w:rPr>
          <w:rFonts w:ascii="宋体" w:hAnsi="宋体" w:cs="宋体"/>
          <w:color w:val="auto"/>
          <w:kern w:val="0"/>
          <w:szCs w:val="21"/>
          <w:highlight w:val="none"/>
        </w:rPr>
      </w:pPr>
      <w:r>
        <w:rPr>
          <w:rFonts w:hint="eastAsia" w:ascii="宋体" w:hAnsi="宋体"/>
          <w:color w:val="auto"/>
          <w:kern w:val="0"/>
          <w:szCs w:val="21"/>
          <w:highlight w:val="none"/>
        </w:rPr>
        <w:t>2</w:t>
      </w:r>
      <w:r>
        <w:rPr>
          <w:rFonts w:hint="eastAsia" w:ascii="宋体" w:hAnsi="宋体" w:cs="宋体"/>
          <w:color w:val="auto"/>
          <w:kern w:val="0"/>
          <w:szCs w:val="21"/>
          <w:highlight w:val="none"/>
        </w:rPr>
        <w:t>、联合体牵头人合法代表联合体各成员负责本招标项目投标文件编制和合同谈判活动，并代表联合体提交和接收相关的资料、信息及指示，并处理与之有关的一切事务，负责合同实施阶段的主办、组织和协调工作。</w:t>
      </w:r>
    </w:p>
    <w:p w14:paraId="062E2505">
      <w:pPr>
        <w:autoSpaceDE w:val="0"/>
        <w:autoSpaceDN w:val="0"/>
        <w:adjustRightInd w:val="0"/>
        <w:spacing w:line="360" w:lineRule="auto"/>
        <w:ind w:firstLine="420"/>
        <w:jc w:val="left"/>
        <w:rPr>
          <w:rFonts w:ascii="宋体" w:hAnsi="宋体" w:cs="宋体"/>
          <w:color w:val="auto"/>
          <w:kern w:val="0"/>
          <w:szCs w:val="21"/>
          <w:highlight w:val="none"/>
        </w:rPr>
      </w:pPr>
      <w:r>
        <w:rPr>
          <w:rFonts w:hint="eastAsia" w:ascii="宋体" w:hAnsi="宋体" w:cs="宋体"/>
          <w:color w:val="auto"/>
          <w:kern w:val="0"/>
          <w:szCs w:val="21"/>
          <w:highlight w:val="none"/>
        </w:rPr>
        <w:t>3、联合体牵头人在本项目中签署和盖章的一切文件和处理的一切事宜，联合体各成员均予以承认。 联合体各成员将严格按照招标文件、投标文件和合同的要求全面履行义务，并向招标人承担连带责任。</w:t>
      </w:r>
    </w:p>
    <w:p w14:paraId="7EEA43B0">
      <w:pPr>
        <w:autoSpaceDE w:val="0"/>
        <w:autoSpaceDN w:val="0"/>
        <w:adjustRightInd w:val="0"/>
        <w:spacing w:line="360" w:lineRule="auto"/>
        <w:ind w:firstLine="420"/>
        <w:jc w:val="left"/>
        <w:rPr>
          <w:rFonts w:ascii="宋体" w:hAnsi="宋体" w:cs="宋体"/>
          <w:color w:val="auto"/>
          <w:kern w:val="0"/>
          <w:szCs w:val="21"/>
          <w:highlight w:val="none"/>
        </w:rPr>
      </w:pPr>
      <w:r>
        <w:rPr>
          <w:rFonts w:hint="eastAsia" w:ascii="宋体" w:hAnsi="宋体"/>
          <w:color w:val="auto"/>
          <w:kern w:val="0"/>
          <w:szCs w:val="21"/>
          <w:highlight w:val="none"/>
        </w:rPr>
        <w:t>4</w:t>
      </w:r>
      <w:r>
        <w:rPr>
          <w:rFonts w:hint="eastAsia" w:ascii="宋体" w:hAnsi="宋体" w:cs="宋体"/>
          <w:color w:val="auto"/>
          <w:kern w:val="0"/>
          <w:szCs w:val="21"/>
          <w:highlight w:val="none"/>
        </w:rPr>
        <w:t>、联合体各成员单位内部的职责分工如下</w:t>
      </w:r>
      <w:r>
        <w:rPr>
          <w:rFonts w:hint="eastAsia" w:ascii="宋体" w:hAnsi="宋体" w:cs="宋体"/>
          <w:color w:val="auto"/>
          <w:kern w:val="0"/>
          <w:szCs w:val="21"/>
          <w:highlight w:val="none"/>
          <w:u w:val="single"/>
        </w:rPr>
        <w:t>：</w:t>
      </w:r>
      <w:r>
        <w:rPr>
          <w:color w:val="auto"/>
          <w:szCs w:val="21"/>
          <w:highlight w:val="none"/>
          <w:u w:val="single"/>
        </w:rPr>
        <w:t>________________________________________________</w:t>
      </w:r>
      <w:r>
        <w:rPr>
          <w:rFonts w:hint="eastAsia" w:ascii="宋体" w:hAnsi="宋体" w:cs="宋体"/>
          <w:color w:val="auto"/>
          <w:kern w:val="0"/>
          <w:szCs w:val="21"/>
          <w:highlight w:val="none"/>
        </w:rPr>
        <w:t>。</w:t>
      </w:r>
    </w:p>
    <w:p w14:paraId="0AA8E697">
      <w:pPr>
        <w:pStyle w:val="7"/>
        <w:spacing w:line="360" w:lineRule="auto"/>
        <w:ind w:firstLine="420" w:firstLineChars="200"/>
        <w:rPr>
          <w:rFonts w:ascii="Times New Roman" w:hAnsi="Times New Roman"/>
          <w:color w:val="auto"/>
          <w:szCs w:val="21"/>
          <w:highlight w:val="none"/>
        </w:rPr>
      </w:pPr>
      <w:r>
        <w:rPr>
          <w:rFonts w:hint="eastAsia" w:hAnsi="宋体" w:cs="宋体"/>
          <w:color w:val="auto"/>
          <w:kern w:val="0"/>
          <w:highlight w:val="none"/>
        </w:rPr>
        <w:t>5、本联合体中</w:t>
      </w:r>
      <w:r>
        <w:rPr>
          <w:rFonts w:hint="eastAsia" w:hAnsi="宋体" w:cs="宋体"/>
          <w:color w:val="auto"/>
          <w:kern w:val="0"/>
          <w:highlight w:val="none"/>
          <w:u w:val="single"/>
        </w:rPr>
        <w:t>，</w:t>
      </w:r>
      <w:r>
        <w:rPr>
          <w:rFonts w:hint="eastAsia"/>
          <w:color w:val="auto"/>
          <w:highlight w:val="none"/>
          <w:u w:val="single"/>
        </w:rPr>
        <w:t>________________________</w:t>
      </w:r>
      <w:r>
        <w:rPr>
          <w:rFonts w:hint="eastAsia" w:hAnsi="宋体" w:cs="宋体"/>
          <w:color w:val="auto"/>
          <w:kern w:val="0"/>
          <w:highlight w:val="none"/>
          <w:u w:val="single"/>
        </w:rPr>
        <w:t>（某成员单位名称）为</w:t>
      </w:r>
      <w:r>
        <w:rPr>
          <w:rFonts w:hint="eastAsia"/>
          <w:color w:val="auto"/>
          <w:highlight w:val="none"/>
          <w:u w:val="single"/>
        </w:rPr>
        <w:t>______</w:t>
      </w:r>
      <w:r>
        <w:rPr>
          <w:rFonts w:hint="eastAsia"/>
          <w:color w:val="auto"/>
          <w:highlight w:val="none"/>
        </w:rPr>
        <w:t>（请填写：中型、小型、微型）企业，其协议合同金额占联合体协议合同总金额的</w:t>
      </w:r>
      <w:r>
        <w:rPr>
          <w:rFonts w:hint="eastAsia"/>
          <w:color w:val="auto"/>
          <w:highlight w:val="none"/>
          <w:u w:val="single"/>
        </w:rPr>
        <w:t>______</w:t>
      </w:r>
      <w:r>
        <w:rPr>
          <w:rFonts w:hint="eastAsia"/>
          <w:color w:val="auto"/>
          <w:highlight w:val="none"/>
        </w:rPr>
        <w:t>%。【如联合体成员中有小型、微型企业的，请填写此条，否则无需填写；如联合体成员中有多个小型、微型企业的，请逐一列出。】</w:t>
      </w:r>
    </w:p>
    <w:p w14:paraId="4DB10622">
      <w:pPr>
        <w:autoSpaceDE w:val="0"/>
        <w:autoSpaceDN w:val="0"/>
        <w:adjustRightInd w:val="0"/>
        <w:spacing w:line="360" w:lineRule="auto"/>
        <w:ind w:firstLine="420"/>
        <w:jc w:val="left"/>
        <w:rPr>
          <w:rFonts w:ascii="宋体" w:hAnsi="宋体" w:cs="宋体"/>
          <w:color w:val="auto"/>
          <w:kern w:val="0"/>
          <w:szCs w:val="21"/>
          <w:highlight w:val="none"/>
        </w:rPr>
      </w:pPr>
      <w:r>
        <w:rPr>
          <w:rFonts w:hint="eastAsia" w:ascii="宋体" w:hAnsi="宋体"/>
          <w:color w:val="auto"/>
          <w:kern w:val="0"/>
          <w:szCs w:val="21"/>
          <w:highlight w:val="none"/>
        </w:rPr>
        <w:t>6</w:t>
      </w:r>
      <w:r>
        <w:rPr>
          <w:rFonts w:hint="eastAsia" w:ascii="宋体" w:hAnsi="宋体" w:cs="宋体"/>
          <w:color w:val="auto"/>
          <w:kern w:val="0"/>
          <w:szCs w:val="21"/>
          <w:highlight w:val="none"/>
        </w:rPr>
        <w:t>、本协议书自签署之日起生效，合同履行完毕后自动失效。</w:t>
      </w:r>
    </w:p>
    <w:p w14:paraId="7798A56C">
      <w:pPr>
        <w:autoSpaceDE w:val="0"/>
        <w:autoSpaceDN w:val="0"/>
        <w:adjustRightInd w:val="0"/>
        <w:spacing w:line="360" w:lineRule="auto"/>
        <w:ind w:firstLine="420"/>
        <w:jc w:val="left"/>
        <w:rPr>
          <w:rFonts w:ascii="宋体" w:hAnsi="宋体" w:cs="宋体"/>
          <w:color w:val="auto"/>
          <w:kern w:val="0"/>
          <w:szCs w:val="21"/>
          <w:highlight w:val="none"/>
        </w:rPr>
      </w:pPr>
      <w:r>
        <w:rPr>
          <w:rFonts w:hint="eastAsia" w:ascii="宋体" w:hAnsi="宋体"/>
          <w:color w:val="auto"/>
          <w:kern w:val="0"/>
          <w:szCs w:val="21"/>
          <w:highlight w:val="none"/>
        </w:rPr>
        <w:t>7</w:t>
      </w:r>
      <w:r>
        <w:rPr>
          <w:rFonts w:hint="eastAsia" w:ascii="宋体" w:hAnsi="宋体" w:cs="宋体"/>
          <w:color w:val="auto"/>
          <w:kern w:val="0"/>
          <w:szCs w:val="21"/>
          <w:highlight w:val="none"/>
        </w:rPr>
        <w:t>、本协议书一式份，联合体成员和采购代理机构各执一份。</w:t>
      </w:r>
    </w:p>
    <w:p w14:paraId="3CD64729">
      <w:pPr>
        <w:autoSpaceDE w:val="0"/>
        <w:autoSpaceDN w:val="0"/>
        <w:adjustRightInd w:val="0"/>
        <w:spacing w:line="360" w:lineRule="auto"/>
        <w:ind w:firstLine="420"/>
        <w:jc w:val="left"/>
        <w:rPr>
          <w:rFonts w:ascii="宋体" w:cs="宋体"/>
          <w:color w:val="auto"/>
          <w:kern w:val="0"/>
          <w:szCs w:val="21"/>
          <w:highlight w:val="none"/>
        </w:rPr>
      </w:pPr>
      <w:r>
        <w:rPr>
          <w:rFonts w:hint="eastAsia" w:ascii="宋体" w:cs="宋体"/>
          <w:color w:val="auto"/>
          <w:kern w:val="0"/>
          <w:szCs w:val="21"/>
          <w:highlight w:val="none"/>
        </w:rPr>
        <w:t>注：本协议书由法定代表人签字的，应附法定代表人身份证明；本协议书由委托代理人签字的，应附法定代表人授权委托书。</w:t>
      </w:r>
    </w:p>
    <w:p w14:paraId="4B30432D">
      <w:pPr>
        <w:autoSpaceDE w:val="0"/>
        <w:autoSpaceDN w:val="0"/>
        <w:adjustRightInd w:val="0"/>
        <w:spacing w:line="360" w:lineRule="auto"/>
        <w:jc w:val="left"/>
        <w:rPr>
          <w:rFonts w:ascii="宋体" w:cs="宋体"/>
          <w:color w:val="auto"/>
          <w:kern w:val="0"/>
          <w:szCs w:val="21"/>
          <w:highlight w:val="none"/>
        </w:rPr>
      </w:pPr>
      <w:r>
        <w:rPr>
          <w:rFonts w:hint="eastAsia" w:ascii="宋体" w:cs="宋体"/>
          <w:color w:val="auto"/>
          <w:kern w:val="0"/>
          <w:szCs w:val="21"/>
          <w:highlight w:val="none"/>
        </w:rPr>
        <w:t>牵头人名称：（公章/电子签章）</w:t>
      </w:r>
    </w:p>
    <w:p w14:paraId="330E3F8D">
      <w:pPr>
        <w:autoSpaceDE w:val="0"/>
        <w:autoSpaceDN w:val="0"/>
        <w:adjustRightInd w:val="0"/>
        <w:spacing w:line="360" w:lineRule="auto"/>
        <w:jc w:val="left"/>
        <w:rPr>
          <w:rFonts w:ascii="宋体" w:cs="宋体"/>
          <w:color w:val="auto"/>
          <w:kern w:val="0"/>
          <w:szCs w:val="21"/>
          <w:highlight w:val="none"/>
        </w:rPr>
      </w:pPr>
      <w:r>
        <w:rPr>
          <w:rFonts w:hint="eastAsia" w:ascii="宋体" w:cs="宋体"/>
          <w:color w:val="auto"/>
          <w:kern w:val="0"/>
          <w:szCs w:val="21"/>
          <w:highlight w:val="none"/>
        </w:rPr>
        <w:t>法定代表人或其委托代理人：（手写签名/电子签名）</w:t>
      </w:r>
    </w:p>
    <w:p w14:paraId="425E86FF">
      <w:pPr>
        <w:autoSpaceDE w:val="0"/>
        <w:autoSpaceDN w:val="0"/>
        <w:adjustRightInd w:val="0"/>
        <w:spacing w:line="360" w:lineRule="auto"/>
        <w:jc w:val="left"/>
        <w:rPr>
          <w:rFonts w:ascii="宋体" w:cs="宋体"/>
          <w:color w:val="auto"/>
          <w:kern w:val="0"/>
          <w:szCs w:val="21"/>
          <w:highlight w:val="none"/>
        </w:rPr>
      </w:pPr>
    </w:p>
    <w:p w14:paraId="572A3581">
      <w:pPr>
        <w:autoSpaceDE w:val="0"/>
        <w:autoSpaceDN w:val="0"/>
        <w:adjustRightInd w:val="0"/>
        <w:spacing w:line="360" w:lineRule="auto"/>
        <w:jc w:val="left"/>
        <w:rPr>
          <w:rFonts w:ascii="宋体" w:cs="宋体"/>
          <w:color w:val="auto"/>
          <w:kern w:val="0"/>
          <w:szCs w:val="21"/>
          <w:highlight w:val="none"/>
        </w:rPr>
      </w:pPr>
      <w:r>
        <w:rPr>
          <w:rFonts w:hint="eastAsia" w:ascii="宋体" w:cs="宋体"/>
          <w:color w:val="auto"/>
          <w:kern w:val="0"/>
          <w:szCs w:val="21"/>
          <w:highlight w:val="none"/>
        </w:rPr>
        <w:t>成员一名称：（公章/电子签章）</w:t>
      </w:r>
    </w:p>
    <w:p w14:paraId="797ECFB7">
      <w:pPr>
        <w:autoSpaceDE w:val="0"/>
        <w:autoSpaceDN w:val="0"/>
        <w:adjustRightInd w:val="0"/>
        <w:spacing w:line="360" w:lineRule="auto"/>
        <w:jc w:val="left"/>
        <w:rPr>
          <w:rFonts w:ascii="宋体" w:cs="宋体"/>
          <w:color w:val="auto"/>
          <w:kern w:val="0"/>
          <w:szCs w:val="21"/>
          <w:highlight w:val="none"/>
        </w:rPr>
      </w:pPr>
      <w:r>
        <w:rPr>
          <w:rFonts w:hint="eastAsia" w:ascii="宋体" w:cs="宋体"/>
          <w:color w:val="auto"/>
          <w:kern w:val="0"/>
          <w:szCs w:val="21"/>
          <w:highlight w:val="none"/>
        </w:rPr>
        <w:t>法定代表人或其委托代理人：（手写签名/电子签名）</w:t>
      </w:r>
    </w:p>
    <w:p w14:paraId="0E9DBAF6">
      <w:pPr>
        <w:autoSpaceDE w:val="0"/>
        <w:autoSpaceDN w:val="0"/>
        <w:adjustRightInd w:val="0"/>
        <w:spacing w:line="360" w:lineRule="auto"/>
        <w:jc w:val="left"/>
        <w:rPr>
          <w:rFonts w:ascii="宋体" w:cs="宋体"/>
          <w:color w:val="auto"/>
          <w:kern w:val="0"/>
          <w:szCs w:val="21"/>
          <w:highlight w:val="none"/>
        </w:rPr>
      </w:pPr>
    </w:p>
    <w:p w14:paraId="51E92CEB">
      <w:pPr>
        <w:autoSpaceDE w:val="0"/>
        <w:autoSpaceDN w:val="0"/>
        <w:adjustRightInd w:val="0"/>
        <w:spacing w:line="360" w:lineRule="auto"/>
        <w:jc w:val="left"/>
        <w:rPr>
          <w:rFonts w:ascii="宋体" w:cs="宋体"/>
          <w:color w:val="auto"/>
          <w:kern w:val="0"/>
          <w:szCs w:val="21"/>
          <w:highlight w:val="none"/>
        </w:rPr>
      </w:pPr>
      <w:r>
        <w:rPr>
          <w:rFonts w:hint="eastAsia" w:ascii="宋体" w:cs="宋体"/>
          <w:color w:val="auto"/>
          <w:kern w:val="0"/>
          <w:szCs w:val="21"/>
          <w:highlight w:val="none"/>
        </w:rPr>
        <w:t>成员二名称：（公章/电子签章）</w:t>
      </w:r>
    </w:p>
    <w:p w14:paraId="3E1FA061">
      <w:pPr>
        <w:pStyle w:val="7"/>
        <w:spacing w:line="600" w:lineRule="exact"/>
        <w:rPr>
          <w:rFonts w:cs="宋体"/>
          <w:color w:val="auto"/>
          <w:kern w:val="0"/>
          <w:szCs w:val="21"/>
          <w:highlight w:val="none"/>
        </w:rPr>
      </w:pPr>
      <w:r>
        <w:rPr>
          <w:rFonts w:hint="eastAsia" w:cs="宋体"/>
          <w:color w:val="auto"/>
          <w:kern w:val="0"/>
          <w:szCs w:val="21"/>
          <w:highlight w:val="none"/>
        </w:rPr>
        <w:t>法定代表人或其委托代理人：（</w:t>
      </w:r>
      <w:r>
        <w:rPr>
          <w:rFonts w:hint="eastAsia" w:hAnsi="Times New Roman" w:cs="宋体"/>
          <w:color w:val="auto"/>
          <w:kern w:val="0"/>
          <w:szCs w:val="21"/>
          <w:highlight w:val="none"/>
        </w:rPr>
        <w:t>手写签名</w:t>
      </w:r>
      <w:r>
        <w:rPr>
          <w:rFonts w:hint="eastAsia" w:cs="宋体"/>
          <w:color w:val="auto"/>
          <w:kern w:val="0"/>
          <w:szCs w:val="21"/>
          <w:highlight w:val="none"/>
        </w:rPr>
        <w:t>/</w:t>
      </w:r>
      <w:r>
        <w:rPr>
          <w:rFonts w:hint="eastAsia" w:hAnsi="Times New Roman" w:cs="宋体"/>
          <w:color w:val="auto"/>
          <w:kern w:val="0"/>
          <w:szCs w:val="21"/>
          <w:highlight w:val="none"/>
        </w:rPr>
        <w:t>电子签名</w:t>
      </w:r>
      <w:r>
        <w:rPr>
          <w:rFonts w:hint="eastAsia" w:cs="宋体"/>
          <w:color w:val="auto"/>
          <w:kern w:val="0"/>
          <w:szCs w:val="21"/>
          <w:highlight w:val="none"/>
        </w:rPr>
        <w:t>）</w:t>
      </w:r>
    </w:p>
    <w:p w14:paraId="0E33C07B">
      <w:pPr>
        <w:pStyle w:val="7"/>
        <w:spacing w:line="600" w:lineRule="exact"/>
        <w:jc w:val="center"/>
        <w:rPr>
          <w:rFonts w:cs="宋体"/>
          <w:color w:val="auto"/>
          <w:kern w:val="0"/>
          <w:szCs w:val="21"/>
          <w:highlight w:val="none"/>
        </w:rPr>
      </w:pPr>
    </w:p>
    <w:p w14:paraId="40F159B6">
      <w:pPr>
        <w:pStyle w:val="7"/>
        <w:spacing w:line="600" w:lineRule="exact"/>
        <w:jc w:val="center"/>
        <w:rPr>
          <w:rFonts w:ascii="Times New Roman" w:hAnsi="Times New Roman"/>
          <w:b/>
          <w:bCs/>
          <w:color w:val="auto"/>
          <w:sz w:val="30"/>
          <w:szCs w:val="30"/>
          <w:highlight w:val="none"/>
        </w:rPr>
      </w:pPr>
      <w:r>
        <w:rPr>
          <w:rFonts w:hint="eastAsia" w:ascii="Times New Roman" w:hAnsi="Times New Roman"/>
          <w:b/>
          <w:bCs/>
          <w:color w:val="auto"/>
          <w:sz w:val="30"/>
          <w:szCs w:val="30"/>
          <w:highlight w:val="none"/>
        </w:rPr>
        <w:t>八、符合特定资格条件（如有）的有关证明材料</w:t>
      </w:r>
    </w:p>
    <w:p w14:paraId="63FAE53C">
      <w:pPr>
        <w:pStyle w:val="7"/>
        <w:spacing w:line="600" w:lineRule="exact"/>
        <w:jc w:val="center"/>
        <w:rPr>
          <w:rFonts w:ascii="Times New Roman" w:hAnsi="Times New Roman"/>
          <w:b/>
          <w:bCs/>
          <w:color w:val="auto"/>
          <w:sz w:val="30"/>
          <w:szCs w:val="30"/>
          <w:highlight w:val="none"/>
        </w:rPr>
      </w:pPr>
    </w:p>
    <w:p w14:paraId="5C36FB20">
      <w:pPr>
        <w:pStyle w:val="7"/>
        <w:spacing w:line="600" w:lineRule="exact"/>
        <w:jc w:val="center"/>
        <w:rPr>
          <w:rFonts w:ascii="Times New Roman" w:hAnsi="Times New Roman"/>
          <w:b/>
          <w:bCs/>
          <w:color w:val="auto"/>
          <w:sz w:val="30"/>
          <w:szCs w:val="30"/>
          <w:highlight w:val="none"/>
        </w:rPr>
      </w:pPr>
    </w:p>
    <w:p w14:paraId="0770CAB5">
      <w:pPr>
        <w:snapToGrid w:val="0"/>
        <w:spacing w:line="360" w:lineRule="auto"/>
        <w:ind w:firstLine="5040" w:firstLineChars="2100"/>
        <w:rPr>
          <w:rFonts w:ascii="方正仿宋_GB2312" w:hAnsi="仿宋" w:eastAsia="方正仿宋_GB2312" w:cs="方正仿宋_GB2312"/>
          <w:color w:val="auto"/>
          <w:kern w:val="0"/>
          <w:sz w:val="24"/>
          <w:highlight w:val="none"/>
        </w:rPr>
      </w:pPr>
      <w:r>
        <w:rPr>
          <w:rFonts w:hint="eastAsia" w:ascii="方正仿宋_GB2312" w:hAnsi="仿宋" w:eastAsia="方正仿宋_GB2312" w:cs="方正仿宋_GB2312"/>
          <w:color w:val="auto"/>
          <w:kern w:val="0"/>
          <w:sz w:val="24"/>
          <w:highlight w:val="none"/>
          <w:lang w:val="zh-CN"/>
        </w:rPr>
        <w:t>投标人名称(电子签章)：</w:t>
      </w:r>
    </w:p>
    <w:p w14:paraId="1D066C7E">
      <w:pPr>
        <w:snapToGrid w:val="0"/>
        <w:spacing w:line="360" w:lineRule="auto"/>
        <w:ind w:firstLine="5160" w:firstLineChars="2150"/>
        <w:rPr>
          <w:rFonts w:ascii="方正仿宋_GB2312" w:hAnsi="仿宋" w:eastAsia="方正仿宋_GB2312" w:cs="方正仿宋_GB2312"/>
          <w:color w:val="auto"/>
          <w:kern w:val="0"/>
          <w:sz w:val="24"/>
          <w:highlight w:val="none"/>
          <w:lang w:val="zh-CN"/>
        </w:rPr>
      </w:pPr>
      <w:r>
        <w:rPr>
          <w:rFonts w:hint="eastAsia" w:ascii="方正仿宋_GB2312" w:hAnsi="仿宋" w:eastAsia="方正仿宋_GB2312" w:cs="方正仿宋_GB2312"/>
          <w:color w:val="auto"/>
          <w:kern w:val="0"/>
          <w:sz w:val="24"/>
          <w:highlight w:val="none"/>
          <w:lang w:val="zh-CN"/>
        </w:rPr>
        <w:t>日期</w:t>
      </w:r>
      <w:r>
        <w:rPr>
          <w:rFonts w:hint="eastAsia" w:ascii="方正仿宋_GB2312" w:hAnsi="仿宋" w:eastAsia="方正仿宋_GB2312" w:cs="方正仿宋_GB2312"/>
          <w:color w:val="auto"/>
          <w:kern w:val="0"/>
          <w:sz w:val="24"/>
          <w:highlight w:val="none"/>
        </w:rPr>
        <w:t xml:space="preserve">：  年  </w:t>
      </w:r>
      <w:r>
        <w:rPr>
          <w:rFonts w:hint="eastAsia" w:ascii="方正仿宋_GB2312" w:hAnsi="仿宋" w:eastAsia="方正仿宋_GB2312" w:cs="方正仿宋_GB2312"/>
          <w:color w:val="auto"/>
          <w:kern w:val="0"/>
          <w:sz w:val="24"/>
          <w:highlight w:val="none"/>
          <w:lang w:val="zh-CN"/>
        </w:rPr>
        <w:t>月日</w:t>
      </w:r>
    </w:p>
    <w:p w14:paraId="7C1F4CEE">
      <w:pPr>
        <w:snapToGrid w:val="0"/>
        <w:spacing w:line="360" w:lineRule="auto"/>
        <w:ind w:firstLine="5160" w:firstLineChars="2150"/>
        <w:rPr>
          <w:rFonts w:ascii="方正仿宋_GB2312" w:hAnsi="仿宋" w:eastAsia="方正仿宋_GB2312" w:cs="方正仿宋_GB2312"/>
          <w:color w:val="auto"/>
          <w:kern w:val="0"/>
          <w:sz w:val="24"/>
          <w:highlight w:val="none"/>
          <w:lang w:val="zh-CN"/>
        </w:rPr>
      </w:pPr>
    </w:p>
    <w:p w14:paraId="4C0ACC45">
      <w:pPr>
        <w:snapToGrid w:val="0"/>
        <w:spacing w:line="360" w:lineRule="auto"/>
        <w:ind w:firstLine="5160" w:firstLineChars="2150"/>
        <w:rPr>
          <w:rFonts w:ascii="方正仿宋_GB2312" w:hAnsi="仿宋" w:eastAsia="方正仿宋_GB2312" w:cs="方正仿宋_GB2312"/>
          <w:color w:val="auto"/>
          <w:kern w:val="0"/>
          <w:sz w:val="24"/>
          <w:highlight w:val="none"/>
          <w:lang w:val="zh-CN"/>
        </w:rPr>
      </w:pPr>
    </w:p>
    <w:p w14:paraId="5B01AEBA">
      <w:pPr>
        <w:snapToGrid w:val="0"/>
        <w:spacing w:line="360" w:lineRule="auto"/>
        <w:ind w:firstLine="5160" w:firstLineChars="2150"/>
        <w:rPr>
          <w:rFonts w:ascii="方正仿宋_GB2312" w:hAnsi="仿宋" w:eastAsia="方正仿宋_GB2312" w:cs="方正仿宋_GB2312"/>
          <w:color w:val="auto"/>
          <w:kern w:val="0"/>
          <w:sz w:val="24"/>
          <w:highlight w:val="none"/>
          <w:lang w:val="zh-CN"/>
        </w:rPr>
      </w:pPr>
    </w:p>
    <w:p w14:paraId="604BE272">
      <w:pPr>
        <w:snapToGrid w:val="0"/>
        <w:spacing w:line="360" w:lineRule="auto"/>
        <w:ind w:firstLine="5160" w:firstLineChars="2150"/>
        <w:rPr>
          <w:rFonts w:ascii="方正仿宋_GB2312" w:hAnsi="仿宋" w:eastAsia="方正仿宋_GB2312" w:cs="方正仿宋_GB2312"/>
          <w:color w:val="auto"/>
          <w:kern w:val="0"/>
          <w:sz w:val="24"/>
          <w:highlight w:val="none"/>
          <w:lang w:val="zh-CN"/>
        </w:rPr>
      </w:pPr>
    </w:p>
    <w:p w14:paraId="46EC9E77">
      <w:pPr>
        <w:snapToGrid w:val="0"/>
        <w:spacing w:line="360" w:lineRule="auto"/>
        <w:ind w:firstLine="5160" w:firstLineChars="2150"/>
        <w:rPr>
          <w:rFonts w:ascii="方正仿宋_GB2312" w:hAnsi="仿宋" w:eastAsia="方正仿宋_GB2312" w:cs="方正仿宋_GB2312"/>
          <w:color w:val="auto"/>
          <w:kern w:val="0"/>
          <w:sz w:val="24"/>
          <w:highlight w:val="none"/>
          <w:lang w:val="zh-CN"/>
        </w:rPr>
      </w:pPr>
    </w:p>
    <w:p w14:paraId="52B983CD">
      <w:pPr>
        <w:snapToGrid w:val="0"/>
        <w:spacing w:line="360" w:lineRule="auto"/>
        <w:ind w:firstLine="5160" w:firstLineChars="2150"/>
        <w:rPr>
          <w:rFonts w:ascii="方正仿宋_GB2312" w:hAnsi="仿宋" w:eastAsia="方正仿宋_GB2312" w:cs="方正仿宋_GB2312"/>
          <w:color w:val="auto"/>
          <w:kern w:val="0"/>
          <w:sz w:val="24"/>
          <w:highlight w:val="none"/>
          <w:lang w:val="zh-CN"/>
        </w:rPr>
      </w:pPr>
    </w:p>
    <w:p w14:paraId="7522D9E6">
      <w:pPr>
        <w:snapToGrid w:val="0"/>
        <w:spacing w:line="360" w:lineRule="auto"/>
        <w:ind w:firstLine="5160" w:firstLineChars="2150"/>
        <w:rPr>
          <w:rFonts w:ascii="方正仿宋_GB2312" w:hAnsi="仿宋" w:eastAsia="方正仿宋_GB2312" w:cs="方正仿宋_GB2312"/>
          <w:color w:val="auto"/>
          <w:kern w:val="0"/>
          <w:sz w:val="24"/>
          <w:highlight w:val="none"/>
          <w:lang w:val="zh-CN"/>
        </w:rPr>
      </w:pPr>
    </w:p>
    <w:p w14:paraId="067BCE3F">
      <w:pPr>
        <w:snapToGrid w:val="0"/>
        <w:spacing w:line="360" w:lineRule="auto"/>
        <w:ind w:firstLine="5160" w:firstLineChars="2150"/>
        <w:rPr>
          <w:rFonts w:ascii="方正仿宋_GB2312" w:hAnsi="仿宋" w:eastAsia="方正仿宋_GB2312" w:cs="方正仿宋_GB2312"/>
          <w:color w:val="auto"/>
          <w:kern w:val="0"/>
          <w:sz w:val="24"/>
          <w:highlight w:val="none"/>
          <w:lang w:val="zh-CN"/>
        </w:rPr>
      </w:pPr>
    </w:p>
    <w:p w14:paraId="260D12D0">
      <w:pPr>
        <w:snapToGrid w:val="0"/>
        <w:spacing w:line="360" w:lineRule="auto"/>
        <w:ind w:firstLine="5160" w:firstLineChars="2150"/>
        <w:rPr>
          <w:rFonts w:ascii="方正仿宋_GB2312" w:hAnsi="仿宋" w:eastAsia="方正仿宋_GB2312" w:cs="方正仿宋_GB2312"/>
          <w:color w:val="auto"/>
          <w:kern w:val="0"/>
          <w:sz w:val="24"/>
          <w:highlight w:val="none"/>
          <w:lang w:val="zh-CN"/>
        </w:rPr>
      </w:pPr>
    </w:p>
    <w:p w14:paraId="1F35E4DB">
      <w:pPr>
        <w:snapToGrid w:val="0"/>
        <w:spacing w:line="360" w:lineRule="auto"/>
        <w:ind w:firstLine="5160" w:firstLineChars="2150"/>
        <w:rPr>
          <w:rFonts w:ascii="方正仿宋_GB2312" w:hAnsi="仿宋" w:eastAsia="方正仿宋_GB2312" w:cs="方正仿宋_GB2312"/>
          <w:color w:val="auto"/>
          <w:kern w:val="0"/>
          <w:sz w:val="24"/>
          <w:highlight w:val="none"/>
          <w:lang w:val="zh-CN"/>
        </w:rPr>
      </w:pPr>
    </w:p>
    <w:p w14:paraId="61AA6725">
      <w:pPr>
        <w:snapToGrid w:val="0"/>
        <w:spacing w:line="360" w:lineRule="auto"/>
        <w:ind w:firstLine="5160" w:firstLineChars="2150"/>
        <w:rPr>
          <w:rFonts w:ascii="方正仿宋_GB2312" w:hAnsi="仿宋" w:eastAsia="方正仿宋_GB2312" w:cs="方正仿宋_GB2312"/>
          <w:color w:val="auto"/>
          <w:kern w:val="0"/>
          <w:sz w:val="24"/>
          <w:highlight w:val="none"/>
          <w:lang w:val="zh-CN"/>
        </w:rPr>
      </w:pPr>
    </w:p>
    <w:p w14:paraId="3403C99C">
      <w:pPr>
        <w:snapToGrid w:val="0"/>
        <w:spacing w:line="360" w:lineRule="auto"/>
        <w:ind w:firstLine="5160" w:firstLineChars="2150"/>
        <w:rPr>
          <w:rFonts w:ascii="方正仿宋_GB2312" w:hAnsi="仿宋" w:eastAsia="方正仿宋_GB2312" w:cs="方正仿宋_GB2312"/>
          <w:color w:val="auto"/>
          <w:kern w:val="0"/>
          <w:sz w:val="24"/>
          <w:highlight w:val="none"/>
          <w:lang w:val="zh-CN"/>
        </w:rPr>
      </w:pPr>
    </w:p>
    <w:p w14:paraId="37B5E31D">
      <w:pPr>
        <w:snapToGrid w:val="0"/>
        <w:spacing w:line="360" w:lineRule="auto"/>
        <w:ind w:firstLine="5160" w:firstLineChars="2150"/>
        <w:rPr>
          <w:rFonts w:ascii="方正仿宋_GB2312" w:hAnsi="仿宋" w:eastAsia="方正仿宋_GB2312" w:cs="方正仿宋_GB2312"/>
          <w:color w:val="auto"/>
          <w:kern w:val="0"/>
          <w:sz w:val="24"/>
          <w:highlight w:val="none"/>
          <w:lang w:val="zh-CN"/>
        </w:rPr>
      </w:pPr>
    </w:p>
    <w:p w14:paraId="17D7BACB">
      <w:pPr>
        <w:snapToGrid w:val="0"/>
        <w:spacing w:line="360" w:lineRule="auto"/>
        <w:ind w:firstLine="5160" w:firstLineChars="2150"/>
        <w:rPr>
          <w:rFonts w:ascii="方正仿宋_GB2312" w:hAnsi="仿宋" w:eastAsia="方正仿宋_GB2312" w:cs="方正仿宋_GB2312"/>
          <w:color w:val="auto"/>
          <w:kern w:val="0"/>
          <w:sz w:val="24"/>
          <w:highlight w:val="none"/>
          <w:lang w:val="zh-CN"/>
        </w:rPr>
      </w:pPr>
    </w:p>
    <w:p w14:paraId="3B129799">
      <w:pPr>
        <w:snapToGrid w:val="0"/>
        <w:spacing w:line="360" w:lineRule="auto"/>
        <w:ind w:firstLine="5160" w:firstLineChars="2150"/>
        <w:rPr>
          <w:rFonts w:ascii="方正仿宋_GB2312" w:hAnsi="仿宋" w:eastAsia="方正仿宋_GB2312" w:cs="方正仿宋_GB2312"/>
          <w:color w:val="auto"/>
          <w:kern w:val="0"/>
          <w:sz w:val="24"/>
          <w:highlight w:val="none"/>
          <w:lang w:val="zh-CN"/>
        </w:rPr>
      </w:pPr>
    </w:p>
    <w:p w14:paraId="0B71FA50">
      <w:pPr>
        <w:snapToGrid w:val="0"/>
        <w:spacing w:line="360" w:lineRule="auto"/>
        <w:ind w:firstLine="5160" w:firstLineChars="2150"/>
        <w:rPr>
          <w:rFonts w:ascii="方正仿宋_GB2312" w:hAnsi="仿宋" w:eastAsia="方正仿宋_GB2312" w:cs="方正仿宋_GB2312"/>
          <w:color w:val="auto"/>
          <w:kern w:val="0"/>
          <w:sz w:val="24"/>
          <w:highlight w:val="none"/>
          <w:lang w:val="zh-CN"/>
        </w:rPr>
      </w:pPr>
    </w:p>
    <w:p w14:paraId="156E3C06">
      <w:pPr>
        <w:snapToGrid w:val="0"/>
        <w:spacing w:line="360" w:lineRule="auto"/>
        <w:ind w:firstLine="5160" w:firstLineChars="2150"/>
        <w:rPr>
          <w:rFonts w:ascii="方正仿宋_GB2312" w:hAnsi="仿宋" w:eastAsia="方正仿宋_GB2312" w:cs="方正仿宋_GB2312"/>
          <w:color w:val="auto"/>
          <w:kern w:val="0"/>
          <w:sz w:val="24"/>
          <w:highlight w:val="none"/>
          <w:lang w:val="zh-CN"/>
        </w:rPr>
      </w:pPr>
    </w:p>
    <w:p w14:paraId="2322C747">
      <w:pPr>
        <w:snapToGrid w:val="0"/>
        <w:spacing w:line="360" w:lineRule="auto"/>
        <w:ind w:firstLine="5160" w:firstLineChars="2150"/>
        <w:rPr>
          <w:rFonts w:ascii="方正仿宋_GB2312" w:hAnsi="仿宋" w:eastAsia="方正仿宋_GB2312" w:cs="方正仿宋_GB2312"/>
          <w:color w:val="auto"/>
          <w:kern w:val="0"/>
          <w:sz w:val="24"/>
          <w:highlight w:val="none"/>
          <w:lang w:val="zh-CN"/>
        </w:rPr>
      </w:pPr>
    </w:p>
    <w:p w14:paraId="705CEB74">
      <w:pPr>
        <w:snapToGrid w:val="0"/>
        <w:spacing w:line="360" w:lineRule="auto"/>
        <w:ind w:firstLine="5160" w:firstLineChars="2150"/>
        <w:rPr>
          <w:rFonts w:ascii="方正仿宋_GB2312" w:hAnsi="仿宋" w:eastAsia="方正仿宋_GB2312" w:cs="方正仿宋_GB2312"/>
          <w:color w:val="auto"/>
          <w:kern w:val="0"/>
          <w:sz w:val="24"/>
          <w:highlight w:val="none"/>
          <w:lang w:val="zh-CN"/>
        </w:rPr>
      </w:pPr>
    </w:p>
    <w:p w14:paraId="5568A789">
      <w:pPr>
        <w:snapToGrid w:val="0"/>
        <w:spacing w:line="360" w:lineRule="auto"/>
        <w:ind w:firstLine="5160" w:firstLineChars="2150"/>
        <w:rPr>
          <w:rFonts w:ascii="方正仿宋_GB2312" w:hAnsi="仿宋" w:eastAsia="方正仿宋_GB2312" w:cs="方正仿宋_GB2312"/>
          <w:color w:val="auto"/>
          <w:kern w:val="0"/>
          <w:sz w:val="24"/>
          <w:highlight w:val="none"/>
          <w:lang w:val="zh-CN"/>
        </w:rPr>
      </w:pPr>
    </w:p>
    <w:p w14:paraId="66ABD07F">
      <w:pPr>
        <w:snapToGrid w:val="0"/>
        <w:spacing w:line="360" w:lineRule="auto"/>
        <w:ind w:firstLine="5160" w:firstLineChars="2150"/>
        <w:rPr>
          <w:rFonts w:ascii="方正仿宋_GB2312" w:hAnsi="仿宋" w:eastAsia="方正仿宋_GB2312" w:cs="方正仿宋_GB2312"/>
          <w:color w:val="auto"/>
          <w:kern w:val="0"/>
          <w:sz w:val="24"/>
          <w:highlight w:val="none"/>
          <w:lang w:val="zh-CN"/>
        </w:rPr>
      </w:pPr>
    </w:p>
    <w:p w14:paraId="6A25C1B5">
      <w:pPr>
        <w:snapToGrid w:val="0"/>
        <w:spacing w:line="360" w:lineRule="auto"/>
        <w:ind w:firstLine="5160" w:firstLineChars="2150"/>
        <w:rPr>
          <w:rFonts w:ascii="方正仿宋_GB2312" w:hAnsi="仿宋" w:eastAsia="方正仿宋_GB2312" w:cs="方正仿宋_GB2312"/>
          <w:color w:val="auto"/>
          <w:kern w:val="0"/>
          <w:sz w:val="24"/>
          <w:highlight w:val="none"/>
          <w:lang w:val="zh-CN"/>
        </w:rPr>
      </w:pPr>
    </w:p>
    <w:p w14:paraId="6C01BC1C">
      <w:pPr>
        <w:pStyle w:val="7"/>
        <w:rPr>
          <w:rFonts w:hAnsi="宋体"/>
          <w:color w:val="auto"/>
          <w:szCs w:val="21"/>
          <w:highlight w:val="none"/>
        </w:rPr>
      </w:pPr>
    </w:p>
    <w:p w14:paraId="672AD277">
      <w:pPr>
        <w:pStyle w:val="7"/>
        <w:jc w:val="center"/>
        <w:outlineLvl w:val="1"/>
        <w:rPr>
          <w:rFonts w:hAnsi="宋体"/>
          <w:b/>
          <w:bCs/>
          <w:color w:val="auto"/>
          <w:sz w:val="28"/>
          <w:szCs w:val="28"/>
          <w:highlight w:val="none"/>
        </w:rPr>
      </w:pPr>
      <w:bookmarkStart w:id="314" w:name="_Toc187761574"/>
      <w:bookmarkStart w:id="315" w:name="_Toc19686838"/>
      <w:r>
        <w:rPr>
          <w:rFonts w:hint="eastAsia" w:hAnsi="宋体"/>
          <w:b/>
          <w:bCs/>
          <w:color w:val="auto"/>
          <w:sz w:val="28"/>
          <w:szCs w:val="28"/>
          <w:highlight w:val="none"/>
        </w:rPr>
        <w:t>第三节 商务文件格式</w:t>
      </w:r>
      <w:bookmarkEnd w:id="314"/>
      <w:bookmarkEnd w:id="315"/>
    </w:p>
    <w:p w14:paraId="19ADB873">
      <w:pPr>
        <w:snapToGrid w:val="0"/>
        <w:spacing w:before="165" w:beforeLines="50" w:after="50"/>
        <w:rPr>
          <w:rFonts w:ascii="宋体" w:hAnsi="宋体"/>
          <w:color w:val="auto"/>
          <w:sz w:val="30"/>
          <w:szCs w:val="20"/>
          <w:highlight w:val="none"/>
        </w:rPr>
      </w:pPr>
    </w:p>
    <w:p w14:paraId="11E29E76">
      <w:pPr>
        <w:snapToGrid w:val="0"/>
        <w:spacing w:before="165" w:beforeLines="50" w:after="50"/>
        <w:rPr>
          <w:rFonts w:ascii="宋体" w:hAnsi="宋体"/>
          <w:bCs/>
          <w:color w:val="auto"/>
          <w:sz w:val="32"/>
          <w:szCs w:val="20"/>
          <w:highlight w:val="none"/>
        </w:rPr>
      </w:pPr>
      <w:r>
        <w:rPr>
          <w:rFonts w:hint="eastAsia" w:ascii="宋体" w:hAnsi="宋体"/>
          <w:bCs/>
          <w:color w:val="auto"/>
          <w:highlight w:val="none"/>
        </w:rPr>
        <w:t xml:space="preserve">             电子投标文件</w:t>
      </w:r>
    </w:p>
    <w:p w14:paraId="6E2CDC4E">
      <w:pPr>
        <w:snapToGrid w:val="0"/>
        <w:spacing w:before="165" w:beforeLines="50" w:after="50"/>
        <w:rPr>
          <w:rFonts w:ascii="宋体" w:hAnsi="宋体"/>
          <w:color w:val="auto"/>
          <w:sz w:val="24"/>
          <w:szCs w:val="20"/>
          <w:highlight w:val="none"/>
        </w:rPr>
      </w:pPr>
    </w:p>
    <w:p w14:paraId="2C87DCE9">
      <w:pPr>
        <w:snapToGrid w:val="0"/>
        <w:spacing w:before="165" w:beforeLines="50" w:after="50"/>
        <w:jc w:val="center"/>
        <w:rPr>
          <w:rFonts w:ascii="宋体" w:hAnsi="宋体"/>
          <w:b/>
          <w:color w:val="auto"/>
          <w:sz w:val="24"/>
          <w:szCs w:val="20"/>
          <w:highlight w:val="none"/>
        </w:rPr>
      </w:pPr>
      <w:r>
        <w:rPr>
          <w:rFonts w:hint="eastAsia" w:ascii="宋体" w:hAnsi="宋体"/>
          <w:b/>
          <w:color w:val="auto"/>
          <w:sz w:val="32"/>
          <w:szCs w:val="32"/>
          <w:highlight w:val="none"/>
        </w:rPr>
        <w:t>商务文件（封面）</w:t>
      </w:r>
    </w:p>
    <w:p w14:paraId="387C1CC7">
      <w:pPr>
        <w:snapToGrid w:val="0"/>
        <w:spacing w:before="165" w:beforeLines="50" w:after="50"/>
        <w:rPr>
          <w:rFonts w:ascii="宋体" w:hAnsi="宋体"/>
          <w:bCs/>
          <w:color w:val="auto"/>
          <w:sz w:val="24"/>
          <w:szCs w:val="20"/>
          <w:highlight w:val="none"/>
        </w:rPr>
      </w:pPr>
    </w:p>
    <w:p w14:paraId="09F2D02B">
      <w:pPr>
        <w:snapToGrid w:val="0"/>
        <w:spacing w:before="165" w:beforeLines="50" w:after="50"/>
        <w:ind w:firstLine="540" w:firstLineChars="225"/>
        <w:rPr>
          <w:rFonts w:ascii="宋体" w:hAnsi="宋体"/>
          <w:bCs/>
          <w:color w:val="auto"/>
          <w:sz w:val="24"/>
          <w:highlight w:val="none"/>
        </w:rPr>
      </w:pPr>
      <w:r>
        <w:rPr>
          <w:rFonts w:hint="eastAsia" w:ascii="宋体" w:hAnsi="宋体"/>
          <w:bCs/>
          <w:color w:val="auto"/>
          <w:sz w:val="24"/>
          <w:highlight w:val="none"/>
        </w:rPr>
        <w:t>项目名称：</w:t>
      </w:r>
      <w:bookmarkStart w:id="316" w:name="PO_3000001866_PM002_9"/>
      <w:r>
        <w:rPr>
          <w:rFonts w:hint="eastAsia" w:ascii="宋体" w:hAnsi="宋体"/>
          <w:bCs/>
          <w:color w:val="auto"/>
          <w:sz w:val="24"/>
          <w:highlight w:val="none"/>
        </w:rPr>
        <w:t>[项目采购-项目名称]</w:t>
      </w:r>
      <w:bookmarkEnd w:id="316"/>
    </w:p>
    <w:p w14:paraId="3285749B">
      <w:pPr>
        <w:snapToGrid w:val="0"/>
        <w:spacing w:before="165" w:beforeLines="50" w:after="50"/>
        <w:ind w:firstLine="540" w:firstLineChars="225"/>
        <w:rPr>
          <w:rFonts w:ascii="宋体" w:hAnsi="宋体"/>
          <w:bCs/>
          <w:color w:val="auto"/>
          <w:sz w:val="24"/>
          <w:szCs w:val="20"/>
          <w:highlight w:val="none"/>
        </w:rPr>
      </w:pPr>
    </w:p>
    <w:p w14:paraId="521E9314">
      <w:pPr>
        <w:snapToGrid w:val="0"/>
        <w:spacing w:before="165" w:beforeLines="50" w:after="50"/>
        <w:ind w:firstLine="540" w:firstLineChars="225"/>
        <w:rPr>
          <w:rFonts w:ascii="宋体" w:hAnsi="宋体"/>
          <w:bCs/>
          <w:color w:val="auto"/>
          <w:sz w:val="24"/>
          <w:highlight w:val="none"/>
        </w:rPr>
      </w:pPr>
      <w:r>
        <w:rPr>
          <w:rFonts w:hint="eastAsia" w:ascii="宋体" w:hAnsi="宋体"/>
          <w:bCs/>
          <w:color w:val="auto"/>
          <w:sz w:val="24"/>
          <w:highlight w:val="none"/>
        </w:rPr>
        <w:t>项目编号：</w:t>
      </w:r>
      <w:bookmarkStart w:id="317" w:name="PO_3000001866_PM001_5"/>
      <w:r>
        <w:rPr>
          <w:rFonts w:hint="eastAsia" w:ascii="宋体" w:hAnsi="宋体"/>
          <w:bCs/>
          <w:color w:val="auto"/>
          <w:sz w:val="24"/>
          <w:highlight w:val="none"/>
        </w:rPr>
        <w:t>[项目采购-项目编号]</w:t>
      </w:r>
      <w:bookmarkEnd w:id="317"/>
    </w:p>
    <w:p w14:paraId="289C22A6">
      <w:pPr>
        <w:snapToGrid w:val="0"/>
        <w:spacing w:before="165" w:beforeLines="50" w:after="50"/>
        <w:ind w:firstLine="540" w:firstLineChars="225"/>
        <w:rPr>
          <w:rFonts w:ascii="宋体" w:hAnsi="宋体"/>
          <w:bCs/>
          <w:color w:val="auto"/>
          <w:sz w:val="24"/>
          <w:szCs w:val="20"/>
          <w:highlight w:val="none"/>
        </w:rPr>
      </w:pPr>
    </w:p>
    <w:p w14:paraId="72FA1043">
      <w:pPr>
        <w:snapToGrid w:val="0"/>
        <w:spacing w:before="165" w:beforeLines="50" w:after="50"/>
        <w:ind w:firstLine="540" w:firstLineChars="225"/>
        <w:rPr>
          <w:rFonts w:ascii="宋体" w:hAnsi="宋体"/>
          <w:bCs/>
          <w:color w:val="auto"/>
          <w:sz w:val="24"/>
          <w:highlight w:val="none"/>
        </w:rPr>
      </w:pPr>
      <w:r>
        <w:rPr>
          <w:rFonts w:hint="eastAsia" w:ascii="宋体" w:hAnsi="宋体"/>
          <w:bCs/>
          <w:color w:val="auto"/>
          <w:sz w:val="24"/>
          <w:highlight w:val="none"/>
        </w:rPr>
        <w:t>所投分标：</w:t>
      </w:r>
    </w:p>
    <w:p w14:paraId="2B71193A">
      <w:pPr>
        <w:snapToGrid w:val="0"/>
        <w:spacing w:before="165" w:beforeLines="50" w:after="50"/>
        <w:ind w:firstLine="540" w:firstLineChars="225"/>
        <w:rPr>
          <w:rFonts w:ascii="宋体" w:hAnsi="宋体"/>
          <w:bCs/>
          <w:color w:val="auto"/>
          <w:sz w:val="24"/>
          <w:szCs w:val="20"/>
          <w:highlight w:val="none"/>
        </w:rPr>
      </w:pPr>
    </w:p>
    <w:p w14:paraId="5386FACE">
      <w:pPr>
        <w:pStyle w:val="15"/>
        <w:snapToGrid w:val="0"/>
        <w:spacing w:before="50" w:after="50"/>
        <w:ind w:firstLine="540" w:firstLineChars="225"/>
        <w:rPr>
          <w:rFonts w:ascii="宋体" w:hAnsi="宋体"/>
          <w:bCs/>
          <w:color w:val="auto"/>
          <w:sz w:val="24"/>
          <w:szCs w:val="24"/>
          <w:highlight w:val="none"/>
        </w:rPr>
      </w:pPr>
      <w:r>
        <w:rPr>
          <w:rFonts w:hint="eastAsia" w:ascii="宋体" w:hAnsi="宋体"/>
          <w:bCs/>
          <w:color w:val="auto"/>
          <w:sz w:val="24"/>
          <w:szCs w:val="24"/>
          <w:highlight w:val="none"/>
        </w:rPr>
        <w:t>投标人名称：</w:t>
      </w:r>
    </w:p>
    <w:p w14:paraId="34C1F466">
      <w:pPr>
        <w:pStyle w:val="15"/>
        <w:snapToGrid w:val="0"/>
        <w:spacing w:before="50" w:after="50"/>
        <w:ind w:firstLine="540" w:firstLineChars="225"/>
        <w:rPr>
          <w:rFonts w:ascii="宋体" w:hAnsi="宋体"/>
          <w:bCs/>
          <w:color w:val="auto"/>
          <w:sz w:val="24"/>
          <w:szCs w:val="24"/>
          <w:highlight w:val="none"/>
        </w:rPr>
      </w:pPr>
    </w:p>
    <w:p w14:paraId="4EA122D3">
      <w:pPr>
        <w:pStyle w:val="15"/>
        <w:snapToGrid w:val="0"/>
        <w:spacing w:before="50" w:after="50"/>
        <w:ind w:firstLine="540" w:firstLineChars="225"/>
        <w:rPr>
          <w:rFonts w:ascii="宋体" w:hAnsi="宋体"/>
          <w:bCs/>
          <w:color w:val="auto"/>
          <w:sz w:val="24"/>
          <w:szCs w:val="24"/>
          <w:highlight w:val="none"/>
        </w:rPr>
      </w:pPr>
      <w:r>
        <w:rPr>
          <w:rFonts w:hint="eastAsia" w:ascii="宋体" w:hAnsi="宋体"/>
          <w:bCs/>
          <w:color w:val="auto"/>
          <w:sz w:val="24"/>
          <w:szCs w:val="24"/>
          <w:highlight w:val="none"/>
        </w:rPr>
        <w:t>投标人地址：</w:t>
      </w:r>
    </w:p>
    <w:p w14:paraId="63AFFA52">
      <w:pPr>
        <w:pStyle w:val="15"/>
        <w:snapToGrid w:val="0"/>
        <w:spacing w:before="50" w:after="50"/>
        <w:ind w:firstLine="960" w:firstLineChars="400"/>
        <w:rPr>
          <w:rFonts w:ascii="宋体" w:hAnsi="宋体"/>
          <w:bCs/>
          <w:color w:val="auto"/>
          <w:sz w:val="24"/>
          <w:szCs w:val="24"/>
          <w:highlight w:val="none"/>
        </w:rPr>
      </w:pPr>
    </w:p>
    <w:p w14:paraId="4B29570A">
      <w:pPr>
        <w:snapToGrid w:val="0"/>
        <w:spacing w:before="165" w:beforeLines="50" w:after="50"/>
        <w:ind w:firstLine="645"/>
        <w:rPr>
          <w:rFonts w:ascii="宋体" w:hAnsi="宋体"/>
          <w:color w:val="auto"/>
          <w:sz w:val="24"/>
          <w:highlight w:val="none"/>
        </w:rPr>
      </w:pPr>
      <w:r>
        <w:rPr>
          <w:rFonts w:hint="eastAsia" w:ascii="宋体" w:hAnsi="宋体"/>
          <w:color w:val="auto"/>
          <w:sz w:val="24"/>
          <w:highlight w:val="none"/>
        </w:rPr>
        <w:t xml:space="preserve">                        年  月  日</w:t>
      </w:r>
    </w:p>
    <w:p w14:paraId="5322AA34">
      <w:pPr>
        <w:snapToGrid w:val="0"/>
        <w:spacing w:before="165" w:beforeLines="50" w:after="50"/>
        <w:rPr>
          <w:rFonts w:ascii="宋体" w:hAnsi="宋体"/>
          <w:color w:val="auto"/>
          <w:sz w:val="24"/>
          <w:szCs w:val="20"/>
          <w:highlight w:val="none"/>
        </w:rPr>
      </w:pPr>
    </w:p>
    <w:p w14:paraId="1466A93F">
      <w:pPr>
        <w:spacing w:line="360" w:lineRule="auto"/>
        <w:ind w:right="420"/>
        <w:rPr>
          <w:rFonts w:ascii="宋体" w:hAnsi="宋体"/>
          <w:color w:val="auto"/>
          <w:sz w:val="24"/>
          <w:szCs w:val="20"/>
          <w:highlight w:val="none"/>
        </w:rPr>
      </w:pPr>
    </w:p>
    <w:p w14:paraId="1F96BED5">
      <w:pPr>
        <w:spacing w:line="360" w:lineRule="auto"/>
        <w:ind w:right="420"/>
        <w:rPr>
          <w:rFonts w:ascii="宋体" w:hAnsi="宋体"/>
          <w:color w:val="auto"/>
          <w:sz w:val="24"/>
          <w:szCs w:val="20"/>
          <w:highlight w:val="none"/>
        </w:rPr>
      </w:pPr>
    </w:p>
    <w:p w14:paraId="7677CF7F">
      <w:pPr>
        <w:spacing w:line="360" w:lineRule="auto"/>
        <w:ind w:right="420"/>
        <w:rPr>
          <w:rFonts w:ascii="宋体" w:hAnsi="宋体"/>
          <w:color w:val="auto"/>
          <w:sz w:val="24"/>
          <w:szCs w:val="20"/>
          <w:highlight w:val="none"/>
        </w:rPr>
      </w:pPr>
    </w:p>
    <w:p w14:paraId="0AFA0FAA">
      <w:pPr>
        <w:spacing w:line="360" w:lineRule="auto"/>
        <w:ind w:right="420"/>
        <w:rPr>
          <w:rFonts w:ascii="宋体" w:hAnsi="宋体"/>
          <w:color w:val="auto"/>
          <w:sz w:val="24"/>
          <w:szCs w:val="20"/>
          <w:highlight w:val="none"/>
        </w:rPr>
      </w:pPr>
    </w:p>
    <w:p w14:paraId="77F29750">
      <w:pPr>
        <w:spacing w:line="360" w:lineRule="auto"/>
        <w:ind w:right="420"/>
        <w:rPr>
          <w:rFonts w:ascii="宋体" w:hAnsi="宋体"/>
          <w:color w:val="auto"/>
          <w:sz w:val="24"/>
          <w:szCs w:val="20"/>
          <w:highlight w:val="none"/>
        </w:rPr>
      </w:pPr>
    </w:p>
    <w:p w14:paraId="289114B1">
      <w:pPr>
        <w:spacing w:line="360" w:lineRule="auto"/>
        <w:ind w:right="420"/>
        <w:rPr>
          <w:rFonts w:ascii="宋体" w:hAnsi="宋体"/>
          <w:color w:val="auto"/>
          <w:sz w:val="24"/>
          <w:szCs w:val="20"/>
          <w:highlight w:val="none"/>
        </w:rPr>
      </w:pPr>
    </w:p>
    <w:p w14:paraId="27B37815">
      <w:pPr>
        <w:spacing w:line="360" w:lineRule="auto"/>
        <w:ind w:right="420"/>
        <w:rPr>
          <w:rFonts w:ascii="宋体" w:hAnsi="宋体"/>
          <w:color w:val="auto"/>
          <w:sz w:val="24"/>
          <w:szCs w:val="20"/>
          <w:highlight w:val="none"/>
        </w:rPr>
      </w:pPr>
    </w:p>
    <w:p w14:paraId="216D8C6D">
      <w:pPr>
        <w:spacing w:line="360" w:lineRule="auto"/>
        <w:ind w:right="420"/>
        <w:rPr>
          <w:rFonts w:ascii="宋体" w:hAnsi="宋体"/>
          <w:color w:val="auto"/>
          <w:sz w:val="24"/>
          <w:szCs w:val="20"/>
          <w:highlight w:val="none"/>
        </w:rPr>
      </w:pPr>
    </w:p>
    <w:p w14:paraId="53A770E9">
      <w:pPr>
        <w:spacing w:line="360" w:lineRule="auto"/>
        <w:ind w:right="420"/>
        <w:rPr>
          <w:rFonts w:ascii="宋体" w:hAnsi="宋体"/>
          <w:color w:val="auto"/>
          <w:sz w:val="24"/>
          <w:szCs w:val="20"/>
          <w:highlight w:val="none"/>
        </w:rPr>
      </w:pPr>
    </w:p>
    <w:p w14:paraId="7C7639A3">
      <w:pPr>
        <w:spacing w:line="360" w:lineRule="auto"/>
        <w:ind w:right="420"/>
        <w:rPr>
          <w:rFonts w:ascii="方正仿宋_GB2312" w:hAnsi="仿宋" w:eastAsia="方正仿宋_GB2312" w:cs="方正仿宋_GB2312"/>
          <w:b/>
          <w:color w:val="auto"/>
          <w:kern w:val="0"/>
          <w:sz w:val="36"/>
          <w:szCs w:val="36"/>
          <w:highlight w:val="none"/>
        </w:rPr>
      </w:pPr>
    </w:p>
    <w:p w14:paraId="5D0312C3">
      <w:pPr>
        <w:rPr>
          <w:rFonts w:ascii="方正仿宋_GB2312" w:hAnsi="仿宋" w:eastAsia="方正仿宋_GB2312" w:cs="方正仿宋_GB2312"/>
          <w:b/>
          <w:color w:val="auto"/>
          <w:kern w:val="0"/>
          <w:sz w:val="24"/>
          <w:highlight w:val="none"/>
        </w:rPr>
      </w:pPr>
    </w:p>
    <w:p w14:paraId="2B654B7B">
      <w:pPr>
        <w:jc w:val="center"/>
        <w:rPr>
          <w:rFonts w:ascii="方正仿宋_GB2312" w:hAnsi="仿宋" w:eastAsia="方正仿宋_GB2312" w:cs="方正仿宋_GB2312"/>
          <w:b/>
          <w:color w:val="auto"/>
          <w:kern w:val="0"/>
          <w:sz w:val="28"/>
          <w:szCs w:val="28"/>
          <w:highlight w:val="none"/>
        </w:rPr>
      </w:pPr>
      <w:r>
        <w:rPr>
          <w:rFonts w:hint="eastAsia" w:ascii="方正仿宋_GB2312" w:hAnsi="仿宋" w:eastAsia="方正仿宋_GB2312" w:cs="方正仿宋_GB2312"/>
          <w:b/>
          <w:color w:val="auto"/>
          <w:kern w:val="0"/>
          <w:sz w:val="28"/>
          <w:szCs w:val="28"/>
          <w:highlight w:val="none"/>
        </w:rPr>
        <w:t>商务文件目录</w:t>
      </w:r>
    </w:p>
    <w:p w14:paraId="5968F23C">
      <w:pPr>
        <w:pStyle w:val="92"/>
        <w:spacing w:line="360" w:lineRule="auto"/>
        <w:rPr>
          <w:rFonts w:cs="方正仿宋_GB2312"/>
          <w:color w:val="auto"/>
          <w:highlight w:val="none"/>
        </w:rPr>
      </w:pPr>
      <w:r>
        <w:rPr>
          <w:rFonts w:hint="eastAsia" w:cs="方正仿宋_GB2312"/>
          <w:color w:val="auto"/>
          <w:highlight w:val="none"/>
        </w:rPr>
        <w:t>一、无串标行为承诺函…………………………………………………………………（页码）</w:t>
      </w:r>
    </w:p>
    <w:p w14:paraId="452D7CCA">
      <w:pPr>
        <w:pStyle w:val="92"/>
        <w:spacing w:line="360" w:lineRule="auto"/>
        <w:rPr>
          <w:rFonts w:cs="方正仿宋_GB2312"/>
          <w:color w:val="auto"/>
          <w:highlight w:val="none"/>
        </w:rPr>
      </w:pPr>
      <w:r>
        <w:rPr>
          <w:rFonts w:hint="eastAsia" w:cs="方正仿宋_GB2312"/>
          <w:color w:val="auto"/>
          <w:highlight w:val="none"/>
        </w:rPr>
        <w:t>二、法定代表人身份证明及法定代表人有效身份证正反面复印件………（页码）</w:t>
      </w:r>
    </w:p>
    <w:p w14:paraId="0D5DD7FB">
      <w:pPr>
        <w:pStyle w:val="92"/>
        <w:spacing w:line="360" w:lineRule="auto"/>
        <w:rPr>
          <w:rFonts w:cs="方正仿宋_GB2312"/>
          <w:color w:val="auto"/>
          <w:highlight w:val="none"/>
        </w:rPr>
      </w:pPr>
      <w:r>
        <w:rPr>
          <w:rFonts w:hint="eastAsia" w:cs="方正仿宋_GB2312"/>
          <w:color w:val="auto"/>
          <w:highlight w:val="none"/>
        </w:rPr>
        <w:t>三、法定代表人授权委托书（如有委托时）……………………………………（页码）</w:t>
      </w:r>
    </w:p>
    <w:p w14:paraId="13E9D7F8">
      <w:pPr>
        <w:pStyle w:val="92"/>
        <w:spacing w:line="360" w:lineRule="auto"/>
        <w:rPr>
          <w:rFonts w:cs="方正仿宋_GB2312"/>
          <w:color w:val="auto"/>
          <w:highlight w:val="none"/>
        </w:rPr>
      </w:pPr>
      <w:r>
        <w:rPr>
          <w:rFonts w:hint="eastAsia" w:cs="方正仿宋_GB2312"/>
          <w:color w:val="auto"/>
          <w:highlight w:val="none"/>
        </w:rPr>
        <w:t>四、</w:t>
      </w:r>
      <w:r>
        <w:rPr>
          <w:rFonts w:hint="eastAsia" w:cs="方正仿宋_GB2312"/>
          <w:color w:val="auto"/>
          <w:highlight w:val="none"/>
          <w:lang w:val="zh-CN"/>
        </w:rPr>
        <w:t>商务条款偏离表………………………………</w:t>
      </w:r>
      <w:r>
        <w:rPr>
          <w:rFonts w:hint="eastAsia" w:cs="方正仿宋_GB2312"/>
          <w:color w:val="auto"/>
          <w:highlight w:val="none"/>
        </w:rPr>
        <w:t>……………………………………（页码）</w:t>
      </w:r>
    </w:p>
    <w:p w14:paraId="3C37A0E8">
      <w:pPr>
        <w:pStyle w:val="92"/>
        <w:spacing w:line="360" w:lineRule="auto"/>
        <w:rPr>
          <w:rFonts w:cs="方正仿宋_GB2312"/>
          <w:color w:val="auto"/>
          <w:highlight w:val="none"/>
        </w:rPr>
      </w:pPr>
      <w:bookmarkStart w:id="318" w:name="OLE_LINK6"/>
      <w:bookmarkStart w:id="319" w:name="OLE_LINK7"/>
      <w:bookmarkStart w:id="320" w:name="OLE_LINK5"/>
      <w:r>
        <w:rPr>
          <w:rFonts w:hint="eastAsia" w:cs="方正仿宋_GB2312"/>
          <w:color w:val="auto"/>
          <w:highlight w:val="none"/>
        </w:rPr>
        <w:t>五、投标人情况介绍</w:t>
      </w:r>
      <w:r>
        <w:rPr>
          <w:rFonts w:hint="eastAsia" w:cs="方正仿宋_GB2312"/>
          <w:color w:val="auto"/>
          <w:highlight w:val="none"/>
          <w:lang w:val="zh-CN"/>
        </w:rPr>
        <w:t>………………………………</w:t>
      </w:r>
      <w:r>
        <w:rPr>
          <w:rFonts w:hint="eastAsia" w:cs="方正仿宋_GB2312"/>
          <w:color w:val="auto"/>
          <w:highlight w:val="none"/>
        </w:rPr>
        <w:t>……………………………………（页码）</w:t>
      </w:r>
    </w:p>
    <w:p w14:paraId="3610DFAA">
      <w:pPr>
        <w:pStyle w:val="92"/>
        <w:spacing w:line="360" w:lineRule="auto"/>
        <w:rPr>
          <w:rFonts w:cs="方正仿宋_GB2312"/>
          <w:color w:val="auto"/>
          <w:highlight w:val="none"/>
        </w:rPr>
      </w:pPr>
      <w:r>
        <w:rPr>
          <w:rFonts w:hint="eastAsia" w:cs="方正仿宋_GB2312"/>
          <w:color w:val="auto"/>
          <w:highlight w:val="none"/>
        </w:rPr>
        <w:t>六、投标人类似业绩的证明文件（如有要求）</w:t>
      </w:r>
      <w:r>
        <w:rPr>
          <w:rFonts w:hint="eastAsia" w:cs="方正仿宋_GB2312"/>
          <w:color w:val="auto"/>
          <w:highlight w:val="none"/>
          <w:lang w:val="zh-CN"/>
        </w:rPr>
        <w:t>……………………………</w:t>
      </w:r>
      <w:r>
        <w:rPr>
          <w:rFonts w:hint="eastAsia" w:cs="方正仿宋_GB2312"/>
          <w:color w:val="auto"/>
          <w:highlight w:val="none"/>
        </w:rPr>
        <w:t>…（页码）</w:t>
      </w:r>
      <w:bookmarkEnd w:id="318"/>
      <w:bookmarkEnd w:id="319"/>
    </w:p>
    <w:p w14:paraId="33F6994E">
      <w:pPr>
        <w:pStyle w:val="92"/>
        <w:spacing w:line="360" w:lineRule="auto"/>
        <w:rPr>
          <w:rFonts w:cs="方正仿宋_GB2312"/>
          <w:color w:val="auto"/>
          <w:highlight w:val="none"/>
        </w:rPr>
      </w:pPr>
      <w:r>
        <w:rPr>
          <w:rFonts w:hint="eastAsia" w:cs="方正仿宋_GB2312"/>
          <w:color w:val="auto"/>
          <w:highlight w:val="none"/>
        </w:rPr>
        <w:t>七、其他商务文件或说明</w:t>
      </w:r>
      <w:r>
        <w:rPr>
          <w:rFonts w:hint="eastAsia" w:cs="方正仿宋_GB2312"/>
          <w:color w:val="auto"/>
          <w:highlight w:val="none"/>
          <w:lang w:val="zh-CN"/>
        </w:rPr>
        <w:t>…………………………………………………………</w:t>
      </w:r>
      <w:r>
        <w:rPr>
          <w:rFonts w:hint="eastAsia" w:cs="方正仿宋_GB2312"/>
          <w:color w:val="auto"/>
          <w:highlight w:val="none"/>
        </w:rPr>
        <w:t>…（页码）</w:t>
      </w:r>
    </w:p>
    <w:bookmarkEnd w:id="320"/>
    <w:p w14:paraId="2677B1FB">
      <w:pPr>
        <w:spacing w:line="360" w:lineRule="auto"/>
        <w:rPr>
          <w:rFonts w:ascii="方正仿宋_GB2312" w:hAnsi="仿宋" w:eastAsia="方正仿宋_GB2312" w:cs="方正仿宋_GB2312"/>
          <w:b/>
          <w:bCs/>
          <w:color w:val="auto"/>
          <w:sz w:val="24"/>
          <w:highlight w:val="none"/>
        </w:rPr>
      </w:pPr>
      <w:r>
        <w:rPr>
          <w:rFonts w:hint="eastAsia" w:ascii="方正仿宋_GB2312" w:hAnsi="仿宋" w:eastAsia="方正仿宋_GB2312" w:cs="方正仿宋_GB2312"/>
          <w:b/>
          <w:bCs/>
          <w:color w:val="auto"/>
          <w:sz w:val="24"/>
          <w:highlight w:val="none"/>
        </w:rPr>
        <w:t>注：以上目录是基本格式要求，各投标人可根据自身情况进一步向下增加内容或细化。</w:t>
      </w:r>
    </w:p>
    <w:p w14:paraId="216D019D">
      <w:pPr>
        <w:widowControl/>
        <w:spacing w:line="360" w:lineRule="auto"/>
        <w:jc w:val="left"/>
        <w:rPr>
          <w:rFonts w:ascii="宋体" w:hAnsi="宋体"/>
          <w:color w:val="auto"/>
          <w:highlight w:val="none"/>
        </w:rPr>
        <w:sectPr>
          <w:pgSz w:w="11906" w:h="16838"/>
          <w:pgMar w:top="1134" w:right="1134" w:bottom="1134" w:left="1134" w:header="720" w:footer="720" w:gutter="0"/>
          <w:pgNumType w:fmt="decimal"/>
          <w:cols w:space="720" w:num="1"/>
          <w:docGrid w:type="lines" w:linePitch="331" w:charSpace="0"/>
        </w:sectPr>
      </w:pPr>
    </w:p>
    <w:p w14:paraId="16147170">
      <w:pPr>
        <w:snapToGrid w:val="0"/>
        <w:spacing w:before="120" w:beforeLines="50" w:after="50"/>
        <w:ind w:left="420"/>
        <w:jc w:val="center"/>
        <w:rPr>
          <w:b/>
          <w:bCs/>
          <w:color w:val="auto"/>
          <w:sz w:val="30"/>
          <w:szCs w:val="30"/>
          <w:highlight w:val="none"/>
        </w:rPr>
      </w:pPr>
      <w:r>
        <w:rPr>
          <w:rFonts w:hint="eastAsia"/>
          <w:b/>
          <w:bCs/>
          <w:color w:val="auto"/>
          <w:sz w:val="30"/>
          <w:szCs w:val="30"/>
          <w:highlight w:val="none"/>
        </w:rPr>
        <w:t>一、无串标行为承诺函</w:t>
      </w:r>
    </w:p>
    <w:p w14:paraId="0CFF3562">
      <w:pPr>
        <w:snapToGrid w:val="0"/>
        <w:spacing w:before="120" w:beforeLines="50" w:after="50"/>
        <w:ind w:left="420"/>
        <w:jc w:val="center"/>
        <w:rPr>
          <w:rFonts w:ascii="宋体" w:hAnsi="宋体"/>
          <w:b/>
          <w:color w:val="auto"/>
          <w:sz w:val="32"/>
          <w:szCs w:val="32"/>
          <w:highlight w:val="none"/>
        </w:rPr>
      </w:pPr>
      <w:r>
        <w:rPr>
          <w:rFonts w:hint="eastAsia" w:ascii="宋体" w:hAnsi="宋体"/>
          <w:b/>
          <w:color w:val="auto"/>
          <w:sz w:val="32"/>
          <w:szCs w:val="32"/>
          <w:highlight w:val="none"/>
        </w:rPr>
        <w:t>投标人参加本项目无围标串标行为的承诺函</w:t>
      </w:r>
    </w:p>
    <w:p w14:paraId="423754FB">
      <w:pPr>
        <w:snapToGrid w:val="0"/>
        <w:spacing w:before="120" w:beforeLines="50" w:after="50"/>
        <w:rPr>
          <w:rFonts w:ascii="宋体" w:hAnsi="宋体"/>
          <w:b/>
          <w:color w:val="auto"/>
          <w:szCs w:val="21"/>
          <w:highlight w:val="none"/>
        </w:rPr>
      </w:pPr>
    </w:p>
    <w:p w14:paraId="684C7F2D">
      <w:pPr>
        <w:snapToGrid w:val="0"/>
        <w:spacing w:before="120" w:beforeLines="50" w:after="50" w:line="360" w:lineRule="auto"/>
        <w:jc w:val="left"/>
        <w:rPr>
          <w:rFonts w:ascii="宋体" w:hAnsi="宋体"/>
          <w:b/>
          <w:color w:val="auto"/>
          <w:szCs w:val="21"/>
          <w:highlight w:val="none"/>
        </w:rPr>
      </w:pPr>
      <w:r>
        <w:rPr>
          <w:rFonts w:hint="eastAsia" w:ascii="宋体" w:hAnsi="宋体"/>
          <w:b/>
          <w:color w:val="auto"/>
          <w:szCs w:val="21"/>
          <w:highlight w:val="none"/>
        </w:rPr>
        <w:t>一、我方承诺无下列相互串通投标的情形：</w:t>
      </w:r>
    </w:p>
    <w:p w14:paraId="43055287">
      <w:pPr>
        <w:snapToGrid w:val="0"/>
        <w:spacing w:before="120" w:beforeLines="50" w:after="50" w:line="360" w:lineRule="auto"/>
        <w:ind w:firstLine="411" w:firstLineChars="196"/>
        <w:jc w:val="left"/>
        <w:rPr>
          <w:rFonts w:ascii="宋体" w:hAnsi="宋体"/>
          <w:color w:val="auto"/>
          <w:szCs w:val="21"/>
          <w:highlight w:val="none"/>
        </w:rPr>
      </w:pPr>
      <w:r>
        <w:rPr>
          <w:rFonts w:hint="eastAsia" w:ascii="宋体" w:hAnsi="宋体"/>
          <w:color w:val="auto"/>
          <w:szCs w:val="21"/>
          <w:highlight w:val="none"/>
        </w:rPr>
        <w:t>1.不同投标人的投标文件由同一单位或者个人编制；或者不同投标人报名的IP地址一致的；或者编制标书硬件设备CPU编号、硬盘编号、网卡地址一致的情况。</w:t>
      </w:r>
    </w:p>
    <w:p w14:paraId="72A503CB">
      <w:pPr>
        <w:snapToGrid w:val="0"/>
        <w:spacing w:before="120" w:beforeLines="50" w:after="50" w:line="360" w:lineRule="auto"/>
        <w:ind w:firstLine="411" w:firstLineChars="196"/>
        <w:jc w:val="left"/>
        <w:rPr>
          <w:rFonts w:ascii="宋体" w:hAnsi="宋体"/>
          <w:color w:val="auto"/>
          <w:szCs w:val="21"/>
          <w:highlight w:val="none"/>
        </w:rPr>
      </w:pPr>
      <w:r>
        <w:rPr>
          <w:rFonts w:hint="eastAsia" w:ascii="宋体" w:hAnsi="宋体"/>
          <w:color w:val="auto"/>
          <w:szCs w:val="21"/>
          <w:highlight w:val="none"/>
        </w:rPr>
        <w:t>2.不同投标人委托同一单位或者个人办理投标事宜；</w:t>
      </w:r>
    </w:p>
    <w:p w14:paraId="2BBBD086">
      <w:pPr>
        <w:snapToGrid w:val="0"/>
        <w:spacing w:before="120" w:beforeLines="50" w:after="50" w:line="360" w:lineRule="auto"/>
        <w:ind w:firstLine="411" w:firstLineChars="196"/>
        <w:jc w:val="left"/>
        <w:rPr>
          <w:rFonts w:ascii="宋体" w:hAnsi="宋体"/>
          <w:color w:val="auto"/>
          <w:szCs w:val="21"/>
          <w:highlight w:val="none"/>
        </w:rPr>
      </w:pPr>
      <w:r>
        <w:rPr>
          <w:rFonts w:hint="eastAsia" w:ascii="宋体" w:hAnsi="宋体"/>
          <w:color w:val="auto"/>
          <w:szCs w:val="21"/>
          <w:highlight w:val="none"/>
        </w:rPr>
        <w:t>3.不同的投标人的投标文件载明的项目管理员为同一个人；</w:t>
      </w:r>
    </w:p>
    <w:p w14:paraId="42EFE94C">
      <w:pPr>
        <w:snapToGrid w:val="0"/>
        <w:spacing w:before="120" w:beforeLines="50" w:after="50" w:line="360" w:lineRule="auto"/>
        <w:ind w:firstLine="411" w:firstLineChars="196"/>
        <w:jc w:val="left"/>
        <w:rPr>
          <w:rFonts w:ascii="宋体" w:hAnsi="宋体"/>
          <w:color w:val="auto"/>
          <w:szCs w:val="21"/>
          <w:highlight w:val="none"/>
        </w:rPr>
      </w:pPr>
      <w:r>
        <w:rPr>
          <w:rFonts w:hint="eastAsia" w:ascii="宋体" w:hAnsi="宋体"/>
          <w:color w:val="auto"/>
          <w:szCs w:val="21"/>
          <w:highlight w:val="none"/>
        </w:rPr>
        <w:t>4.不同投标人的投标文件异常一致或者投标报价呈规律性差异；</w:t>
      </w:r>
    </w:p>
    <w:p w14:paraId="319142E5">
      <w:pPr>
        <w:snapToGrid w:val="0"/>
        <w:spacing w:before="120" w:beforeLines="50" w:after="50" w:line="360" w:lineRule="auto"/>
        <w:ind w:firstLine="411" w:firstLineChars="196"/>
        <w:jc w:val="left"/>
        <w:rPr>
          <w:rFonts w:ascii="宋体" w:hAnsi="宋体"/>
          <w:color w:val="auto"/>
          <w:szCs w:val="21"/>
          <w:highlight w:val="none"/>
        </w:rPr>
      </w:pPr>
      <w:r>
        <w:rPr>
          <w:rFonts w:hint="eastAsia" w:ascii="宋体" w:hAnsi="宋体"/>
          <w:color w:val="auto"/>
          <w:szCs w:val="21"/>
          <w:highlight w:val="none"/>
        </w:rPr>
        <w:t>5.不同投标人的投标文件相互混装；</w:t>
      </w:r>
    </w:p>
    <w:p w14:paraId="7724A970">
      <w:pPr>
        <w:snapToGrid w:val="0"/>
        <w:spacing w:before="120" w:beforeLines="50" w:after="50" w:line="360" w:lineRule="auto"/>
        <w:ind w:firstLine="411" w:firstLineChars="196"/>
        <w:jc w:val="left"/>
        <w:rPr>
          <w:rFonts w:ascii="宋体" w:hAnsi="宋体"/>
          <w:color w:val="auto"/>
          <w:szCs w:val="21"/>
          <w:highlight w:val="none"/>
        </w:rPr>
      </w:pPr>
      <w:r>
        <w:rPr>
          <w:rFonts w:hint="eastAsia" w:ascii="宋体" w:hAnsi="宋体"/>
          <w:color w:val="auto"/>
          <w:szCs w:val="21"/>
          <w:highlight w:val="none"/>
        </w:rPr>
        <w:t>6.不同投标人的投标保证金从同一单位或者个人账户转出。</w:t>
      </w:r>
    </w:p>
    <w:p w14:paraId="04385018">
      <w:pPr>
        <w:snapToGrid w:val="0"/>
        <w:spacing w:before="120" w:beforeLines="50" w:after="50" w:line="360" w:lineRule="auto"/>
        <w:jc w:val="left"/>
        <w:rPr>
          <w:rFonts w:ascii="宋体" w:hAnsi="宋体"/>
          <w:color w:val="auto"/>
          <w:szCs w:val="21"/>
          <w:highlight w:val="none"/>
        </w:rPr>
      </w:pPr>
      <w:r>
        <w:rPr>
          <w:rFonts w:hint="eastAsia" w:ascii="宋体" w:hAnsi="宋体"/>
          <w:b/>
          <w:color w:val="auto"/>
          <w:szCs w:val="21"/>
          <w:highlight w:val="none"/>
        </w:rPr>
        <w:t>二、我方承诺无下列恶意串通的情形：</w:t>
      </w:r>
    </w:p>
    <w:p w14:paraId="5799EBD1">
      <w:pPr>
        <w:snapToGrid w:val="0"/>
        <w:spacing w:before="120" w:beforeLines="50" w:after="50" w:line="360" w:lineRule="auto"/>
        <w:ind w:firstLine="411" w:firstLineChars="196"/>
        <w:jc w:val="left"/>
        <w:rPr>
          <w:rFonts w:ascii="宋体" w:hAnsi="宋体"/>
          <w:color w:val="auto"/>
          <w:szCs w:val="21"/>
          <w:highlight w:val="none"/>
        </w:rPr>
      </w:pPr>
      <w:r>
        <w:rPr>
          <w:rFonts w:hint="eastAsia" w:ascii="宋体" w:hAnsi="宋体"/>
          <w:color w:val="auto"/>
          <w:szCs w:val="21"/>
          <w:highlight w:val="none"/>
        </w:rPr>
        <w:t>1.投标人直接或者间接从采购人或者采购代理机构处获得其他投标人的相关信息并修改其投标文件或者投标文件；</w:t>
      </w:r>
    </w:p>
    <w:p w14:paraId="756C24F6">
      <w:pPr>
        <w:snapToGrid w:val="0"/>
        <w:spacing w:before="120" w:beforeLines="50" w:after="50" w:line="360" w:lineRule="auto"/>
        <w:ind w:firstLine="411" w:firstLineChars="196"/>
        <w:jc w:val="left"/>
        <w:rPr>
          <w:rFonts w:ascii="宋体" w:hAnsi="宋体"/>
          <w:color w:val="auto"/>
          <w:szCs w:val="21"/>
          <w:highlight w:val="none"/>
        </w:rPr>
      </w:pPr>
      <w:r>
        <w:rPr>
          <w:rFonts w:hint="eastAsia" w:ascii="宋体" w:hAnsi="宋体"/>
          <w:color w:val="auto"/>
          <w:szCs w:val="21"/>
          <w:highlight w:val="none"/>
        </w:rPr>
        <w:t>2.投标人按照采购人或者采购代理机构的授意撤换、修改投标文件或者投标文件；</w:t>
      </w:r>
    </w:p>
    <w:p w14:paraId="087B098A">
      <w:pPr>
        <w:snapToGrid w:val="0"/>
        <w:spacing w:before="120" w:beforeLines="50" w:after="50" w:line="360" w:lineRule="auto"/>
        <w:ind w:firstLine="411" w:firstLineChars="196"/>
        <w:jc w:val="left"/>
        <w:rPr>
          <w:rFonts w:ascii="宋体" w:hAnsi="宋体"/>
          <w:color w:val="auto"/>
          <w:szCs w:val="21"/>
          <w:highlight w:val="none"/>
        </w:rPr>
      </w:pPr>
      <w:r>
        <w:rPr>
          <w:rFonts w:hint="eastAsia" w:ascii="宋体" w:hAnsi="宋体"/>
          <w:color w:val="auto"/>
          <w:szCs w:val="21"/>
          <w:highlight w:val="none"/>
        </w:rPr>
        <w:t>3.投标人之间协商报价、技术方案等投标文件或者投标文件的实质性内容；</w:t>
      </w:r>
    </w:p>
    <w:p w14:paraId="4FD329C0">
      <w:pPr>
        <w:snapToGrid w:val="0"/>
        <w:spacing w:before="120" w:beforeLines="50" w:after="50" w:line="360" w:lineRule="auto"/>
        <w:ind w:firstLine="411" w:firstLineChars="196"/>
        <w:jc w:val="left"/>
        <w:rPr>
          <w:rFonts w:ascii="宋体" w:hAnsi="宋体"/>
          <w:color w:val="auto"/>
          <w:szCs w:val="21"/>
          <w:highlight w:val="none"/>
        </w:rPr>
      </w:pPr>
      <w:r>
        <w:rPr>
          <w:rFonts w:hint="eastAsia" w:ascii="宋体" w:hAnsi="宋体"/>
          <w:color w:val="auto"/>
          <w:szCs w:val="21"/>
          <w:highlight w:val="none"/>
        </w:rPr>
        <w:t>4.属于同一集团、协会、商会等组织成员的投标人按照该组织要求协同参加政府采购活动；</w:t>
      </w:r>
    </w:p>
    <w:p w14:paraId="580F4D57">
      <w:pPr>
        <w:snapToGrid w:val="0"/>
        <w:spacing w:before="120" w:beforeLines="50" w:after="50" w:line="360" w:lineRule="auto"/>
        <w:ind w:firstLine="411" w:firstLineChars="196"/>
        <w:jc w:val="left"/>
        <w:rPr>
          <w:rFonts w:ascii="宋体" w:hAnsi="宋体"/>
          <w:color w:val="auto"/>
          <w:szCs w:val="21"/>
          <w:highlight w:val="none"/>
        </w:rPr>
      </w:pPr>
      <w:r>
        <w:rPr>
          <w:rFonts w:hint="eastAsia" w:ascii="宋体" w:hAnsi="宋体"/>
          <w:color w:val="auto"/>
          <w:szCs w:val="21"/>
          <w:highlight w:val="none"/>
        </w:rPr>
        <w:t>5.投标人之间事先约定一致抬高或者压低投标报价，或者在招标项目中事先约定轮流以高价位或者低价位中标，或者事先约定由某一特定投标人中标，然后再参加投标；</w:t>
      </w:r>
    </w:p>
    <w:p w14:paraId="1544FE82">
      <w:pPr>
        <w:snapToGrid w:val="0"/>
        <w:spacing w:before="120" w:beforeLines="50" w:after="50" w:line="360" w:lineRule="auto"/>
        <w:ind w:firstLine="411" w:firstLineChars="196"/>
        <w:jc w:val="left"/>
        <w:rPr>
          <w:rFonts w:ascii="宋体" w:hAnsi="宋体"/>
          <w:color w:val="auto"/>
          <w:szCs w:val="21"/>
          <w:highlight w:val="none"/>
        </w:rPr>
      </w:pPr>
      <w:r>
        <w:rPr>
          <w:rFonts w:hint="eastAsia" w:ascii="宋体" w:hAnsi="宋体"/>
          <w:color w:val="auto"/>
          <w:szCs w:val="21"/>
          <w:highlight w:val="none"/>
        </w:rPr>
        <w:t>6.投标人之间商定部分投标人放弃参加政府采购活动或者放弃中标；</w:t>
      </w:r>
    </w:p>
    <w:p w14:paraId="557C12CE">
      <w:pPr>
        <w:snapToGrid w:val="0"/>
        <w:spacing w:before="120" w:beforeLines="50" w:after="50" w:line="360" w:lineRule="auto"/>
        <w:ind w:firstLine="411" w:firstLineChars="196"/>
        <w:jc w:val="left"/>
        <w:rPr>
          <w:rFonts w:ascii="宋体" w:hAnsi="宋体"/>
          <w:color w:val="auto"/>
          <w:szCs w:val="21"/>
          <w:highlight w:val="none"/>
        </w:rPr>
      </w:pPr>
      <w:r>
        <w:rPr>
          <w:rFonts w:hint="eastAsia" w:ascii="宋体" w:hAnsi="宋体"/>
          <w:color w:val="auto"/>
          <w:szCs w:val="21"/>
          <w:highlight w:val="none"/>
        </w:rPr>
        <w:t>7.投标人与采购人或者采购代理机构之间、投标人相互之间，为谋求特定投标人中标或者排斥其他投标人的其他串通行为。</w:t>
      </w:r>
    </w:p>
    <w:p w14:paraId="32E9FFB5">
      <w:pPr>
        <w:snapToGrid w:val="0"/>
        <w:spacing w:before="120" w:beforeLines="50" w:after="50" w:line="360" w:lineRule="auto"/>
        <w:ind w:firstLine="413" w:firstLineChars="196"/>
        <w:jc w:val="left"/>
        <w:rPr>
          <w:rFonts w:ascii="宋体" w:hAnsi="宋体"/>
          <w:b/>
          <w:color w:val="auto"/>
          <w:szCs w:val="21"/>
          <w:highlight w:val="none"/>
        </w:rPr>
      </w:pPr>
      <w:r>
        <w:rPr>
          <w:rFonts w:hint="eastAsia" w:ascii="宋体" w:hAnsi="宋体"/>
          <w:b/>
          <w:color w:val="auto"/>
          <w:szCs w:val="21"/>
          <w:highlight w:val="none"/>
        </w:rPr>
        <w:t>以上情形一经核查属实，我方愿意承担一切后果，接受政府采购监管部门对我方认定存在围标串标行为，并不再寻求任何旨在减轻或者免除法律责任的辩解。</w:t>
      </w:r>
    </w:p>
    <w:p w14:paraId="09BA86D9">
      <w:pPr>
        <w:snapToGrid w:val="0"/>
        <w:spacing w:line="360" w:lineRule="auto"/>
        <w:ind w:firstLine="5640" w:firstLineChars="2350"/>
        <w:rPr>
          <w:rFonts w:ascii="方正仿宋_GB2312" w:hAnsi="仿宋" w:eastAsia="方正仿宋_GB2312" w:cs="方正仿宋_GB2312"/>
          <w:color w:val="auto"/>
          <w:kern w:val="0"/>
          <w:sz w:val="24"/>
          <w:highlight w:val="none"/>
        </w:rPr>
      </w:pPr>
      <w:r>
        <w:rPr>
          <w:rFonts w:hint="eastAsia" w:ascii="方正仿宋_GB2312" w:hAnsi="仿宋" w:eastAsia="方正仿宋_GB2312" w:cs="方正仿宋_GB2312"/>
          <w:color w:val="auto"/>
          <w:kern w:val="0"/>
          <w:sz w:val="24"/>
          <w:highlight w:val="none"/>
          <w:lang w:val="zh-CN"/>
        </w:rPr>
        <w:t>投标人名称(电子签章)：</w:t>
      </w:r>
    </w:p>
    <w:p w14:paraId="5844A1F6">
      <w:pPr>
        <w:snapToGrid w:val="0"/>
        <w:spacing w:line="360" w:lineRule="auto"/>
        <w:ind w:firstLine="5160" w:firstLineChars="2150"/>
        <w:rPr>
          <w:rFonts w:ascii="方正仿宋_GB2312" w:hAnsi="仿宋" w:eastAsia="方正仿宋_GB2312" w:cs="方正仿宋_GB2312"/>
          <w:color w:val="auto"/>
          <w:kern w:val="0"/>
          <w:sz w:val="24"/>
          <w:highlight w:val="none"/>
          <w:lang w:val="zh-CN"/>
        </w:rPr>
      </w:pPr>
      <w:r>
        <w:rPr>
          <w:rFonts w:hint="eastAsia" w:ascii="方正仿宋_GB2312" w:hAnsi="仿宋" w:eastAsia="方正仿宋_GB2312" w:cs="方正仿宋_GB2312"/>
          <w:color w:val="auto"/>
          <w:kern w:val="0"/>
          <w:sz w:val="24"/>
          <w:highlight w:val="none"/>
          <w:lang w:val="zh-CN"/>
        </w:rPr>
        <w:t>日期</w:t>
      </w:r>
      <w:r>
        <w:rPr>
          <w:rFonts w:hint="eastAsia" w:ascii="方正仿宋_GB2312" w:hAnsi="仿宋" w:eastAsia="方正仿宋_GB2312" w:cs="方正仿宋_GB2312"/>
          <w:color w:val="auto"/>
          <w:kern w:val="0"/>
          <w:sz w:val="24"/>
          <w:highlight w:val="none"/>
        </w:rPr>
        <w:t xml:space="preserve">：  年  </w:t>
      </w:r>
      <w:r>
        <w:rPr>
          <w:rFonts w:hint="eastAsia" w:ascii="方正仿宋_GB2312" w:hAnsi="仿宋" w:eastAsia="方正仿宋_GB2312" w:cs="方正仿宋_GB2312"/>
          <w:color w:val="auto"/>
          <w:kern w:val="0"/>
          <w:sz w:val="24"/>
          <w:highlight w:val="none"/>
          <w:lang w:val="zh-CN"/>
        </w:rPr>
        <w:t>月日</w:t>
      </w:r>
    </w:p>
    <w:p w14:paraId="6633294F">
      <w:pPr>
        <w:pStyle w:val="7"/>
        <w:snapToGrid w:val="0"/>
        <w:spacing w:before="295" w:after="295" w:line="360" w:lineRule="auto"/>
        <w:jc w:val="center"/>
        <w:rPr>
          <w:rFonts w:hAnsi="宋体"/>
          <w:b/>
          <w:color w:val="auto"/>
          <w:sz w:val="24"/>
          <w:highlight w:val="none"/>
        </w:rPr>
      </w:pPr>
      <w:r>
        <w:rPr>
          <w:rFonts w:hint="eastAsia" w:hAnsi="宋体"/>
          <w:b/>
          <w:color w:val="auto"/>
          <w:sz w:val="24"/>
          <w:highlight w:val="none"/>
        </w:rPr>
        <w:br w:type="page"/>
      </w:r>
      <w:r>
        <w:rPr>
          <w:rFonts w:hint="eastAsia" w:ascii="Times New Roman" w:hAnsi="Times New Roman"/>
          <w:b/>
          <w:bCs/>
          <w:color w:val="auto"/>
          <w:sz w:val="30"/>
          <w:szCs w:val="30"/>
          <w:highlight w:val="none"/>
        </w:rPr>
        <w:t>二、法定代表人身份证明</w:t>
      </w:r>
    </w:p>
    <w:p w14:paraId="6715801C">
      <w:pPr>
        <w:spacing w:before="240" w:beforeLines="100" w:after="120" w:afterLines="50"/>
        <w:ind w:left="540"/>
        <w:jc w:val="center"/>
        <w:rPr>
          <w:rFonts w:ascii="宋体" w:hAnsi="Courier New"/>
          <w:b/>
          <w:color w:val="auto"/>
          <w:sz w:val="32"/>
          <w:szCs w:val="32"/>
          <w:highlight w:val="none"/>
        </w:rPr>
      </w:pPr>
    </w:p>
    <w:p w14:paraId="246BCF9C">
      <w:pPr>
        <w:spacing w:before="240" w:beforeLines="100" w:after="120" w:afterLines="50"/>
        <w:ind w:left="540"/>
        <w:jc w:val="center"/>
        <w:rPr>
          <w:rFonts w:ascii="黑体" w:hAnsi="宋体" w:eastAsia="黑体"/>
          <w:color w:val="auto"/>
          <w:sz w:val="32"/>
          <w:szCs w:val="32"/>
          <w:highlight w:val="none"/>
        </w:rPr>
      </w:pPr>
      <w:r>
        <w:rPr>
          <w:rFonts w:hint="eastAsia" w:ascii="宋体" w:hAnsi="Courier New"/>
          <w:b/>
          <w:color w:val="auto"/>
          <w:sz w:val="32"/>
          <w:szCs w:val="32"/>
          <w:highlight w:val="none"/>
        </w:rPr>
        <w:t>法定代表人身份证明</w:t>
      </w:r>
    </w:p>
    <w:p w14:paraId="347861B6">
      <w:pPr>
        <w:spacing w:line="500" w:lineRule="exact"/>
        <w:ind w:left="540"/>
        <w:rPr>
          <w:rFonts w:ascii="宋体" w:hAnsi="宋体"/>
          <w:color w:val="auto"/>
          <w:sz w:val="24"/>
          <w:highlight w:val="none"/>
        </w:rPr>
      </w:pPr>
      <w:r>
        <w:rPr>
          <w:rFonts w:hint="eastAsia" w:ascii="宋体" w:hAnsi="宋体"/>
          <w:color w:val="auto"/>
          <w:sz w:val="24"/>
          <w:highlight w:val="none"/>
        </w:rPr>
        <w:t>投 标 人：</w:t>
      </w:r>
    </w:p>
    <w:p w14:paraId="54AE46B4">
      <w:pPr>
        <w:spacing w:line="500" w:lineRule="exact"/>
        <w:ind w:left="540"/>
        <w:rPr>
          <w:rFonts w:ascii="宋体" w:hAnsi="宋体"/>
          <w:color w:val="auto"/>
          <w:sz w:val="24"/>
          <w:highlight w:val="none"/>
        </w:rPr>
      </w:pPr>
      <w:r>
        <w:rPr>
          <w:rFonts w:hint="eastAsia" w:ascii="宋体" w:hAnsi="宋体"/>
          <w:color w:val="auto"/>
          <w:sz w:val="24"/>
          <w:highlight w:val="none"/>
        </w:rPr>
        <w:t>地    址：</w:t>
      </w:r>
    </w:p>
    <w:p w14:paraId="76F9A3BE">
      <w:pPr>
        <w:spacing w:line="500" w:lineRule="exact"/>
        <w:ind w:left="540"/>
        <w:rPr>
          <w:rFonts w:ascii="宋体" w:hAnsi="宋体"/>
          <w:color w:val="auto"/>
          <w:sz w:val="24"/>
          <w:highlight w:val="none"/>
        </w:rPr>
      </w:pPr>
      <w:r>
        <w:rPr>
          <w:rFonts w:hint="eastAsia" w:ascii="宋体" w:hAnsi="宋体"/>
          <w:color w:val="auto"/>
          <w:sz w:val="24"/>
          <w:highlight w:val="none"/>
        </w:rPr>
        <w:t>姓    名：性      别：</w:t>
      </w:r>
    </w:p>
    <w:p w14:paraId="0A05B659">
      <w:pPr>
        <w:spacing w:line="500" w:lineRule="exact"/>
        <w:ind w:left="540"/>
        <w:rPr>
          <w:rFonts w:ascii="宋体" w:hAnsi="宋体"/>
          <w:color w:val="auto"/>
          <w:sz w:val="24"/>
          <w:highlight w:val="none"/>
          <w:u w:val="single"/>
        </w:rPr>
      </w:pPr>
      <w:r>
        <w:rPr>
          <w:rFonts w:hint="eastAsia" w:ascii="宋体" w:hAnsi="宋体"/>
          <w:color w:val="auto"/>
          <w:sz w:val="24"/>
          <w:highlight w:val="none"/>
        </w:rPr>
        <w:t>年    龄：职      务：</w:t>
      </w:r>
    </w:p>
    <w:p w14:paraId="33C41166">
      <w:pPr>
        <w:spacing w:line="500" w:lineRule="exact"/>
        <w:ind w:left="540"/>
        <w:rPr>
          <w:rFonts w:ascii="宋体" w:hAnsi="宋体"/>
          <w:color w:val="auto"/>
          <w:sz w:val="24"/>
          <w:highlight w:val="none"/>
        </w:rPr>
      </w:pPr>
      <w:r>
        <w:rPr>
          <w:rFonts w:hint="eastAsia" w:ascii="宋体" w:hAnsi="宋体"/>
          <w:color w:val="auto"/>
          <w:sz w:val="24"/>
          <w:highlight w:val="none"/>
        </w:rPr>
        <w:t>身份证</w:t>
      </w:r>
      <w:r>
        <w:rPr>
          <w:rFonts w:hint="eastAsia"/>
          <w:color w:val="auto"/>
          <w:sz w:val="24"/>
          <w:highlight w:val="none"/>
        </w:rPr>
        <w:t>号码：</w:t>
      </w:r>
    </w:p>
    <w:p w14:paraId="07ABDDD2">
      <w:pPr>
        <w:spacing w:line="500" w:lineRule="exact"/>
        <w:ind w:left="540"/>
        <w:rPr>
          <w:rFonts w:ascii="宋体" w:hAnsi="宋体"/>
          <w:color w:val="auto"/>
          <w:sz w:val="24"/>
          <w:highlight w:val="none"/>
        </w:rPr>
      </w:pPr>
      <w:r>
        <w:rPr>
          <w:rFonts w:hint="eastAsia" w:ascii="宋体" w:hAnsi="宋体"/>
          <w:color w:val="auto"/>
          <w:sz w:val="24"/>
          <w:highlight w:val="none"/>
        </w:rPr>
        <w:t>系</w:t>
      </w:r>
      <w:r>
        <w:rPr>
          <w:rFonts w:hint="eastAsia" w:ascii="宋体" w:hAnsi="宋体"/>
          <w:color w:val="auto"/>
          <w:sz w:val="24"/>
          <w:highlight w:val="none"/>
          <w:u w:val="single"/>
        </w:rPr>
        <w:t xml:space="preserve">            （投标人名称）              </w:t>
      </w:r>
      <w:r>
        <w:rPr>
          <w:rFonts w:hint="eastAsia" w:ascii="宋体" w:hAnsi="宋体"/>
          <w:color w:val="auto"/>
          <w:sz w:val="24"/>
          <w:highlight w:val="none"/>
        </w:rPr>
        <w:t>的法定代表人。</w:t>
      </w:r>
    </w:p>
    <w:p w14:paraId="7D256B12">
      <w:pPr>
        <w:spacing w:line="500" w:lineRule="exact"/>
        <w:ind w:left="540"/>
        <w:rPr>
          <w:rFonts w:ascii="宋体" w:hAnsi="宋体"/>
          <w:color w:val="auto"/>
          <w:sz w:val="24"/>
          <w:highlight w:val="none"/>
        </w:rPr>
      </w:pPr>
      <w:r>
        <w:rPr>
          <w:rFonts w:hint="eastAsia" w:ascii="宋体" w:hAnsi="宋体"/>
          <w:color w:val="auto"/>
          <w:sz w:val="24"/>
          <w:highlight w:val="none"/>
        </w:rPr>
        <w:t>特此证明。</w:t>
      </w:r>
    </w:p>
    <w:p w14:paraId="2B6214D7">
      <w:pPr>
        <w:spacing w:line="500" w:lineRule="exact"/>
        <w:ind w:left="540"/>
        <w:rPr>
          <w:rFonts w:ascii="宋体" w:hAnsi="宋体"/>
          <w:color w:val="auto"/>
          <w:sz w:val="24"/>
          <w:highlight w:val="none"/>
        </w:rPr>
      </w:pPr>
    </w:p>
    <w:p w14:paraId="746A933C">
      <w:pPr>
        <w:spacing w:line="500" w:lineRule="exact"/>
        <w:ind w:left="540"/>
        <w:rPr>
          <w:rFonts w:ascii="宋体" w:hAnsi="宋体"/>
          <w:color w:val="auto"/>
          <w:sz w:val="24"/>
          <w:highlight w:val="none"/>
        </w:rPr>
      </w:pPr>
    </w:p>
    <w:p w14:paraId="2E9DB191">
      <w:pPr>
        <w:spacing w:line="500" w:lineRule="exact"/>
        <w:ind w:left="540"/>
        <w:rPr>
          <w:rFonts w:ascii="宋体" w:hAnsi="宋体"/>
          <w:color w:val="auto"/>
          <w:sz w:val="24"/>
          <w:highlight w:val="none"/>
        </w:rPr>
      </w:pPr>
      <w:r>
        <w:rPr>
          <w:rFonts w:hint="eastAsia" w:ascii="宋体" w:hAnsi="宋体"/>
          <w:color w:val="auto"/>
          <w:sz w:val="24"/>
          <w:highlight w:val="none"/>
        </w:rPr>
        <w:t>附件：法定代表人有效身份证正反面复印件</w:t>
      </w:r>
    </w:p>
    <w:p w14:paraId="6AAA31BE">
      <w:pPr>
        <w:spacing w:line="500" w:lineRule="exact"/>
        <w:ind w:left="540"/>
        <w:rPr>
          <w:rFonts w:ascii="宋体" w:hAnsi="宋体"/>
          <w:color w:val="auto"/>
          <w:sz w:val="24"/>
          <w:highlight w:val="none"/>
        </w:rPr>
      </w:pPr>
    </w:p>
    <w:p w14:paraId="1FAA22DA">
      <w:pPr>
        <w:snapToGrid w:val="0"/>
        <w:spacing w:line="360" w:lineRule="auto"/>
        <w:ind w:firstLine="5640" w:firstLineChars="2350"/>
        <w:rPr>
          <w:rFonts w:ascii="方正仿宋_GB2312" w:hAnsi="仿宋" w:eastAsia="方正仿宋_GB2312" w:cs="方正仿宋_GB2312"/>
          <w:color w:val="auto"/>
          <w:kern w:val="0"/>
          <w:sz w:val="24"/>
          <w:highlight w:val="none"/>
        </w:rPr>
      </w:pPr>
      <w:r>
        <w:rPr>
          <w:rFonts w:hint="eastAsia" w:ascii="方正仿宋_GB2312" w:hAnsi="仿宋" w:eastAsia="方正仿宋_GB2312" w:cs="方正仿宋_GB2312"/>
          <w:color w:val="auto"/>
          <w:kern w:val="0"/>
          <w:sz w:val="24"/>
          <w:highlight w:val="none"/>
          <w:lang w:val="zh-CN"/>
        </w:rPr>
        <w:t>投标人名称(电子签章)：</w:t>
      </w:r>
    </w:p>
    <w:p w14:paraId="2EB067BE">
      <w:pPr>
        <w:snapToGrid w:val="0"/>
        <w:spacing w:line="360" w:lineRule="auto"/>
        <w:ind w:firstLine="5160" w:firstLineChars="2150"/>
        <w:rPr>
          <w:rFonts w:ascii="方正仿宋_GB2312" w:hAnsi="仿宋" w:eastAsia="方正仿宋_GB2312" w:cs="方正仿宋_GB2312"/>
          <w:color w:val="auto"/>
          <w:kern w:val="0"/>
          <w:sz w:val="24"/>
          <w:highlight w:val="none"/>
          <w:lang w:val="zh-CN"/>
        </w:rPr>
      </w:pPr>
      <w:r>
        <w:rPr>
          <w:rFonts w:hint="eastAsia" w:ascii="方正仿宋_GB2312" w:hAnsi="仿宋" w:eastAsia="方正仿宋_GB2312" w:cs="方正仿宋_GB2312"/>
          <w:color w:val="auto"/>
          <w:kern w:val="0"/>
          <w:sz w:val="24"/>
          <w:highlight w:val="none"/>
          <w:lang w:val="zh-CN"/>
        </w:rPr>
        <w:t>日期</w:t>
      </w:r>
      <w:r>
        <w:rPr>
          <w:rFonts w:hint="eastAsia" w:ascii="方正仿宋_GB2312" w:hAnsi="仿宋" w:eastAsia="方正仿宋_GB2312" w:cs="方正仿宋_GB2312"/>
          <w:color w:val="auto"/>
          <w:kern w:val="0"/>
          <w:sz w:val="24"/>
          <w:highlight w:val="none"/>
        </w:rPr>
        <w:t xml:space="preserve">：  年  </w:t>
      </w:r>
      <w:r>
        <w:rPr>
          <w:rFonts w:hint="eastAsia" w:ascii="方正仿宋_GB2312" w:hAnsi="仿宋" w:eastAsia="方正仿宋_GB2312" w:cs="方正仿宋_GB2312"/>
          <w:color w:val="auto"/>
          <w:kern w:val="0"/>
          <w:sz w:val="24"/>
          <w:highlight w:val="none"/>
          <w:lang w:val="zh-CN"/>
        </w:rPr>
        <w:t>月日</w:t>
      </w:r>
    </w:p>
    <w:p w14:paraId="60D32705">
      <w:pPr>
        <w:snapToGrid w:val="0"/>
        <w:spacing w:before="120" w:beforeLines="50" w:after="50"/>
        <w:jc w:val="center"/>
        <w:rPr>
          <w:rFonts w:ascii="宋体" w:hAnsi="宋体"/>
          <w:b/>
          <w:color w:val="auto"/>
          <w:sz w:val="24"/>
          <w:highlight w:val="none"/>
        </w:rPr>
      </w:pPr>
    </w:p>
    <w:p w14:paraId="6A630556">
      <w:pPr>
        <w:snapToGrid w:val="0"/>
        <w:spacing w:before="120" w:beforeLines="50" w:after="50"/>
        <w:ind w:firstLine="600" w:firstLineChars="250"/>
        <w:jc w:val="left"/>
        <w:rPr>
          <w:rFonts w:ascii="宋体" w:hAnsi="宋体"/>
          <w:color w:val="auto"/>
          <w:sz w:val="24"/>
          <w:highlight w:val="none"/>
        </w:rPr>
      </w:pPr>
      <w:r>
        <w:rPr>
          <w:rFonts w:hint="eastAsia" w:ascii="宋体" w:hAnsi="宋体"/>
          <w:color w:val="auto"/>
          <w:sz w:val="24"/>
          <w:highlight w:val="none"/>
        </w:rPr>
        <w:t>注：自然人投标的无需提供</w:t>
      </w:r>
    </w:p>
    <w:p w14:paraId="4573E4A4">
      <w:pPr>
        <w:snapToGrid w:val="0"/>
        <w:spacing w:before="120" w:beforeLines="50" w:after="50"/>
        <w:ind w:firstLine="600" w:firstLineChars="250"/>
        <w:jc w:val="left"/>
        <w:rPr>
          <w:rFonts w:ascii="宋体" w:hAnsi="宋体"/>
          <w:color w:val="auto"/>
          <w:sz w:val="24"/>
          <w:highlight w:val="none"/>
        </w:rPr>
      </w:pPr>
    </w:p>
    <w:p w14:paraId="128159CE">
      <w:pPr>
        <w:snapToGrid w:val="0"/>
        <w:spacing w:before="120" w:beforeLines="50" w:after="50"/>
        <w:ind w:firstLine="602" w:firstLineChars="250"/>
        <w:jc w:val="left"/>
        <w:rPr>
          <w:rFonts w:ascii="宋体" w:hAnsi="宋体"/>
          <w:b/>
          <w:color w:val="auto"/>
          <w:sz w:val="24"/>
          <w:szCs w:val="20"/>
          <w:highlight w:val="none"/>
        </w:rPr>
      </w:pPr>
    </w:p>
    <w:tbl>
      <w:tblPr>
        <w:tblStyle w:val="37"/>
        <w:tblpPr w:leftFromText="180" w:rightFromText="180" w:vertAnchor="text" w:horzAnchor="margin" w:tblpY="1169"/>
        <w:tblW w:w="8460"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60"/>
      </w:tblGrid>
      <w:tr w14:paraId="1D84F1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705" w:hRule="atLeast"/>
        </w:trPr>
        <w:tc>
          <w:tcPr>
            <w:tcW w:w="8461" w:type="dxa"/>
            <w:tcBorders>
              <w:top w:val="single" w:color="auto" w:sz="4" w:space="0"/>
              <w:left w:val="single" w:color="auto" w:sz="4" w:space="0"/>
              <w:bottom w:val="single" w:color="auto" w:sz="4" w:space="0"/>
              <w:right w:val="single" w:color="auto" w:sz="4" w:space="0"/>
            </w:tcBorders>
          </w:tcPr>
          <w:p w14:paraId="6FC0748A">
            <w:pPr>
              <w:keepNext w:val="0"/>
              <w:keepLines w:val="0"/>
              <w:suppressLineNumbers w:val="0"/>
              <w:spacing w:before="0" w:beforeAutospacing="0" w:after="0" w:afterAutospacing="0" w:line="360" w:lineRule="auto"/>
              <w:ind w:left="0" w:right="0"/>
              <w:rPr>
                <w:rFonts w:hint="default" w:ascii="宋体"/>
                <w:b/>
                <w:color w:val="auto"/>
                <w:sz w:val="24"/>
                <w:highlight w:val="none"/>
              </w:rPr>
            </w:pPr>
          </w:p>
          <w:p w14:paraId="4F98CED4">
            <w:pPr>
              <w:keepNext w:val="0"/>
              <w:keepLines w:val="0"/>
              <w:suppressLineNumbers w:val="0"/>
              <w:spacing w:before="0" w:beforeAutospacing="0" w:after="0" w:afterAutospacing="0" w:line="360" w:lineRule="auto"/>
              <w:ind w:left="0" w:right="0"/>
              <w:rPr>
                <w:rFonts w:hint="default" w:ascii="宋体"/>
                <w:b/>
                <w:color w:val="auto"/>
                <w:sz w:val="24"/>
                <w:highlight w:val="none"/>
              </w:rPr>
            </w:pPr>
            <w:r>
              <w:rPr>
                <w:rFonts w:hint="eastAsia" w:ascii="宋体"/>
                <w:b/>
                <w:color w:val="auto"/>
                <w:sz w:val="24"/>
                <w:highlight w:val="none"/>
              </w:rPr>
              <w:t>法定代表</w:t>
            </w:r>
            <w:r>
              <w:rPr>
                <w:rFonts w:hint="eastAsia" w:ascii="宋体"/>
                <w:b/>
                <w:color w:val="auto"/>
                <w:sz w:val="24"/>
                <w:highlight w:val="none"/>
                <w:lang w:val="en-US" w:eastAsia="zh-CN"/>
              </w:rPr>
              <w:t>人</w:t>
            </w:r>
            <w:r>
              <w:rPr>
                <w:rFonts w:hint="eastAsia" w:ascii="宋体"/>
                <w:b/>
                <w:color w:val="auto"/>
                <w:sz w:val="24"/>
                <w:highlight w:val="none"/>
              </w:rPr>
              <w:t>身份证复印件粘贴处（正、反面）</w:t>
            </w:r>
          </w:p>
        </w:tc>
      </w:tr>
    </w:tbl>
    <w:p w14:paraId="1C026229">
      <w:pPr>
        <w:pStyle w:val="7"/>
        <w:snapToGrid w:val="0"/>
        <w:spacing w:before="295" w:after="295" w:line="360" w:lineRule="auto"/>
        <w:jc w:val="center"/>
        <w:rPr>
          <w:rFonts w:hAnsi="宋体"/>
          <w:b/>
          <w:color w:val="auto"/>
          <w:sz w:val="24"/>
          <w:highlight w:val="none"/>
        </w:rPr>
      </w:pPr>
      <w:r>
        <w:rPr>
          <w:rFonts w:hint="eastAsia" w:hAnsi="宋体"/>
          <w:b/>
          <w:color w:val="auto"/>
          <w:sz w:val="24"/>
          <w:highlight w:val="none"/>
        </w:rPr>
        <w:t>附件：</w:t>
      </w:r>
      <w:r>
        <w:rPr>
          <w:rFonts w:hint="eastAsia" w:hAnsi="宋体"/>
          <w:b/>
          <w:color w:val="auto"/>
          <w:sz w:val="24"/>
          <w:highlight w:val="none"/>
        </w:rPr>
        <w:br w:type="page"/>
      </w:r>
      <w:r>
        <w:rPr>
          <w:rFonts w:hint="eastAsia" w:ascii="Times New Roman" w:hAnsi="Times New Roman"/>
          <w:b/>
          <w:bCs/>
          <w:color w:val="auto"/>
          <w:sz w:val="30"/>
          <w:szCs w:val="30"/>
          <w:highlight w:val="none"/>
        </w:rPr>
        <w:t>三、法定代表人授权委托书（如有委托时）</w:t>
      </w:r>
    </w:p>
    <w:p w14:paraId="6A89F14D">
      <w:pPr>
        <w:snapToGrid w:val="0"/>
        <w:spacing w:before="120" w:beforeLines="50" w:after="50"/>
        <w:jc w:val="center"/>
        <w:rPr>
          <w:rFonts w:ascii="宋体" w:hAnsi="宋体"/>
          <w:b/>
          <w:color w:val="auto"/>
          <w:sz w:val="32"/>
          <w:szCs w:val="32"/>
          <w:highlight w:val="none"/>
        </w:rPr>
      </w:pPr>
      <w:r>
        <w:rPr>
          <w:rFonts w:hint="eastAsia" w:ascii="宋体" w:hAnsi="宋体"/>
          <w:b/>
          <w:color w:val="auto"/>
          <w:sz w:val="32"/>
          <w:szCs w:val="32"/>
          <w:highlight w:val="none"/>
        </w:rPr>
        <w:t>法定代表人授权委托书</w:t>
      </w:r>
    </w:p>
    <w:p w14:paraId="33C6C3F0">
      <w:pPr>
        <w:snapToGrid w:val="0"/>
        <w:spacing w:before="120" w:beforeLines="50" w:after="50"/>
        <w:jc w:val="center"/>
        <w:rPr>
          <w:rFonts w:ascii="宋体" w:hAnsi="宋体"/>
          <w:b/>
          <w:color w:val="auto"/>
          <w:sz w:val="24"/>
          <w:highlight w:val="none"/>
        </w:rPr>
      </w:pPr>
    </w:p>
    <w:p w14:paraId="13BCFB86">
      <w:pPr>
        <w:pStyle w:val="7"/>
        <w:spacing w:line="440" w:lineRule="exact"/>
        <w:ind w:firstLine="420" w:firstLineChars="200"/>
        <w:rPr>
          <w:rFonts w:ascii="Times New Roman" w:hAnsi="Times New Roman"/>
          <w:color w:val="auto"/>
          <w:highlight w:val="none"/>
        </w:rPr>
      </w:pPr>
      <w:r>
        <w:rPr>
          <w:rFonts w:hint="eastAsia" w:ascii="Times New Roman" w:hAnsi="Times New Roman"/>
          <w:color w:val="auto"/>
          <w:highlight w:val="none"/>
        </w:rPr>
        <w:t>致：</w:t>
      </w:r>
      <w:bookmarkStart w:id="321" w:name="PO_3000001866_PM031_7"/>
      <w:r>
        <w:rPr>
          <w:rFonts w:ascii="Times New Roman" w:hAnsi="Times New Roman"/>
          <w:color w:val="auto"/>
          <w:highlight w:val="none"/>
          <w:u w:val="single"/>
        </w:rPr>
        <w:t>[</w:t>
      </w:r>
      <w:r>
        <w:rPr>
          <w:rFonts w:hint="eastAsia" w:ascii="Times New Roman" w:hAnsi="Times New Roman"/>
          <w:color w:val="auto"/>
          <w:highlight w:val="none"/>
          <w:u w:val="single"/>
        </w:rPr>
        <w:t>项目采购</w:t>
      </w:r>
      <w:r>
        <w:rPr>
          <w:rFonts w:ascii="Times New Roman" w:hAnsi="Times New Roman"/>
          <w:color w:val="auto"/>
          <w:highlight w:val="none"/>
          <w:u w:val="single"/>
        </w:rPr>
        <w:t>-</w:t>
      </w:r>
      <w:r>
        <w:rPr>
          <w:rFonts w:hint="eastAsia" w:ascii="Times New Roman" w:hAnsi="Times New Roman"/>
          <w:color w:val="auto"/>
          <w:highlight w:val="none"/>
          <w:u w:val="single"/>
        </w:rPr>
        <w:t>采购组织机构</w:t>
      </w:r>
      <w:r>
        <w:rPr>
          <w:rFonts w:ascii="Times New Roman" w:hAnsi="Times New Roman"/>
          <w:color w:val="auto"/>
          <w:highlight w:val="none"/>
          <w:u w:val="single"/>
        </w:rPr>
        <w:t>]</w:t>
      </w:r>
      <w:bookmarkEnd w:id="321"/>
    </w:p>
    <w:p w14:paraId="06311B58">
      <w:pPr>
        <w:pStyle w:val="7"/>
        <w:spacing w:line="440" w:lineRule="exact"/>
        <w:ind w:firstLine="420" w:firstLineChars="200"/>
        <w:rPr>
          <w:rFonts w:ascii="Times New Roman" w:hAnsi="Times New Roman"/>
          <w:color w:val="auto"/>
          <w:highlight w:val="none"/>
        </w:rPr>
      </w:pPr>
      <w:r>
        <w:rPr>
          <w:rFonts w:hint="eastAsia" w:ascii="Times New Roman" w:hAnsi="Times New Roman"/>
          <w:color w:val="auto"/>
          <w:highlight w:val="none"/>
        </w:rPr>
        <w:t>本人（姓名）系（投标人名称）的法定代表人，现授权我单位在职正式员工（姓名和职务）为我方代理人。代理人根据授权，以我方名义签署、澄清、说明、补正、递交、撤回、修改贵方组织的</w:t>
      </w:r>
      <w:bookmarkStart w:id="322" w:name="PO_3000001866_PM002_16"/>
      <w:r>
        <w:rPr>
          <w:rFonts w:hint="eastAsia"/>
          <w:color w:val="auto"/>
          <w:highlight w:val="none"/>
          <w:u w:val="single"/>
        </w:rPr>
        <w:t>[项目采购-项目名称]</w:t>
      </w:r>
      <w:bookmarkEnd w:id="322"/>
      <w:r>
        <w:rPr>
          <w:rFonts w:hint="eastAsia"/>
          <w:color w:val="auto"/>
          <w:highlight w:val="none"/>
        </w:rPr>
        <w:t>项目（项目编号：</w:t>
      </w:r>
      <w:bookmarkStart w:id="323" w:name="PO_3000001866_PM001_12"/>
      <w:r>
        <w:rPr>
          <w:rFonts w:hint="eastAsia" w:hAnsi="宋体"/>
          <w:color w:val="auto"/>
          <w:highlight w:val="none"/>
          <w:u w:val="single"/>
        </w:rPr>
        <w:t>[项目采购-项目编号_]</w:t>
      </w:r>
      <w:bookmarkEnd w:id="323"/>
      <w:r>
        <w:rPr>
          <w:rFonts w:hint="eastAsia"/>
          <w:color w:val="auto"/>
          <w:highlight w:val="none"/>
        </w:rPr>
        <w:t>）</w:t>
      </w:r>
      <w:r>
        <w:rPr>
          <w:rFonts w:hint="eastAsia" w:ascii="Times New Roman" w:hAnsi="Times New Roman"/>
          <w:color w:val="auto"/>
          <w:highlight w:val="none"/>
        </w:rPr>
        <w:t>的投标文件、签订合同和处理一切有关事宜，其法律后果由我方承担。</w:t>
      </w:r>
    </w:p>
    <w:p w14:paraId="7E062D0D">
      <w:pPr>
        <w:pStyle w:val="7"/>
        <w:spacing w:line="440" w:lineRule="exact"/>
        <w:ind w:firstLine="420" w:firstLineChars="200"/>
        <w:rPr>
          <w:rFonts w:ascii="Times New Roman" w:hAnsi="Times New Roman"/>
          <w:color w:val="auto"/>
          <w:highlight w:val="none"/>
        </w:rPr>
      </w:pPr>
      <w:r>
        <w:rPr>
          <w:rFonts w:hint="eastAsia" w:ascii="Times New Roman" w:hAnsi="Times New Roman"/>
          <w:color w:val="auto"/>
          <w:highlight w:val="none"/>
        </w:rPr>
        <w:t>本授权书于年月日签字生效，委托期限：。</w:t>
      </w:r>
    </w:p>
    <w:p w14:paraId="6B396743">
      <w:pPr>
        <w:pStyle w:val="7"/>
        <w:spacing w:line="360" w:lineRule="auto"/>
        <w:ind w:firstLine="420"/>
        <w:rPr>
          <w:rFonts w:ascii="Times New Roman" w:hAnsi="Times New Roman"/>
          <w:color w:val="auto"/>
          <w:highlight w:val="none"/>
        </w:rPr>
      </w:pPr>
      <w:r>
        <w:rPr>
          <w:rFonts w:hint="eastAsia" w:ascii="Times New Roman" w:hAnsi="Times New Roman"/>
          <w:color w:val="auto"/>
          <w:highlight w:val="none"/>
        </w:rPr>
        <w:t>代理人无转委托权。</w:t>
      </w:r>
    </w:p>
    <w:p w14:paraId="237A9F95">
      <w:pPr>
        <w:pStyle w:val="7"/>
        <w:spacing w:line="360" w:lineRule="auto"/>
        <w:ind w:firstLine="420"/>
        <w:rPr>
          <w:rFonts w:ascii="Times New Roman" w:hAnsi="Times New Roman"/>
          <w:color w:val="auto"/>
          <w:highlight w:val="none"/>
        </w:rPr>
      </w:pPr>
    </w:p>
    <w:p w14:paraId="6AA92701">
      <w:pPr>
        <w:pStyle w:val="7"/>
        <w:spacing w:line="360" w:lineRule="auto"/>
        <w:ind w:firstLine="420"/>
        <w:rPr>
          <w:rFonts w:ascii="Times New Roman" w:hAnsi="Times New Roman"/>
          <w:color w:val="auto"/>
          <w:highlight w:val="none"/>
          <w:u w:val="single"/>
        </w:rPr>
      </w:pPr>
      <w:r>
        <w:rPr>
          <w:rFonts w:hint="eastAsia" w:ascii="Times New Roman" w:hAnsi="Times New Roman"/>
          <w:color w:val="auto"/>
          <w:highlight w:val="none"/>
        </w:rPr>
        <w:t>投标人（或联合体投标</w:t>
      </w:r>
      <w:r>
        <w:rPr>
          <w:rFonts w:hint="eastAsia" w:cs="宋体"/>
          <w:color w:val="auto"/>
          <w:kern w:val="0"/>
          <w:szCs w:val="21"/>
          <w:highlight w:val="none"/>
        </w:rPr>
        <w:t>牵头人名称</w:t>
      </w:r>
      <w:r>
        <w:rPr>
          <w:rFonts w:hint="eastAsia" w:ascii="Times New Roman" w:hAnsi="Times New Roman"/>
          <w:color w:val="auto"/>
          <w:highlight w:val="none"/>
        </w:rPr>
        <w:t>）（盖单位公章）：</w:t>
      </w:r>
    </w:p>
    <w:p w14:paraId="5350E812">
      <w:pPr>
        <w:pStyle w:val="7"/>
        <w:spacing w:line="360" w:lineRule="auto"/>
        <w:ind w:firstLine="420"/>
        <w:rPr>
          <w:rFonts w:ascii="Times New Roman" w:hAnsi="Times New Roman"/>
          <w:color w:val="auto"/>
          <w:highlight w:val="none"/>
          <w:u w:val="single"/>
        </w:rPr>
      </w:pPr>
      <w:r>
        <w:rPr>
          <w:rFonts w:hint="eastAsia" w:ascii="Times New Roman" w:hAnsi="Times New Roman"/>
          <w:color w:val="auto"/>
          <w:highlight w:val="none"/>
        </w:rPr>
        <w:t>法定代表人（签字）：</w:t>
      </w:r>
    </w:p>
    <w:p w14:paraId="5F67F200">
      <w:pPr>
        <w:pStyle w:val="7"/>
        <w:spacing w:line="360" w:lineRule="auto"/>
        <w:ind w:firstLine="420"/>
        <w:rPr>
          <w:rFonts w:ascii="Times New Roman" w:hAnsi="Times New Roman"/>
          <w:color w:val="auto"/>
          <w:highlight w:val="none"/>
          <w:u w:val="single"/>
        </w:rPr>
      </w:pPr>
      <w:r>
        <w:rPr>
          <w:rFonts w:hint="eastAsia" w:ascii="Times New Roman" w:hAnsi="Times New Roman"/>
          <w:color w:val="auto"/>
          <w:highlight w:val="none"/>
        </w:rPr>
        <w:t>法定代表人身份证号码：</w:t>
      </w:r>
    </w:p>
    <w:p w14:paraId="39E3F2A2">
      <w:pPr>
        <w:pStyle w:val="7"/>
        <w:spacing w:line="360" w:lineRule="auto"/>
        <w:ind w:firstLine="420" w:firstLineChars="200"/>
        <w:rPr>
          <w:rFonts w:ascii="Times New Roman" w:hAnsi="Times New Roman"/>
          <w:color w:val="auto"/>
          <w:highlight w:val="none"/>
        </w:rPr>
      </w:pPr>
      <w:r>
        <w:rPr>
          <w:rFonts w:hint="eastAsia" w:ascii="Times New Roman" w:hAnsi="Times New Roman"/>
          <w:color w:val="auto"/>
          <w:highlight w:val="none"/>
        </w:rPr>
        <w:t>委托代理人（签字）：</w:t>
      </w:r>
    </w:p>
    <w:p w14:paraId="71B7BE4C">
      <w:pPr>
        <w:pStyle w:val="7"/>
        <w:spacing w:line="360" w:lineRule="auto"/>
        <w:ind w:firstLine="420"/>
        <w:rPr>
          <w:rFonts w:ascii="Times New Roman" w:hAnsi="Times New Roman"/>
          <w:color w:val="auto"/>
          <w:highlight w:val="none"/>
          <w:u w:val="single"/>
        </w:rPr>
      </w:pPr>
      <w:r>
        <w:rPr>
          <w:rFonts w:hint="eastAsia" w:ascii="Times New Roman" w:hAnsi="Times New Roman"/>
          <w:color w:val="auto"/>
          <w:highlight w:val="none"/>
        </w:rPr>
        <w:t>委托代理人身份证号码：</w:t>
      </w:r>
    </w:p>
    <w:p w14:paraId="6F82B189">
      <w:pPr>
        <w:pStyle w:val="7"/>
        <w:spacing w:line="360" w:lineRule="auto"/>
        <w:ind w:firstLine="420"/>
        <w:rPr>
          <w:rFonts w:ascii="Times New Roman" w:hAnsi="Times New Roman"/>
          <w:color w:val="auto"/>
          <w:highlight w:val="none"/>
          <w:u w:val="single"/>
        </w:rPr>
      </w:pPr>
    </w:p>
    <w:p w14:paraId="5C837FAB">
      <w:pPr>
        <w:pStyle w:val="7"/>
        <w:spacing w:line="360" w:lineRule="auto"/>
        <w:ind w:firstLine="420"/>
        <w:rPr>
          <w:rFonts w:ascii="Times New Roman" w:hAnsi="Times New Roman"/>
          <w:color w:val="auto"/>
          <w:highlight w:val="none"/>
          <w:u w:val="single"/>
        </w:rPr>
      </w:pPr>
      <w:r>
        <w:rPr>
          <w:rFonts w:hint="eastAsia" w:cs="宋体"/>
          <w:color w:val="auto"/>
          <w:kern w:val="0"/>
          <w:szCs w:val="21"/>
          <w:highlight w:val="none"/>
        </w:rPr>
        <w:t>成员一名称：</w:t>
      </w:r>
      <w:r>
        <w:rPr>
          <w:rFonts w:hint="eastAsia" w:ascii="Times New Roman" w:hAnsi="Times New Roman"/>
          <w:color w:val="auto"/>
          <w:highlight w:val="none"/>
        </w:rPr>
        <w:t>（盖单位公章）：</w:t>
      </w:r>
    </w:p>
    <w:p w14:paraId="1D9763CB">
      <w:pPr>
        <w:pStyle w:val="7"/>
        <w:spacing w:line="360" w:lineRule="auto"/>
        <w:ind w:firstLine="420"/>
        <w:rPr>
          <w:rFonts w:ascii="Times New Roman" w:hAnsi="Times New Roman"/>
          <w:color w:val="auto"/>
          <w:highlight w:val="none"/>
          <w:u w:val="single"/>
        </w:rPr>
      </w:pPr>
      <w:r>
        <w:rPr>
          <w:rFonts w:hint="eastAsia" w:ascii="Times New Roman" w:hAnsi="Times New Roman"/>
          <w:color w:val="auto"/>
          <w:highlight w:val="none"/>
        </w:rPr>
        <w:t>法定代表人（签字）：</w:t>
      </w:r>
    </w:p>
    <w:p w14:paraId="252A9980">
      <w:pPr>
        <w:pStyle w:val="7"/>
        <w:spacing w:line="360" w:lineRule="auto"/>
        <w:ind w:firstLine="420"/>
        <w:rPr>
          <w:rFonts w:ascii="Times New Roman" w:hAnsi="Times New Roman"/>
          <w:color w:val="auto"/>
          <w:highlight w:val="none"/>
          <w:u w:val="single"/>
        </w:rPr>
      </w:pPr>
    </w:p>
    <w:p w14:paraId="58255B6E">
      <w:pPr>
        <w:autoSpaceDE w:val="0"/>
        <w:autoSpaceDN w:val="0"/>
        <w:adjustRightInd w:val="0"/>
        <w:spacing w:line="360" w:lineRule="auto"/>
        <w:ind w:firstLine="420" w:firstLineChars="200"/>
        <w:jc w:val="left"/>
        <w:rPr>
          <w:rFonts w:ascii="宋体" w:cs="宋体"/>
          <w:color w:val="auto"/>
          <w:kern w:val="0"/>
          <w:szCs w:val="21"/>
          <w:highlight w:val="none"/>
        </w:rPr>
      </w:pPr>
      <w:r>
        <w:rPr>
          <w:rFonts w:hint="eastAsia" w:ascii="宋体" w:cs="宋体"/>
          <w:color w:val="auto"/>
          <w:kern w:val="0"/>
          <w:szCs w:val="21"/>
          <w:highlight w:val="none"/>
        </w:rPr>
        <w:t>成员二名称：（盖单位公章）</w:t>
      </w:r>
    </w:p>
    <w:p w14:paraId="13505F5C">
      <w:pPr>
        <w:autoSpaceDE w:val="0"/>
        <w:autoSpaceDN w:val="0"/>
        <w:adjustRightInd w:val="0"/>
        <w:spacing w:line="360" w:lineRule="auto"/>
        <w:ind w:firstLine="420" w:firstLineChars="200"/>
        <w:jc w:val="left"/>
        <w:rPr>
          <w:rFonts w:ascii="宋体" w:cs="宋体"/>
          <w:color w:val="auto"/>
          <w:kern w:val="0"/>
          <w:szCs w:val="21"/>
          <w:highlight w:val="none"/>
        </w:rPr>
      </w:pPr>
      <w:r>
        <w:rPr>
          <w:rFonts w:hint="eastAsia" w:ascii="宋体" w:cs="宋体"/>
          <w:color w:val="auto"/>
          <w:kern w:val="0"/>
          <w:szCs w:val="21"/>
          <w:highlight w:val="none"/>
        </w:rPr>
        <w:t>法定代表人或其委托代理人：（签字）</w:t>
      </w:r>
    </w:p>
    <w:p w14:paraId="22B15D7B">
      <w:pPr>
        <w:pStyle w:val="7"/>
        <w:ind w:firstLine="420" w:firstLineChars="200"/>
        <w:rPr>
          <w:color w:val="auto"/>
          <w:highlight w:val="none"/>
        </w:rPr>
      </w:pPr>
      <w:r>
        <w:rPr>
          <w:rFonts w:hint="eastAsia"/>
          <w:color w:val="auto"/>
          <w:highlight w:val="none"/>
        </w:rPr>
        <w:t>......</w:t>
      </w:r>
    </w:p>
    <w:p w14:paraId="715CF840">
      <w:pPr>
        <w:spacing w:line="360" w:lineRule="auto"/>
        <w:rPr>
          <w:rFonts w:ascii="方正仿宋_GB2312" w:hAnsi="方正仿宋_GB2312" w:eastAsia="方正仿宋_GB2312" w:cs="方正仿宋_GB2312"/>
          <w:color w:val="auto"/>
          <w:szCs w:val="21"/>
          <w:highlight w:val="none"/>
        </w:rPr>
      </w:pPr>
      <w:r>
        <w:rPr>
          <w:rFonts w:hint="eastAsia" w:ascii="方正仿宋_GB2312" w:hAnsi="方正仿宋_GB2312" w:eastAsia="方正仿宋_GB2312" w:cs="方正仿宋_GB2312"/>
          <w:color w:val="auto"/>
          <w:szCs w:val="21"/>
          <w:highlight w:val="none"/>
        </w:rPr>
        <w:t>注：</w:t>
      </w:r>
    </w:p>
    <w:p w14:paraId="19F3ECF5">
      <w:pPr>
        <w:spacing w:line="360" w:lineRule="auto"/>
        <w:rPr>
          <w:rFonts w:ascii="方正仿宋_GB2312" w:hAnsi="方正仿宋_GB2312" w:eastAsia="方正仿宋_GB2312" w:cs="方正仿宋_GB2312"/>
          <w:color w:val="auto"/>
          <w:szCs w:val="21"/>
          <w:highlight w:val="none"/>
        </w:rPr>
      </w:pPr>
      <w:r>
        <w:rPr>
          <w:rFonts w:hint="eastAsia" w:ascii="方正仿宋_GB2312" w:hAnsi="方正仿宋_GB2312" w:eastAsia="方正仿宋_GB2312" w:cs="方正仿宋_GB2312"/>
          <w:color w:val="auto"/>
          <w:szCs w:val="21"/>
          <w:highlight w:val="none"/>
        </w:rPr>
        <w:t>1.法定代表人和委托代理人必须在授权委托书上亲笔签名，不得使用印章、签名章或者其他电子制版签名代替，</w:t>
      </w:r>
      <w:r>
        <w:rPr>
          <w:rFonts w:hint="eastAsia" w:ascii="方正仿宋_GB2312" w:hAnsi="方正仿宋_GB2312" w:eastAsia="方正仿宋_GB2312" w:cs="方正仿宋_GB2312"/>
          <w:b/>
          <w:bCs/>
          <w:color w:val="auto"/>
          <w:szCs w:val="21"/>
          <w:highlight w:val="none"/>
        </w:rPr>
        <w:t>否则作无效投标处理</w:t>
      </w:r>
      <w:r>
        <w:rPr>
          <w:rFonts w:hint="eastAsia" w:ascii="方正仿宋_GB2312" w:hAnsi="方正仿宋_GB2312" w:eastAsia="方正仿宋_GB2312" w:cs="方正仿宋_GB2312"/>
          <w:color w:val="auto"/>
          <w:szCs w:val="21"/>
          <w:highlight w:val="none"/>
        </w:rPr>
        <w:t>；</w:t>
      </w:r>
    </w:p>
    <w:p w14:paraId="43777139">
      <w:pPr>
        <w:spacing w:line="360" w:lineRule="auto"/>
        <w:jc w:val="left"/>
        <w:rPr>
          <w:rFonts w:ascii="方正仿宋_GB2312" w:hAnsi="方正仿宋_GB2312" w:eastAsia="方正仿宋_GB2312" w:cs="方正仿宋_GB2312"/>
          <w:color w:val="auto"/>
          <w:szCs w:val="21"/>
          <w:highlight w:val="none"/>
        </w:rPr>
      </w:pPr>
      <w:r>
        <w:rPr>
          <w:rFonts w:hint="eastAsia" w:ascii="方正仿宋_GB2312" w:hAnsi="方正仿宋_GB2312" w:eastAsia="方正仿宋_GB2312" w:cs="方正仿宋_GB2312"/>
          <w:color w:val="auto"/>
          <w:szCs w:val="21"/>
          <w:highlight w:val="none"/>
        </w:rPr>
        <w:t>2.以联合体形式投标的，本授权委托书应由联合体牵头人的法定代表人按上述规定签署。</w:t>
      </w:r>
    </w:p>
    <w:p w14:paraId="2B92D6F3">
      <w:pPr>
        <w:snapToGrid w:val="0"/>
        <w:spacing w:before="50" w:after="120" w:afterLines="50" w:line="360" w:lineRule="auto"/>
        <w:jc w:val="left"/>
        <w:rPr>
          <w:rFonts w:ascii="方正仿宋_GB2312" w:hAnsi="方正仿宋_GB2312" w:eastAsia="方正仿宋_GB2312" w:cs="方正仿宋_GB2312"/>
          <w:color w:val="auto"/>
          <w:szCs w:val="21"/>
          <w:highlight w:val="none"/>
        </w:rPr>
      </w:pPr>
      <w:r>
        <w:rPr>
          <w:rFonts w:hint="eastAsia" w:ascii="方正仿宋_GB2312" w:hAnsi="方正仿宋_GB2312" w:eastAsia="方正仿宋_GB2312" w:cs="方正仿宋_GB2312"/>
          <w:color w:val="auto"/>
          <w:szCs w:val="21"/>
          <w:highlight w:val="none"/>
        </w:rPr>
        <w:t>3. 供应商为其他组织或者自然人时，本招标文件规定的法定代表人指负责人或者自然人。本招标文件所称负责人是指参加投标的其他组织营业执照上的负责人，本招标文件所称自然人指参与投标的自然人本人。</w:t>
      </w:r>
    </w:p>
    <w:p w14:paraId="05CF4E0E">
      <w:pPr>
        <w:snapToGrid w:val="0"/>
        <w:spacing w:before="50" w:after="120" w:afterLines="50" w:line="360" w:lineRule="auto"/>
        <w:jc w:val="left"/>
        <w:rPr>
          <w:rFonts w:ascii="方正仿宋_GB2312" w:hAnsi="方正仿宋_GB2312" w:eastAsia="方正仿宋_GB2312" w:cs="方正仿宋_GB2312"/>
          <w:color w:val="auto"/>
          <w:szCs w:val="21"/>
          <w:highlight w:val="none"/>
        </w:rPr>
      </w:pPr>
      <w:r>
        <w:rPr>
          <w:rFonts w:hint="eastAsia" w:ascii="方正仿宋_GB2312" w:hAnsi="方正仿宋_GB2312" w:eastAsia="方正仿宋_GB2312" w:cs="方正仿宋_GB2312"/>
          <w:color w:val="auto"/>
          <w:szCs w:val="21"/>
          <w:highlight w:val="none"/>
        </w:rPr>
        <w:t>4. 若为联合体投标须各方签字或盖章。</w:t>
      </w:r>
    </w:p>
    <w:p w14:paraId="6F54C418">
      <w:pPr>
        <w:spacing w:line="360" w:lineRule="auto"/>
        <w:rPr>
          <w:rFonts w:ascii="宋体"/>
          <w:b/>
          <w:color w:val="auto"/>
          <w:sz w:val="24"/>
          <w:highlight w:val="none"/>
        </w:rPr>
      </w:pPr>
    </w:p>
    <w:p w14:paraId="4C0F547D">
      <w:pPr>
        <w:spacing w:line="360" w:lineRule="auto"/>
        <w:rPr>
          <w:b/>
          <w:color w:val="auto"/>
          <w:sz w:val="24"/>
          <w:highlight w:val="none"/>
        </w:rPr>
      </w:pPr>
      <w:r>
        <w:rPr>
          <w:rFonts w:hint="eastAsia" w:ascii="宋体"/>
          <w:b/>
          <w:color w:val="auto"/>
          <w:sz w:val="24"/>
          <w:highlight w:val="none"/>
        </w:rPr>
        <w:t>附件：</w:t>
      </w:r>
    </w:p>
    <w:tbl>
      <w:tblPr>
        <w:tblStyle w:val="37"/>
        <w:tblpPr w:leftFromText="180" w:rightFromText="180" w:vertAnchor="text" w:horzAnchor="margin" w:tblpY="263"/>
        <w:tblW w:w="7995"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995"/>
      </w:tblGrid>
      <w:tr w14:paraId="1232E3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40" w:hRule="atLeast"/>
        </w:trPr>
        <w:tc>
          <w:tcPr>
            <w:tcW w:w="7985" w:type="dxa"/>
            <w:tcBorders>
              <w:top w:val="single" w:color="auto" w:sz="4" w:space="0"/>
              <w:left w:val="single" w:color="auto" w:sz="4" w:space="0"/>
              <w:bottom w:val="single" w:color="auto" w:sz="4" w:space="0"/>
              <w:right w:val="single" w:color="auto" w:sz="4" w:space="0"/>
            </w:tcBorders>
          </w:tcPr>
          <w:p w14:paraId="1261B968">
            <w:pPr>
              <w:keepNext w:val="0"/>
              <w:keepLines w:val="0"/>
              <w:suppressLineNumbers w:val="0"/>
              <w:spacing w:before="0" w:beforeAutospacing="0" w:after="0" w:afterAutospacing="0" w:line="360" w:lineRule="auto"/>
              <w:ind w:left="0" w:right="0"/>
              <w:rPr>
                <w:rFonts w:hint="default" w:ascii="宋体"/>
                <w:b/>
                <w:color w:val="auto"/>
                <w:sz w:val="24"/>
                <w:highlight w:val="none"/>
              </w:rPr>
            </w:pPr>
          </w:p>
          <w:p w14:paraId="3111EFBE">
            <w:pPr>
              <w:keepNext w:val="0"/>
              <w:keepLines w:val="0"/>
              <w:suppressLineNumbers w:val="0"/>
              <w:spacing w:before="0" w:beforeAutospacing="0" w:after="0" w:afterAutospacing="0" w:line="360" w:lineRule="auto"/>
              <w:ind w:left="0" w:right="0"/>
              <w:rPr>
                <w:rFonts w:hint="default" w:ascii="宋体"/>
                <w:b/>
                <w:color w:val="auto"/>
                <w:sz w:val="24"/>
                <w:highlight w:val="none"/>
              </w:rPr>
            </w:pPr>
            <w:r>
              <w:rPr>
                <w:rFonts w:hint="eastAsia" w:ascii="宋体"/>
                <w:b/>
                <w:color w:val="auto"/>
                <w:sz w:val="24"/>
                <w:highlight w:val="none"/>
              </w:rPr>
              <w:t>全权代表身份证复印件粘贴处（正、反面）</w:t>
            </w:r>
          </w:p>
        </w:tc>
      </w:tr>
    </w:tbl>
    <w:p w14:paraId="1C6A128E">
      <w:pPr>
        <w:snapToGrid w:val="0"/>
        <w:spacing w:before="50" w:after="120" w:afterLines="50" w:line="360" w:lineRule="auto"/>
        <w:jc w:val="left"/>
        <w:rPr>
          <w:rFonts w:ascii="方正仿宋_GB2312" w:hAnsi="方正仿宋_GB2312" w:eastAsia="方正仿宋_GB2312" w:cs="方正仿宋_GB2312"/>
          <w:color w:val="auto"/>
          <w:szCs w:val="21"/>
          <w:highlight w:val="none"/>
        </w:rPr>
      </w:pPr>
    </w:p>
    <w:p w14:paraId="7CFBA777">
      <w:pPr>
        <w:snapToGrid w:val="0"/>
        <w:spacing w:before="120" w:beforeLines="50" w:after="50"/>
        <w:ind w:firstLine="566" w:firstLineChars="236"/>
        <w:jc w:val="center"/>
        <w:rPr>
          <w:rFonts w:ascii="宋体" w:hAnsi="宋体"/>
          <w:color w:val="auto"/>
          <w:highlight w:val="none"/>
        </w:rPr>
      </w:pPr>
      <w:r>
        <w:rPr>
          <w:rFonts w:hint="eastAsia" w:ascii="宋体" w:hAnsi="宋体"/>
          <w:color w:val="auto"/>
          <w:sz w:val="24"/>
          <w:highlight w:val="none"/>
        </w:rPr>
        <w:br w:type="page"/>
      </w:r>
    </w:p>
    <w:p w14:paraId="4C7A1284">
      <w:pPr>
        <w:jc w:val="center"/>
        <w:rPr>
          <w:b/>
          <w:bCs/>
          <w:color w:val="auto"/>
          <w:sz w:val="30"/>
          <w:szCs w:val="30"/>
          <w:highlight w:val="none"/>
        </w:rPr>
      </w:pPr>
      <w:r>
        <w:rPr>
          <w:rFonts w:hint="eastAsia"/>
          <w:b/>
          <w:bCs/>
          <w:color w:val="auto"/>
          <w:sz w:val="30"/>
          <w:szCs w:val="30"/>
          <w:highlight w:val="none"/>
        </w:rPr>
        <w:t>四、商务条款偏离表</w:t>
      </w:r>
    </w:p>
    <w:p w14:paraId="5B28A27F">
      <w:pPr>
        <w:jc w:val="center"/>
        <w:rPr>
          <w:rFonts w:ascii="宋体" w:hAnsi="宋体"/>
          <w:b/>
          <w:color w:val="auto"/>
          <w:sz w:val="24"/>
          <w:szCs w:val="20"/>
          <w:highlight w:val="none"/>
        </w:rPr>
      </w:pPr>
      <w:r>
        <w:rPr>
          <w:rFonts w:hint="eastAsia" w:ascii="宋体" w:hAnsi="宋体"/>
          <w:color w:val="auto"/>
          <w:sz w:val="30"/>
          <w:szCs w:val="20"/>
          <w:highlight w:val="none"/>
        </w:rPr>
        <w:t>(注：按项目需求表具体项目修改)</w:t>
      </w:r>
    </w:p>
    <w:p w14:paraId="3F280D36">
      <w:pPr>
        <w:snapToGrid w:val="0"/>
        <w:spacing w:before="50"/>
        <w:jc w:val="left"/>
        <w:rPr>
          <w:rFonts w:ascii="宋体" w:hAnsi="宋体"/>
          <w:color w:val="auto"/>
          <w:sz w:val="24"/>
          <w:highlight w:val="none"/>
        </w:rPr>
      </w:pPr>
    </w:p>
    <w:p w14:paraId="5A646E60">
      <w:pPr>
        <w:pStyle w:val="7"/>
        <w:spacing w:line="360" w:lineRule="auto"/>
        <w:ind w:left="-424" w:leftChars="-202" w:firstLine="846"/>
        <w:rPr>
          <w:rFonts w:hAnsi="宋体"/>
          <w:color w:val="auto"/>
          <w:sz w:val="24"/>
          <w:szCs w:val="24"/>
          <w:highlight w:val="none"/>
        </w:rPr>
      </w:pPr>
      <w:r>
        <w:rPr>
          <w:rFonts w:hint="eastAsia" w:ascii="Times New Roman" w:hAnsi="Times New Roman"/>
          <w:color w:val="auto"/>
          <w:highlight w:val="none"/>
        </w:rPr>
        <w:t>请逐条对应本项目招标文件第二章“服务需求一览表”中“商务条款”的要求，详细填写相应的具体内容。“偏离说明”一栏应当选择“正偏离”、“负偏离”或“无偏离”进行填写。</w:t>
      </w:r>
    </w:p>
    <w:tbl>
      <w:tblPr>
        <w:tblStyle w:val="37"/>
        <w:tblpPr w:leftFromText="180" w:rightFromText="180" w:vertAnchor="text" w:horzAnchor="margin" w:tblpXSpec="center" w:tblpY="94"/>
        <w:tblW w:w="9480"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91"/>
        <w:gridCol w:w="3757"/>
        <w:gridCol w:w="2516"/>
        <w:gridCol w:w="2516"/>
      </w:tblGrid>
      <w:tr w14:paraId="16C2EB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60" w:hRule="atLeast"/>
        </w:trPr>
        <w:tc>
          <w:tcPr>
            <w:tcW w:w="691" w:type="dxa"/>
            <w:tcBorders>
              <w:top w:val="single" w:color="auto" w:sz="4" w:space="0"/>
              <w:left w:val="single" w:color="auto" w:sz="4" w:space="0"/>
              <w:bottom w:val="single" w:color="auto" w:sz="4" w:space="0"/>
              <w:right w:val="single" w:color="auto" w:sz="4" w:space="0"/>
            </w:tcBorders>
            <w:noWrap/>
          </w:tcPr>
          <w:p w14:paraId="635D04EF">
            <w:pPr>
              <w:keepNext w:val="0"/>
              <w:keepLines w:val="0"/>
              <w:suppressLineNumbers w:val="0"/>
              <w:spacing w:before="0" w:beforeAutospacing="0" w:after="0" w:afterAutospacing="0" w:line="340" w:lineRule="exact"/>
              <w:ind w:left="0" w:right="0"/>
              <w:jc w:val="center"/>
              <w:rPr>
                <w:rFonts w:hint="default" w:ascii="宋体" w:hAnsi="宋体"/>
                <w:color w:val="auto"/>
                <w:szCs w:val="21"/>
                <w:highlight w:val="none"/>
              </w:rPr>
            </w:pPr>
            <w:r>
              <w:rPr>
                <w:rFonts w:hint="eastAsia" w:ascii="宋体" w:hAnsi="宋体"/>
                <w:color w:val="auto"/>
                <w:szCs w:val="21"/>
                <w:highlight w:val="none"/>
              </w:rPr>
              <w:t>项号</w:t>
            </w:r>
          </w:p>
        </w:tc>
        <w:tc>
          <w:tcPr>
            <w:tcW w:w="3757" w:type="dxa"/>
            <w:tcBorders>
              <w:top w:val="single" w:color="auto" w:sz="4" w:space="0"/>
              <w:left w:val="single" w:color="auto" w:sz="4" w:space="0"/>
              <w:bottom w:val="single" w:color="auto" w:sz="4" w:space="0"/>
              <w:right w:val="single" w:color="auto" w:sz="4" w:space="0"/>
            </w:tcBorders>
            <w:noWrap/>
          </w:tcPr>
          <w:p w14:paraId="2EA070E7">
            <w:pPr>
              <w:keepNext w:val="0"/>
              <w:keepLines w:val="0"/>
              <w:suppressLineNumbers w:val="0"/>
              <w:spacing w:before="0" w:beforeAutospacing="0" w:after="0" w:afterAutospacing="0" w:line="340" w:lineRule="exact"/>
              <w:ind w:left="0" w:right="0"/>
              <w:jc w:val="center"/>
              <w:rPr>
                <w:rFonts w:hint="default" w:ascii="宋体" w:hAnsi="宋体"/>
                <w:color w:val="auto"/>
                <w:szCs w:val="21"/>
                <w:highlight w:val="none"/>
              </w:rPr>
            </w:pPr>
            <w:r>
              <w:rPr>
                <w:rFonts w:hint="eastAsia" w:ascii="宋体" w:hAnsi="宋体"/>
                <w:color w:val="auto"/>
                <w:szCs w:val="21"/>
                <w:highlight w:val="none"/>
              </w:rPr>
              <w:t>招标文件的商务需求</w:t>
            </w:r>
          </w:p>
        </w:tc>
        <w:tc>
          <w:tcPr>
            <w:tcW w:w="2516" w:type="dxa"/>
            <w:tcBorders>
              <w:top w:val="single" w:color="auto" w:sz="4" w:space="0"/>
              <w:left w:val="single" w:color="auto" w:sz="4" w:space="0"/>
              <w:bottom w:val="single" w:color="auto" w:sz="4" w:space="0"/>
              <w:right w:val="single" w:color="auto" w:sz="4" w:space="0"/>
            </w:tcBorders>
          </w:tcPr>
          <w:p w14:paraId="43A42297">
            <w:pPr>
              <w:keepNext w:val="0"/>
              <w:keepLines w:val="0"/>
              <w:suppressLineNumbers w:val="0"/>
              <w:spacing w:before="0" w:beforeAutospacing="0" w:after="0" w:afterAutospacing="0" w:line="340" w:lineRule="exact"/>
              <w:ind w:left="0" w:right="0"/>
              <w:jc w:val="center"/>
              <w:rPr>
                <w:rFonts w:hint="default" w:ascii="宋体" w:hAnsi="宋体"/>
                <w:color w:val="auto"/>
                <w:szCs w:val="21"/>
                <w:highlight w:val="none"/>
              </w:rPr>
            </w:pPr>
            <w:r>
              <w:rPr>
                <w:rFonts w:hint="eastAsia" w:ascii="宋体" w:hAnsi="宋体"/>
                <w:color w:val="auto"/>
                <w:szCs w:val="21"/>
                <w:highlight w:val="none"/>
              </w:rPr>
              <w:t>投标文件承诺的商务条款</w:t>
            </w:r>
          </w:p>
        </w:tc>
        <w:tc>
          <w:tcPr>
            <w:tcW w:w="2516" w:type="dxa"/>
            <w:tcBorders>
              <w:top w:val="single" w:color="auto" w:sz="4" w:space="0"/>
              <w:left w:val="single" w:color="auto" w:sz="4" w:space="0"/>
              <w:bottom w:val="single" w:color="auto" w:sz="4" w:space="0"/>
              <w:right w:val="single" w:color="auto" w:sz="4" w:space="0"/>
            </w:tcBorders>
          </w:tcPr>
          <w:p w14:paraId="4125A588">
            <w:pPr>
              <w:keepNext w:val="0"/>
              <w:keepLines w:val="0"/>
              <w:suppressLineNumbers w:val="0"/>
              <w:spacing w:before="0" w:beforeAutospacing="0" w:after="0" w:afterAutospacing="0" w:line="300" w:lineRule="exact"/>
              <w:ind w:left="0" w:right="0"/>
              <w:jc w:val="center"/>
              <w:rPr>
                <w:rFonts w:hint="default" w:ascii="宋体" w:hAnsi="宋体"/>
                <w:color w:val="auto"/>
                <w:szCs w:val="21"/>
                <w:highlight w:val="none"/>
              </w:rPr>
            </w:pPr>
            <w:r>
              <w:rPr>
                <w:rFonts w:hint="eastAsia" w:ascii="宋体" w:hAnsi="宋体"/>
                <w:color w:val="auto"/>
                <w:szCs w:val="21"/>
                <w:highlight w:val="none"/>
              </w:rPr>
              <w:t>偏离说明</w:t>
            </w:r>
          </w:p>
        </w:tc>
      </w:tr>
      <w:tr w14:paraId="4B5DF7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60" w:hRule="atLeast"/>
        </w:trPr>
        <w:tc>
          <w:tcPr>
            <w:tcW w:w="691" w:type="dxa"/>
            <w:vMerge w:val="restart"/>
            <w:tcBorders>
              <w:top w:val="single" w:color="auto" w:sz="4" w:space="0"/>
              <w:left w:val="single" w:color="auto" w:sz="4" w:space="0"/>
              <w:bottom w:val="single" w:color="auto" w:sz="4" w:space="0"/>
              <w:right w:val="single" w:color="auto" w:sz="4" w:space="0"/>
            </w:tcBorders>
            <w:noWrap/>
          </w:tcPr>
          <w:p w14:paraId="0B5D0769">
            <w:pPr>
              <w:keepNext w:val="0"/>
              <w:keepLines w:val="0"/>
              <w:suppressLineNumbers w:val="0"/>
              <w:spacing w:before="0" w:beforeAutospacing="0" w:after="0" w:afterAutospacing="0" w:line="340" w:lineRule="exact"/>
              <w:ind w:left="0" w:right="0"/>
              <w:rPr>
                <w:rFonts w:hint="default" w:ascii="宋体" w:hAnsi="宋体"/>
                <w:color w:val="auto"/>
                <w:szCs w:val="21"/>
                <w:highlight w:val="none"/>
              </w:rPr>
            </w:pPr>
            <w:r>
              <w:rPr>
                <w:rFonts w:hint="eastAsia" w:ascii="宋体" w:hAnsi="宋体"/>
                <w:color w:val="auto"/>
                <w:szCs w:val="21"/>
                <w:highlight w:val="none"/>
              </w:rPr>
              <w:t>一</w:t>
            </w:r>
          </w:p>
        </w:tc>
        <w:tc>
          <w:tcPr>
            <w:tcW w:w="3757" w:type="dxa"/>
            <w:tcBorders>
              <w:top w:val="single" w:color="auto" w:sz="4" w:space="0"/>
              <w:left w:val="single" w:color="auto" w:sz="4" w:space="0"/>
              <w:bottom w:val="single" w:color="auto" w:sz="4" w:space="0"/>
              <w:right w:val="single" w:color="auto" w:sz="4" w:space="0"/>
            </w:tcBorders>
            <w:noWrap/>
          </w:tcPr>
          <w:p w14:paraId="4722A2CD">
            <w:pPr>
              <w:keepNext w:val="0"/>
              <w:keepLines w:val="0"/>
              <w:suppressLineNumbers w:val="0"/>
              <w:spacing w:before="0" w:beforeAutospacing="0" w:after="0" w:afterAutospacing="0"/>
              <w:ind w:left="0" w:right="0"/>
              <w:rPr>
                <w:rFonts w:hint="default" w:ascii="宋体" w:hAnsi="宋体"/>
                <w:color w:val="auto"/>
                <w:szCs w:val="21"/>
                <w:highlight w:val="none"/>
              </w:rPr>
            </w:pPr>
            <w:r>
              <w:rPr>
                <w:rFonts w:hint="eastAsia" w:ascii="宋体" w:hAnsi="宋体"/>
                <w:color w:val="auto"/>
                <w:szCs w:val="21"/>
                <w:highlight w:val="none"/>
              </w:rPr>
              <w:t>1  ……</w:t>
            </w:r>
          </w:p>
        </w:tc>
        <w:tc>
          <w:tcPr>
            <w:tcW w:w="2516" w:type="dxa"/>
            <w:tcBorders>
              <w:top w:val="single" w:color="auto" w:sz="4" w:space="0"/>
              <w:left w:val="single" w:color="auto" w:sz="4" w:space="0"/>
              <w:bottom w:val="single" w:color="auto" w:sz="4" w:space="0"/>
              <w:right w:val="single" w:color="auto" w:sz="4" w:space="0"/>
            </w:tcBorders>
          </w:tcPr>
          <w:p w14:paraId="508CDD21">
            <w:pPr>
              <w:keepNext w:val="0"/>
              <w:keepLines w:val="0"/>
              <w:suppressLineNumbers w:val="0"/>
              <w:spacing w:before="0" w:beforeAutospacing="0" w:after="0" w:afterAutospacing="0"/>
              <w:ind w:left="0" w:right="0"/>
              <w:rPr>
                <w:rFonts w:hint="default" w:ascii="宋体" w:hAnsi="宋体"/>
                <w:color w:val="auto"/>
                <w:szCs w:val="21"/>
                <w:highlight w:val="none"/>
              </w:rPr>
            </w:pPr>
            <w:r>
              <w:rPr>
                <w:rFonts w:hint="eastAsia" w:ascii="宋体" w:hAnsi="宋体"/>
                <w:color w:val="auto"/>
                <w:szCs w:val="21"/>
                <w:highlight w:val="none"/>
              </w:rPr>
              <w:t>1  ……</w:t>
            </w:r>
          </w:p>
        </w:tc>
        <w:tc>
          <w:tcPr>
            <w:tcW w:w="2516" w:type="dxa"/>
            <w:tcBorders>
              <w:top w:val="single" w:color="auto" w:sz="4" w:space="0"/>
              <w:left w:val="single" w:color="auto" w:sz="4" w:space="0"/>
              <w:bottom w:val="single" w:color="auto" w:sz="4" w:space="0"/>
              <w:right w:val="single" w:color="auto" w:sz="4" w:space="0"/>
            </w:tcBorders>
          </w:tcPr>
          <w:p w14:paraId="1A1F1C15">
            <w:pPr>
              <w:keepNext w:val="0"/>
              <w:keepLines w:val="0"/>
              <w:suppressLineNumbers w:val="0"/>
              <w:spacing w:before="0" w:beforeAutospacing="0" w:after="0" w:afterAutospacing="0" w:line="300" w:lineRule="exact"/>
              <w:ind w:left="0" w:right="0"/>
              <w:rPr>
                <w:rFonts w:hint="default" w:ascii="宋体" w:hAnsi="宋体"/>
                <w:color w:val="auto"/>
                <w:szCs w:val="21"/>
                <w:highlight w:val="none"/>
              </w:rPr>
            </w:pPr>
            <w:r>
              <w:rPr>
                <w:rFonts w:hint="eastAsia" w:ascii="宋体" w:hAnsi="宋体"/>
                <w:color w:val="auto"/>
                <w:szCs w:val="21"/>
                <w:highlight w:val="none"/>
              </w:rPr>
              <w:t>正偏离（负偏离或无偏离）</w:t>
            </w:r>
          </w:p>
          <w:p w14:paraId="08A18116">
            <w:pPr>
              <w:keepNext w:val="0"/>
              <w:keepLines w:val="0"/>
              <w:suppressLineNumbers w:val="0"/>
              <w:spacing w:before="0" w:beforeAutospacing="0" w:after="0" w:afterAutospacing="0" w:line="300" w:lineRule="exact"/>
              <w:ind w:left="0" w:right="0"/>
              <w:rPr>
                <w:rFonts w:hint="default" w:ascii="宋体" w:hAnsi="宋体"/>
                <w:color w:val="auto"/>
                <w:szCs w:val="21"/>
                <w:highlight w:val="none"/>
              </w:rPr>
            </w:pPr>
          </w:p>
        </w:tc>
      </w:tr>
      <w:tr w14:paraId="5B1C17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57" w:hRule="atLeast"/>
        </w:trPr>
        <w:tc>
          <w:tcPr>
            <w:tcW w:w="9480" w:type="dxa"/>
            <w:vMerge w:val="continue"/>
            <w:tcBorders>
              <w:top w:val="single" w:color="auto" w:sz="4" w:space="0"/>
              <w:left w:val="single" w:color="auto" w:sz="4" w:space="0"/>
              <w:bottom w:val="single" w:color="auto" w:sz="4" w:space="0"/>
              <w:right w:val="single" w:color="auto" w:sz="4" w:space="0"/>
            </w:tcBorders>
            <w:vAlign w:val="center"/>
          </w:tcPr>
          <w:p w14:paraId="6C702968">
            <w:pPr>
              <w:keepNext w:val="0"/>
              <w:keepLines w:val="0"/>
              <w:widowControl/>
              <w:suppressLineNumbers w:val="0"/>
              <w:spacing w:before="0" w:beforeAutospacing="0" w:after="0" w:afterAutospacing="0"/>
              <w:ind w:left="0" w:right="0"/>
              <w:jc w:val="left"/>
              <w:rPr>
                <w:rFonts w:hint="default" w:ascii="宋体" w:hAnsi="宋体"/>
                <w:color w:val="auto"/>
                <w:szCs w:val="21"/>
                <w:highlight w:val="none"/>
              </w:rPr>
            </w:pPr>
          </w:p>
        </w:tc>
        <w:tc>
          <w:tcPr>
            <w:tcW w:w="3757" w:type="dxa"/>
            <w:tcBorders>
              <w:top w:val="single" w:color="auto" w:sz="4" w:space="0"/>
              <w:left w:val="single" w:color="auto" w:sz="4" w:space="0"/>
              <w:bottom w:val="single" w:color="auto" w:sz="4" w:space="0"/>
              <w:right w:val="single" w:color="auto" w:sz="4" w:space="0"/>
            </w:tcBorders>
            <w:noWrap/>
          </w:tcPr>
          <w:p w14:paraId="239A6259">
            <w:pPr>
              <w:keepNext w:val="0"/>
              <w:keepLines w:val="0"/>
              <w:suppressLineNumbers w:val="0"/>
              <w:spacing w:before="0" w:beforeAutospacing="0" w:after="0" w:afterAutospacing="0" w:line="340" w:lineRule="exact"/>
              <w:ind w:left="0" w:right="0"/>
              <w:rPr>
                <w:rFonts w:hint="default" w:ascii="宋体" w:hAnsi="宋体"/>
                <w:color w:val="auto"/>
                <w:szCs w:val="21"/>
                <w:highlight w:val="none"/>
              </w:rPr>
            </w:pPr>
            <w:r>
              <w:rPr>
                <w:rFonts w:hint="eastAsia" w:ascii="宋体" w:hAnsi="宋体"/>
                <w:color w:val="auto"/>
                <w:szCs w:val="21"/>
                <w:highlight w:val="none"/>
              </w:rPr>
              <w:t>2  ……</w:t>
            </w:r>
          </w:p>
          <w:p w14:paraId="650D38E6">
            <w:pPr>
              <w:keepNext w:val="0"/>
              <w:keepLines w:val="0"/>
              <w:suppressLineNumbers w:val="0"/>
              <w:spacing w:before="0" w:beforeAutospacing="0" w:after="0" w:afterAutospacing="0" w:line="340" w:lineRule="exact"/>
              <w:ind w:left="0" w:right="0"/>
              <w:rPr>
                <w:rFonts w:hint="default" w:ascii="宋体" w:hAnsi="宋体"/>
                <w:color w:val="auto"/>
                <w:szCs w:val="21"/>
                <w:highlight w:val="none"/>
              </w:rPr>
            </w:pPr>
          </w:p>
        </w:tc>
        <w:tc>
          <w:tcPr>
            <w:tcW w:w="2516" w:type="dxa"/>
            <w:tcBorders>
              <w:top w:val="single" w:color="auto" w:sz="4" w:space="0"/>
              <w:left w:val="single" w:color="auto" w:sz="4" w:space="0"/>
              <w:bottom w:val="single" w:color="auto" w:sz="4" w:space="0"/>
              <w:right w:val="single" w:color="auto" w:sz="4" w:space="0"/>
            </w:tcBorders>
          </w:tcPr>
          <w:p w14:paraId="67DD97A0">
            <w:pPr>
              <w:keepNext w:val="0"/>
              <w:keepLines w:val="0"/>
              <w:suppressLineNumbers w:val="0"/>
              <w:spacing w:before="0" w:beforeAutospacing="0" w:after="0" w:afterAutospacing="0" w:line="340" w:lineRule="exact"/>
              <w:ind w:left="0" w:right="0"/>
              <w:rPr>
                <w:rFonts w:hint="default" w:ascii="宋体" w:hAnsi="宋体"/>
                <w:color w:val="auto"/>
                <w:szCs w:val="21"/>
                <w:highlight w:val="none"/>
              </w:rPr>
            </w:pPr>
            <w:r>
              <w:rPr>
                <w:rFonts w:hint="eastAsia" w:ascii="宋体" w:hAnsi="宋体"/>
                <w:color w:val="auto"/>
                <w:szCs w:val="21"/>
                <w:highlight w:val="none"/>
              </w:rPr>
              <w:t>2  ……</w:t>
            </w:r>
          </w:p>
          <w:p w14:paraId="27AD9FEE">
            <w:pPr>
              <w:keepNext w:val="0"/>
              <w:keepLines w:val="0"/>
              <w:suppressLineNumbers w:val="0"/>
              <w:spacing w:before="0" w:beforeAutospacing="0" w:after="0" w:afterAutospacing="0" w:line="300" w:lineRule="exact"/>
              <w:ind w:left="0" w:right="0"/>
              <w:rPr>
                <w:rFonts w:hint="default" w:ascii="宋体" w:hAnsi="宋体"/>
                <w:color w:val="auto"/>
                <w:szCs w:val="21"/>
                <w:highlight w:val="none"/>
              </w:rPr>
            </w:pPr>
          </w:p>
        </w:tc>
        <w:tc>
          <w:tcPr>
            <w:tcW w:w="2516" w:type="dxa"/>
            <w:tcBorders>
              <w:top w:val="single" w:color="auto" w:sz="4" w:space="0"/>
              <w:left w:val="single" w:color="auto" w:sz="4" w:space="0"/>
              <w:bottom w:val="single" w:color="auto" w:sz="4" w:space="0"/>
              <w:right w:val="single" w:color="auto" w:sz="4" w:space="0"/>
            </w:tcBorders>
          </w:tcPr>
          <w:p w14:paraId="00A9CA9C">
            <w:pPr>
              <w:keepNext w:val="0"/>
              <w:keepLines w:val="0"/>
              <w:suppressLineNumbers w:val="0"/>
              <w:spacing w:before="0" w:beforeAutospacing="0" w:after="0" w:afterAutospacing="0" w:line="300" w:lineRule="exact"/>
              <w:ind w:left="0" w:right="0"/>
              <w:rPr>
                <w:rFonts w:hint="default" w:ascii="宋体" w:hAnsi="宋体"/>
                <w:color w:val="auto"/>
                <w:szCs w:val="21"/>
                <w:highlight w:val="none"/>
              </w:rPr>
            </w:pPr>
            <w:r>
              <w:rPr>
                <w:rFonts w:hint="eastAsia" w:ascii="宋体" w:hAnsi="宋体"/>
                <w:color w:val="auto"/>
                <w:szCs w:val="21"/>
                <w:highlight w:val="none"/>
              </w:rPr>
              <w:t>正偏离（负偏离或无偏离）</w:t>
            </w:r>
          </w:p>
          <w:p w14:paraId="5E19444F">
            <w:pPr>
              <w:keepNext w:val="0"/>
              <w:keepLines w:val="0"/>
              <w:suppressLineNumbers w:val="0"/>
              <w:spacing w:before="0" w:beforeAutospacing="0" w:after="0" w:afterAutospacing="0" w:line="300" w:lineRule="exact"/>
              <w:ind w:left="0" w:right="0"/>
              <w:rPr>
                <w:rFonts w:hint="default" w:ascii="宋体" w:hAnsi="宋体"/>
                <w:color w:val="auto"/>
                <w:szCs w:val="21"/>
                <w:highlight w:val="none"/>
              </w:rPr>
            </w:pPr>
          </w:p>
        </w:tc>
      </w:tr>
      <w:tr w14:paraId="1B59B54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57" w:hRule="atLeast"/>
        </w:trPr>
        <w:tc>
          <w:tcPr>
            <w:tcW w:w="9480" w:type="dxa"/>
            <w:vMerge w:val="continue"/>
            <w:tcBorders>
              <w:top w:val="single" w:color="auto" w:sz="4" w:space="0"/>
              <w:left w:val="single" w:color="auto" w:sz="4" w:space="0"/>
              <w:bottom w:val="single" w:color="auto" w:sz="4" w:space="0"/>
              <w:right w:val="single" w:color="auto" w:sz="4" w:space="0"/>
            </w:tcBorders>
            <w:vAlign w:val="center"/>
          </w:tcPr>
          <w:p w14:paraId="20B09EDC">
            <w:pPr>
              <w:keepNext w:val="0"/>
              <w:keepLines w:val="0"/>
              <w:widowControl/>
              <w:suppressLineNumbers w:val="0"/>
              <w:spacing w:before="0" w:beforeAutospacing="0" w:after="0" w:afterAutospacing="0"/>
              <w:ind w:left="0" w:right="0"/>
              <w:jc w:val="left"/>
              <w:rPr>
                <w:rFonts w:hint="default" w:ascii="宋体" w:hAnsi="宋体"/>
                <w:color w:val="auto"/>
                <w:szCs w:val="21"/>
                <w:highlight w:val="none"/>
              </w:rPr>
            </w:pPr>
          </w:p>
        </w:tc>
        <w:tc>
          <w:tcPr>
            <w:tcW w:w="3757" w:type="dxa"/>
            <w:tcBorders>
              <w:top w:val="single" w:color="auto" w:sz="4" w:space="0"/>
              <w:left w:val="single" w:color="auto" w:sz="4" w:space="0"/>
              <w:bottom w:val="single" w:color="auto" w:sz="4" w:space="0"/>
              <w:right w:val="single" w:color="auto" w:sz="4" w:space="0"/>
            </w:tcBorders>
            <w:noWrap/>
          </w:tcPr>
          <w:p w14:paraId="7C19A245">
            <w:pPr>
              <w:keepNext w:val="0"/>
              <w:keepLines w:val="0"/>
              <w:suppressLineNumbers w:val="0"/>
              <w:spacing w:before="0" w:beforeAutospacing="0" w:after="0" w:afterAutospacing="0" w:line="340" w:lineRule="exact"/>
              <w:ind w:left="0" w:right="0"/>
              <w:rPr>
                <w:rFonts w:hint="default" w:ascii="宋体" w:hAnsi="宋体"/>
                <w:color w:val="auto"/>
                <w:szCs w:val="21"/>
                <w:highlight w:val="none"/>
              </w:rPr>
            </w:pPr>
            <w:r>
              <w:rPr>
                <w:rFonts w:hint="eastAsia" w:ascii="宋体" w:hAnsi="宋体"/>
                <w:color w:val="auto"/>
                <w:szCs w:val="21"/>
                <w:highlight w:val="none"/>
              </w:rPr>
              <w:t>3  ……</w:t>
            </w:r>
          </w:p>
          <w:p w14:paraId="1B07B495">
            <w:pPr>
              <w:keepNext w:val="0"/>
              <w:keepLines w:val="0"/>
              <w:suppressLineNumbers w:val="0"/>
              <w:spacing w:before="0" w:beforeAutospacing="0" w:after="0" w:afterAutospacing="0" w:line="340" w:lineRule="exact"/>
              <w:ind w:left="0" w:right="0"/>
              <w:rPr>
                <w:rFonts w:hint="default" w:ascii="宋体" w:hAnsi="宋体"/>
                <w:color w:val="auto"/>
                <w:szCs w:val="21"/>
                <w:highlight w:val="none"/>
              </w:rPr>
            </w:pPr>
          </w:p>
        </w:tc>
        <w:tc>
          <w:tcPr>
            <w:tcW w:w="2516" w:type="dxa"/>
            <w:tcBorders>
              <w:top w:val="single" w:color="auto" w:sz="4" w:space="0"/>
              <w:left w:val="single" w:color="auto" w:sz="4" w:space="0"/>
              <w:bottom w:val="single" w:color="auto" w:sz="4" w:space="0"/>
              <w:right w:val="single" w:color="auto" w:sz="4" w:space="0"/>
            </w:tcBorders>
          </w:tcPr>
          <w:p w14:paraId="110EA141">
            <w:pPr>
              <w:keepNext w:val="0"/>
              <w:keepLines w:val="0"/>
              <w:suppressLineNumbers w:val="0"/>
              <w:spacing w:before="0" w:beforeAutospacing="0" w:after="0" w:afterAutospacing="0" w:line="340" w:lineRule="exact"/>
              <w:ind w:left="0" w:right="0"/>
              <w:rPr>
                <w:rFonts w:hint="default" w:ascii="宋体" w:hAnsi="宋体"/>
                <w:color w:val="auto"/>
                <w:szCs w:val="21"/>
                <w:highlight w:val="none"/>
              </w:rPr>
            </w:pPr>
            <w:r>
              <w:rPr>
                <w:rFonts w:hint="eastAsia" w:ascii="宋体" w:hAnsi="宋体"/>
                <w:color w:val="auto"/>
                <w:szCs w:val="21"/>
                <w:highlight w:val="none"/>
              </w:rPr>
              <w:t>3  ……</w:t>
            </w:r>
          </w:p>
          <w:p w14:paraId="2C3DF429">
            <w:pPr>
              <w:keepNext w:val="0"/>
              <w:keepLines w:val="0"/>
              <w:suppressLineNumbers w:val="0"/>
              <w:spacing w:before="0" w:beforeAutospacing="0" w:after="0" w:afterAutospacing="0" w:line="300" w:lineRule="exact"/>
              <w:ind w:left="0" w:right="0"/>
              <w:rPr>
                <w:rFonts w:hint="default" w:ascii="宋体" w:hAnsi="宋体"/>
                <w:color w:val="auto"/>
                <w:szCs w:val="21"/>
                <w:highlight w:val="none"/>
              </w:rPr>
            </w:pPr>
          </w:p>
        </w:tc>
        <w:tc>
          <w:tcPr>
            <w:tcW w:w="2516" w:type="dxa"/>
            <w:tcBorders>
              <w:top w:val="single" w:color="auto" w:sz="4" w:space="0"/>
              <w:left w:val="single" w:color="auto" w:sz="4" w:space="0"/>
              <w:bottom w:val="single" w:color="auto" w:sz="4" w:space="0"/>
              <w:right w:val="single" w:color="auto" w:sz="4" w:space="0"/>
            </w:tcBorders>
          </w:tcPr>
          <w:p w14:paraId="40C4ED5D">
            <w:pPr>
              <w:keepNext w:val="0"/>
              <w:keepLines w:val="0"/>
              <w:suppressLineNumbers w:val="0"/>
              <w:spacing w:before="0" w:beforeAutospacing="0" w:after="0" w:afterAutospacing="0" w:line="300" w:lineRule="exact"/>
              <w:ind w:left="0" w:right="0"/>
              <w:rPr>
                <w:rFonts w:hint="default" w:ascii="宋体" w:hAnsi="宋体"/>
                <w:color w:val="auto"/>
                <w:szCs w:val="21"/>
                <w:highlight w:val="none"/>
              </w:rPr>
            </w:pPr>
            <w:r>
              <w:rPr>
                <w:rFonts w:hint="eastAsia" w:ascii="宋体" w:hAnsi="宋体"/>
                <w:color w:val="auto"/>
                <w:szCs w:val="21"/>
                <w:highlight w:val="none"/>
              </w:rPr>
              <w:t>正偏离（负偏离或无偏离）</w:t>
            </w:r>
          </w:p>
          <w:p w14:paraId="5ECFEB9E">
            <w:pPr>
              <w:keepNext w:val="0"/>
              <w:keepLines w:val="0"/>
              <w:suppressLineNumbers w:val="0"/>
              <w:spacing w:before="0" w:beforeAutospacing="0" w:after="0" w:afterAutospacing="0" w:line="300" w:lineRule="exact"/>
              <w:ind w:left="0" w:right="0"/>
              <w:rPr>
                <w:rFonts w:hint="default" w:ascii="宋体" w:hAnsi="宋体"/>
                <w:color w:val="auto"/>
                <w:szCs w:val="21"/>
                <w:highlight w:val="none"/>
              </w:rPr>
            </w:pPr>
          </w:p>
        </w:tc>
      </w:tr>
      <w:tr w14:paraId="1F82D8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57" w:hRule="atLeast"/>
        </w:trPr>
        <w:tc>
          <w:tcPr>
            <w:tcW w:w="9480" w:type="dxa"/>
            <w:vMerge w:val="continue"/>
            <w:tcBorders>
              <w:top w:val="single" w:color="auto" w:sz="4" w:space="0"/>
              <w:left w:val="single" w:color="auto" w:sz="4" w:space="0"/>
              <w:bottom w:val="single" w:color="auto" w:sz="4" w:space="0"/>
              <w:right w:val="single" w:color="auto" w:sz="4" w:space="0"/>
            </w:tcBorders>
            <w:vAlign w:val="center"/>
          </w:tcPr>
          <w:p w14:paraId="1D13A754">
            <w:pPr>
              <w:keepNext w:val="0"/>
              <w:keepLines w:val="0"/>
              <w:widowControl/>
              <w:suppressLineNumbers w:val="0"/>
              <w:spacing w:before="0" w:beforeAutospacing="0" w:after="0" w:afterAutospacing="0"/>
              <w:ind w:left="0" w:right="0"/>
              <w:jc w:val="left"/>
              <w:rPr>
                <w:rFonts w:hint="default" w:ascii="宋体" w:hAnsi="宋体"/>
                <w:color w:val="auto"/>
                <w:szCs w:val="21"/>
                <w:highlight w:val="none"/>
              </w:rPr>
            </w:pPr>
          </w:p>
        </w:tc>
        <w:tc>
          <w:tcPr>
            <w:tcW w:w="3757" w:type="dxa"/>
            <w:tcBorders>
              <w:top w:val="single" w:color="auto" w:sz="4" w:space="0"/>
              <w:left w:val="single" w:color="auto" w:sz="4" w:space="0"/>
              <w:bottom w:val="single" w:color="auto" w:sz="4" w:space="0"/>
              <w:right w:val="single" w:color="auto" w:sz="4" w:space="0"/>
            </w:tcBorders>
            <w:noWrap/>
          </w:tcPr>
          <w:p w14:paraId="18A630A2">
            <w:pPr>
              <w:keepNext w:val="0"/>
              <w:keepLines w:val="0"/>
              <w:suppressLineNumbers w:val="0"/>
              <w:spacing w:before="0" w:beforeAutospacing="0" w:after="0" w:afterAutospacing="0" w:line="340" w:lineRule="exact"/>
              <w:ind w:left="0" w:right="0"/>
              <w:rPr>
                <w:rFonts w:hint="default" w:ascii="宋体" w:hAnsi="宋体"/>
                <w:color w:val="auto"/>
                <w:szCs w:val="21"/>
                <w:highlight w:val="none"/>
              </w:rPr>
            </w:pPr>
            <w:r>
              <w:rPr>
                <w:rFonts w:hint="eastAsia" w:ascii="宋体" w:hAnsi="宋体"/>
                <w:color w:val="auto"/>
                <w:szCs w:val="21"/>
                <w:highlight w:val="none"/>
              </w:rPr>
              <w:t>……</w:t>
            </w:r>
          </w:p>
        </w:tc>
        <w:tc>
          <w:tcPr>
            <w:tcW w:w="2516" w:type="dxa"/>
            <w:tcBorders>
              <w:top w:val="single" w:color="auto" w:sz="4" w:space="0"/>
              <w:left w:val="single" w:color="auto" w:sz="4" w:space="0"/>
              <w:bottom w:val="single" w:color="auto" w:sz="4" w:space="0"/>
              <w:right w:val="single" w:color="auto" w:sz="4" w:space="0"/>
            </w:tcBorders>
          </w:tcPr>
          <w:p w14:paraId="7E3A7063">
            <w:pPr>
              <w:keepNext w:val="0"/>
              <w:keepLines w:val="0"/>
              <w:suppressLineNumbers w:val="0"/>
              <w:spacing w:before="0" w:beforeAutospacing="0" w:after="0" w:afterAutospacing="0" w:line="300" w:lineRule="exact"/>
              <w:ind w:left="0" w:right="0"/>
              <w:rPr>
                <w:rFonts w:hint="default" w:ascii="宋体" w:hAnsi="宋体"/>
                <w:color w:val="auto"/>
                <w:szCs w:val="21"/>
                <w:highlight w:val="none"/>
              </w:rPr>
            </w:pPr>
            <w:r>
              <w:rPr>
                <w:rFonts w:hint="eastAsia" w:ascii="宋体" w:hAnsi="宋体"/>
                <w:color w:val="auto"/>
                <w:szCs w:val="21"/>
                <w:highlight w:val="none"/>
              </w:rPr>
              <w:t>……</w:t>
            </w:r>
          </w:p>
        </w:tc>
        <w:tc>
          <w:tcPr>
            <w:tcW w:w="2516" w:type="dxa"/>
            <w:tcBorders>
              <w:top w:val="single" w:color="auto" w:sz="4" w:space="0"/>
              <w:left w:val="single" w:color="auto" w:sz="4" w:space="0"/>
              <w:bottom w:val="single" w:color="auto" w:sz="4" w:space="0"/>
              <w:right w:val="single" w:color="auto" w:sz="4" w:space="0"/>
            </w:tcBorders>
          </w:tcPr>
          <w:p w14:paraId="4FFAD7EB">
            <w:pPr>
              <w:keepNext w:val="0"/>
              <w:keepLines w:val="0"/>
              <w:suppressLineNumbers w:val="0"/>
              <w:spacing w:before="0" w:beforeAutospacing="0" w:after="0" w:afterAutospacing="0" w:line="300" w:lineRule="exact"/>
              <w:ind w:left="0" w:right="0"/>
              <w:rPr>
                <w:rFonts w:hint="default" w:ascii="宋体" w:hAnsi="宋体"/>
                <w:color w:val="auto"/>
                <w:szCs w:val="21"/>
                <w:highlight w:val="none"/>
              </w:rPr>
            </w:pPr>
            <w:r>
              <w:rPr>
                <w:rFonts w:hint="eastAsia" w:ascii="宋体" w:hAnsi="宋体"/>
                <w:color w:val="auto"/>
                <w:szCs w:val="21"/>
                <w:highlight w:val="none"/>
              </w:rPr>
              <w:t>正偏离（负偏离或无偏离）</w:t>
            </w:r>
          </w:p>
          <w:p w14:paraId="29FFAD91">
            <w:pPr>
              <w:keepNext w:val="0"/>
              <w:keepLines w:val="0"/>
              <w:suppressLineNumbers w:val="0"/>
              <w:spacing w:before="0" w:beforeAutospacing="0" w:after="0" w:afterAutospacing="0" w:line="300" w:lineRule="exact"/>
              <w:ind w:left="0" w:right="0"/>
              <w:rPr>
                <w:rFonts w:hint="default" w:ascii="宋体" w:hAnsi="宋体"/>
                <w:color w:val="auto"/>
                <w:szCs w:val="21"/>
                <w:highlight w:val="none"/>
              </w:rPr>
            </w:pPr>
          </w:p>
        </w:tc>
      </w:tr>
      <w:tr w14:paraId="458953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60" w:hRule="atLeast"/>
        </w:trPr>
        <w:tc>
          <w:tcPr>
            <w:tcW w:w="691" w:type="dxa"/>
            <w:vMerge w:val="restart"/>
            <w:tcBorders>
              <w:top w:val="single" w:color="auto" w:sz="4" w:space="0"/>
              <w:left w:val="single" w:color="auto" w:sz="4" w:space="0"/>
              <w:bottom w:val="single" w:color="auto" w:sz="4" w:space="0"/>
              <w:right w:val="single" w:color="auto" w:sz="4" w:space="0"/>
            </w:tcBorders>
            <w:noWrap/>
          </w:tcPr>
          <w:p w14:paraId="3B558874">
            <w:pPr>
              <w:keepNext w:val="0"/>
              <w:keepLines w:val="0"/>
              <w:suppressLineNumbers w:val="0"/>
              <w:spacing w:before="0" w:beforeAutospacing="0" w:after="0" w:afterAutospacing="0" w:line="340" w:lineRule="exact"/>
              <w:ind w:left="0" w:right="0"/>
              <w:rPr>
                <w:rFonts w:hint="default" w:ascii="宋体" w:hAnsi="宋体"/>
                <w:color w:val="auto"/>
                <w:szCs w:val="21"/>
                <w:highlight w:val="none"/>
              </w:rPr>
            </w:pPr>
            <w:r>
              <w:rPr>
                <w:rFonts w:hint="eastAsia" w:ascii="宋体" w:hAnsi="宋体"/>
                <w:color w:val="auto"/>
                <w:szCs w:val="21"/>
                <w:highlight w:val="none"/>
              </w:rPr>
              <w:t>二</w:t>
            </w:r>
          </w:p>
        </w:tc>
        <w:tc>
          <w:tcPr>
            <w:tcW w:w="3757" w:type="dxa"/>
            <w:tcBorders>
              <w:top w:val="single" w:color="auto" w:sz="4" w:space="0"/>
              <w:left w:val="single" w:color="auto" w:sz="4" w:space="0"/>
              <w:bottom w:val="single" w:color="auto" w:sz="4" w:space="0"/>
              <w:right w:val="single" w:color="auto" w:sz="4" w:space="0"/>
            </w:tcBorders>
            <w:noWrap/>
          </w:tcPr>
          <w:p w14:paraId="1E5CEA6C">
            <w:pPr>
              <w:keepNext w:val="0"/>
              <w:keepLines w:val="0"/>
              <w:suppressLineNumbers w:val="0"/>
              <w:spacing w:before="0" w:beforeAutospacing="0" w:after="0" w:afterAutospacing="0"/>
              <w:ind w:left="0" w:right="0"/>
              <w:rPr>
                <w:rFonts w:hint="default" w:ascii="宋体" w:hAnsi="宋体"/>
                <w:color w:val="auto"/>
                <w:szCs w:val="21"/>
                <w:highlight w:val="none"/>
              </w:rPr>
            </w:pPr>
            <w:r>
              <w:rPr>
                <w:rFonts w:hint="eastAsia" w:ascii="宋体" w:hAnsi="宋体"/>
                <w:color w:val="auto"/>
                <w:szCs w:val="21"/>
                <w:highlight w:val="none"/>
              </w:rPr>
              <w:t>1  ……</w:t>
            </w:r>
          </w:p>
        </w:tc>
        <w:tc>
          <w:tcPr>
            <w:tcW w:w="2516" w:type="dxa"/>
            <w:tcBorders>
              <w:top w:val="single" w:color="auto" w:sz="4" w:space="0"/>
              <w:left w:val="single" w:color="auto" w:sz="4" w:space="0"/>
              <w:bottom w:val="single" w:color="auto" w:sz="4" w:space="0"/>
              <w:right w:val="single" w:color="auto" w:sz="4" w:space="0"/>
            </w:tcBorders>
          </w:tcPr>
          <w:p w14:paraId="3A1D0E14">
            <w:pPr>
              <w:keepNext w:val="0"/>
              <w:keepLines w:val="0"/>
              <w:suppressLineNumbers w:val="0"/>
              <w:spacing w:before="0" w:beforeAutospacing="0" w:after="0" w:afterAutospacing="0"/>
              <w:ind w:left="0" w:right="0"/>
              <w:rPr>
                <w:rFonts w:hint="default" w:ascii="宋体" w:hAnsi="宋体"/>
                <w:color w:val="auto"/>
                <w:szCs w:val="21"/>
                <w:highlight w:val="none"/>
              </w:rPr>
            </w:pPr>
            <w:r>
              <w:rPr>
                <w:rFonts w:hint="eastAsia" w:ascii="宋体" w:hAnsi="宋体"/>
                <w:color w:val="auto"/>
                <w:szCs w:val="21"/>
                <w:highlight w:val="none"/>
              </w:rPr>
              <w:t>1  ……</w:t>
            </w:r>
          </w:p>
        </w:tc>
        <w:tc>
          <w:tcPr>
            <w:tcW w:w="2516" w:type="dxa"/>
            <w:tcBorders>
              <w:top w:val="single" w:color="auto" w:sz="4" w:space="0"/>
              <w:left w:val="single" w:color="auto" w:sz="4" w:space="0"/>
              <w:bottom w:val="single" w:color="auto" w:sz="4" w:space="0"/>
              <w:right w:val="single" w:color="auto" w:sz="4" w:space="0"/>
            </w:tcBorders>
          </w:tcPr>
          <w:p w14:paraId="2D024EE4">
            <w:pPr>
              <w:keepNext w:val="0"/>
              <w:keepLines w:val="0"/>
              <w:suppressLineNumbers w:val="0"/>
              <w:spacing w:before="0" w:beforeAutospacing="0" w:after="0" w:afterAutospacing="0" w:line="300" w:lineRule="exact"/>
              <w:ind w:left="0" w:right="0"/>
              <w:rPr>
                <w:rFonts w:hint="default" w:ascii="宋体" w:hAnsi="宋体"/>
                <w:color w:val="auto"/>
                <w:szCs w:val="21"/>
                <w:highlight w:val="none"/>
              </w:rPr>
            </w:pPr>
            <w:r>
              <w:rPr>
                <w:rFonts w:hint="eastAsia" w:ascii="宋体" w:hAnsi="宋体"/>
                <w:color w:val="auto"/>
                <w:szCs w:val="21"/>
                <w:highlight w:val="none"/>
              </w:rPr>
              <w:t>正偏离（负偏离或无偏离）</w:t>
            </w:r>
          </w:p>
          <w:p w14:paraId="42A253F1">
            <w:pPr>
              <w:keepNext w:val="0"/>
              <w:keepLines w:val="0"/>
              <w:suppressLineNumbers w:val="0"/>
              <w:spacing w:before="0" w:beforeAutospacing="0" w:after="0" w:afterAutospacing="0" w:line="300" w:lineRule="exact"/>
              <w:ind w:left="0" w:right="0"/>
              <w:rPr>
                <w:rFonts w:hint="default" w:ascii="宋体" w:hAnsi="宋体"/>
                <w:color w:val="auto"/>
                <w:szCs w:val="21"/>
                <w:highlight w:val="none"/>
              </w:rPr>
            </w:pPr>
          </w:p>
        </w:tc>
      </w:tr>
      <w:tr w14:paraId="30B8A1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57" w:hRule="atLeast"/>
        </w:trPr>
        <w:tc>
          <w:tcPr>
            <w:tcW w:w="9480" w:type="dxa"/>
            <w:vMerge w:val="continue"/>
            <w:tcBorders>
              <w:top w:val="single" w:color="auto" w:sz="4" w:space="0"/>
              <w:left w:val="single" w:color="auto" w:sz="4" w:space="0"/>
              <w:bottom w:val="single" w:color="auto" w:sz="4" w:space="0"/>
              <w:right w:val="single" w:color="auto" w:sz="4" w:space="0"/>
            </w:tcBorders>
            <w:vAlign w:val="center"/>
          </w:tcPr>
          <w:p w14:paraId="3D8EAE6C">
            <w:pPr>
              <w:keepNext w:val="0"/>
              <w:keepLines w:val="0"/>
              <w:widowControl/>
              <w:suppressLineNumbers w:val="0"/>
              <w:spacing w:before="0" w:beforeAutospacing="0" w:after="0" w:afterAutospacing="0"/>
              <w:ind w:left="0" w:right="0"/>
              <w:jc w:val="left"/>
              <w:rPr>
                <w:rFonts w:hint="default" w:ascii="宋体" w:hAnsi="宋体"/>
                <w:color w:val="auto"/>
                <w:szCs w:val="21"/>
                <w:highlight w:val="none"/>
              </w:rPr>
            </w:pPr>
          </w:p>
        </w:tc>
        <w:tc>
          <w:tcPr>
            <w:tcW w:w="3757" w:type="dxa"/>
            <w:tcBorders>
              <w:top w:val="single" w:color="auto" w:sz="4" w:space="0"/>
              <w:left w:val="single" w:color="auto" w:sz="4" w:space="0"/>
              <w:bottom w:val="single" w:color="auto" w:sz="4" w:space="0"/>
              <w:right w:val="single" w:color="auto" w:sz="4" w:space="0"/>
            </w:tcBorders>
            <w:noWrap/>
          </w:tcPr>
          <w:p w14:paraId="1F4AFF31">
            <w:pPr>
              <w:keepNext w:val="0"/>
              <w:keepLines w:val="0"/>
              <w:suppressLineNumbers w:val="0"/>
              <w:spacing w:before="0" w:beforeAutospacing="0" w:after="0" w:afterAutospacing="0" w:line="340" w:lineRule="exact"/>
              <w:ind w:left="0" w:right="0"/>
              <w:rPr>
                <w:rFonts w:hint="default" w:ascii="宋体" w:hAnsi="宋体"/>
                <w:color w:val="auto"/>
                <w:szCs w:val="21"/>
                <w:highlight w:val="none"/>
              </w:rPr>
            </w:pPr>
            <w:r>
              <w:rPr>
                <w:rFonts w:hint="eastAsia" w:ascii="宋体" w:hAnsi="宋体"/>
                <w:color w:val="auto"/>
                <w:szCs w:val="21"/>
                <w:highlight w:val="none"/>
              </w:rPr>
              <w:t>2  ……</w:t>
            </w:r>
          </w:p>
          <w:p w14:paraId="1DE3AE3A">
            <w:pPr>
              <w:keepNext w:val="0"/>
              <w:keepLines w:val="0"/>
              <w:suppressLineNumbers w:val="0"/>
              <w:spacing w:before="0" w:beforeAutospacing="0" w:after="0" w:afterAutospacing="0" w:line="340" w:lineRule="exact"/>
              <w:ind w:left="0" w:right="0"/>
              <w:rPr>
                <w:rFonts w:hint="default" w:ascii="宋体" w:hAnsi="宋体"/>
                <w:color w:val="auto"/>
                <w:szCs w:val="21"/>
                <w:highlight w:val="none"/>
              </w:rPr>
            </w:pPr>
          </w:p>
        </w:tc>
        <w:tc>
          <w:tcPr>
            <w:tcW w:w="2516" w:type="dxa"/>
            <w:tcBorders>
              <w:top w:val="single" w:color="auto" w:sz="4" w:space="0"/>
              <w:left w:val="single" w:color="auto" w:sz="4" w:space="0"/>
              <w:bottom w:val="single" w:color="auto" w:sz="4" w:space="0"/>
              <w:right w:val="single" w:color="auto" w:sz="4" w:space="0"/>
            </w:tcBorders>
          </w:tcPr>
          <w:p w14:paraId="55C9F2B9">
            <w:pPr>
              <w:keepNext w:val="0"/>
              <w:keepLines w:val="0"/>
              <w:suppressLineNumbers w:val="0"/>
              <w:spacing w:before="0" w:beforeAutospacing="0" w:after="0" w:afterAutospacing="0" w:line="340" w:lineRule="exact"/>
              <w:ind w:left="0" w:right="0"/>
              <w:rPr>
                <w:rFonts w:hint="default" w:ascii="宋体" w:hAnsi="宋体"/>
                <w:color w:val="auto"/>
                <w:szCs w:val="21"/>
                <w:highlight w:val="none"/>
              </w:rPr>
            </w:pPr>
            <w:r>
              <w:rPr>
                <w:rFonts w:hint="eastAsia" w:ascii="宋体" w:hAnsi="宋体"/>
                <w:color w:val="auto"/>
                <w:szCs w:val="21"/>
                <w:highlight w:val="none"/>
              </w:rPr>
              <w:t>2  ……</w:t>
            </w:r>
          </w:p>
          <w:p w14:paraId="4ED75274">
            <w:pPr>
              <w:keepNext w:val="0"/>
              <w:keepLines w:val="0"/>
              <w:suppressLineNumbers w:val="0"/>
              <w:spacing w:before="0" w:beforeAutospacing="0" w:after="0" w:afterAutospacing="0" w:line="300" w:lineRule="exact"/>
              <w:ind w:left="0" w:right="0"/>
              <w:rPr>
                <w:rFonts w:hint="default" w:ascii="宋体" w:hAnsi="宋体"/>
                <w:color w:val="auto"/>
                <w:szCs w:val="21"/>
                <w:highlight w:val="none"/>
              </w:rPr>
            </w:pPr>
          </w:p>
        </w:tc>
        <w:tc>
          <w:tcPr>
            <w:tcW w:w="2516" w:type="dxa"/>
            <w:tcBorders>
              <w:top w:val="single" w:color="auto" w:sz="4" w:space="0"/>
              <w:left w:val="single" w:color="auto" w:sz="4" w:space="0"/>
              <w:bottom w:val="single" w:color="auto" w:sz="4" w:space="0"/>
              <w:right w:val="single" w:color="auto" w:sz="4" w:space="0"/>
            </w:tcBorders>
          </w:tcPr>
          <w:p w14:paraId="7F7F165D">
            <w:pPr>
              <w:keepNext w:val="0"/>
              <w:keepLines w:val="0"/>
              <w:suppressLineNumbers w:val="0"/>
              <w:spacing w:before="0" w:beforeAutospacing="0" w:after="0" w:afterAutospacing="0" w:line="300" w:lineRule="exact"/>
              <w:ind w:left="0" w:right="0"/>
              <w:rPr>
                <w:rFonts w:hint="default" w:ascii="宋体" w:hAnsi="宋体"/>
                <w:color w:val="auto"/>
                <w:szCs w:val="21"/>
                <w:highlight w:val="none"/>
              </w:rPr>
            </w:pPr>
            <w:r>
              <w:rPr>
                <w:rFonts w:hint="eastAsia" w:ascii="宋体" w:hAnsi="宋体"/>
                <w:color w:val="auto"/>
                <w:szCs w:val="21"/>
                <w:highlight w:val="none"/>
              </w:rPr>
              <w:t>正偏离（负偏离或无偏离）</w:t>
            </w:r>
          </w:p>
          <w:p w14:paraId="48F89F94">
            <w:pPr>
              <w:keepNext w:val="0"/>
              <w:keepLines w:val="0"/>
              <w:suppressLineNumbers w:val="0"/>
              <w:spacing w:before="0" w:beforeAutospacing="0" w:after="0" w:afterAutospacing="0" w:line="300" w:lineRule="exact"/>
              <w:ind w:left="0" w:right="0"/>
              <w:rPr>
                <w:rFonts w:hint="default" w:ascii="宋体" w:hAnsi="宋体"/>
                <w:color w:val="auto"/>
                <w:szCs w:val="21"/>
                <w:highlight w:val="none"/>
              </w:rPr>
            </w:pPr>
          </w:p>
        </w:tc>
      </w:tr>
      <w:tr w14:paraId="50241D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57" w:hRule="atLeast"/>
        </w:trPr>
        <w:tc>
          <w:tcPr>
            <w:tcW w:w="9480" w:type="dxa"/>
            <w:vMerge w:val="continue"/>
            <w:tcBorders>
              <w:top w:val="single" w:color="auto" w:sz="4" w:space="0"/>
              <w:left w:val="single" w:color="auto" w:sz="4" w:space="0"/>
              <w:bottom w:val="single" w:color="auto" w:sz="4" w:space="0"/>
              <w:right w:val="single" w:color="auto" w:sz="4" w:space="0"/>
            </w:tcBorders>
            <w:vAlign w:val="center"/>
          </w:tcPr>
          <w:p w14:paraId="228DC169">
            <w:pPr>
              <w:keepNext w:val="0"/>
              <w:keepLines w:val="0"/>
              <w:widowControl/>
              <w:suppressLineNumbers w:val="0"/>
              <w:spacing w:before="0" w:beforeAutospacing="0" w:after="0" w:afterAutospacing="0"/>
              <w:ind w:left="0" w:right="0"/>
              <w:jc w:val="left"/>
              <w:rPr>
                <w:rFonts w:hint="default" w:ascii="宋体" w:hAnsi="宋体"/>
                <w:color w:val="auto"/>
                <w:szCs w:val="21"/>
                <w:highlight w:val="none"/>
              </w:rPr>
            </w:pPr>
          </w:p>
        </w:tc>
        <w:tc>
          <w:tcPr>
            <w:tcW w:w="3757" w:type="dxa"/>
            <w:tcBorders>
              <w:top w:val="single" w:color="auto" w:sz="4" w:space="0"/>
              <w:left w:val="single" w:color="auto" w:sz="4" w:space="0"/>
              <w:bottom w:val="single" w:color="auto" w:sz="4" w:space="0"/>
              <w:right w:val="single" w:color="auto" w:sz="4" w:space="0"/>
            </w:tcBorders>
            <w:noWrap/>
          </w:tcPr>
          <w:p w14:paraId="490C247B">
            <w:pPr>
              <w:keepNext w:val="0"/>
              <w:keepLines w:val="0"/>
              <w:suppressLineNumbers w:val="0"/>
              <w:spacing w:before="0" w:beforeAutospacing="0" w:after="0" w:afterAutospacing="0" w:line="340" w:lineRule="exact"/>
              <w:ind w:left="0" w:right="0"/>
              <w:rPr>
                <w:rFonts w:hint="default" w:ascii="宋体" w:hAnsi="宋体"/>
                <w:color w:val="auto"/>
                <w:szCs w:val="21"/>
                <w:highlight w:val="none"/>
              </w:rPr>
            </w:pPr>
            <w:r>
              <w:rPr>
                <w:rFonts w:hint="eastAsia" w:ascii="宋体" w:hAnsi="宋体"/>
                <w:color w:val="auto"/>
                <w:szCs w:val="21"/>
                <w:highlight w:val="none"/>
              </w:rPr>
              <w:t>3  ……</w:t>
            </w:r>
          </w:p>
          <w:p w14:paraId="0BFE110C">
            <w:pPr>
              <w:keepNext w:val="0"/>
              <w:keepLines w:val="0"/>
              <w:suppressLineNumbers w:val="0"/>
              <w:spacing w:before="0" w:beforeAutospacing="0" w:after="0" w:afterAutospacing="0" w:line="340" w:lineRule="exact"/>
              <w:ind w:left="0" w:right="0"/>
              <w:rPr>
                <w:rFonts w:hint="default" w:ascii="宋体" w:hAnsi="宋体"/>
                <w:color w:val="auto"/>
                <w:szCs w:val="21"/>
                <w:highlight w:val="none"/>
              </w:rPr>
            </w:pPr>
          </w:p>
        </w:tc>
        <w:tc>
          <w:tcPr>
            <w:tcW w:w="2516" w:type="dxa"/>
            <w:tcBorders>
              <w:top w:val="single" w:color="auto" w:sz="4" w:space="0"/>
              <w:left w:val="single" w:color="auto" w:sz="4" w:space="0"/>
              <w:bottom w:val="single" w:color="auto" w:sz="4" w:space="0"/>
              <w:right w:val="single" w:color="auto" w:sz="4" w:space="0"/>
            </w:tcBorders>
          </w:tcPr>
          <w:p w14:paraId="2BF85E3B">
            <w:pPr>
              <w:keepNext w:val="0"/>
              <w:keepLines w:val="0"/>
              <w:suppressLineNumbers w:val="0"/>
              <w:spacing w:before="0" w:beforeAutospacing="0" w:after="0" w:afterAutospacing="0" w:line="340" w:lineRule="exact"/>
              <w:ind w:left="0" w:right="0"/>
              <w:rPr>
                <w:rFonts w:hint="default" w:ascii="宋体" w:hAnsi="宋体"/>
                <w:color w:val="auto"/>
                <w:szCs w:val="21"/>
                <w:highlight w:val="none"/>
              </w:rPr>
            </w:pPr>
            <w:r>
              <w:rPr>
                <w:rFonts w:hint="eastAsia" w:ascii="宋体" w:hAnsi="宋体"/>
                <w:color w:val="auto"/>
                <w:szCs w:val="21"/>
                <w:highlight w:val="none"/>
              </w:rPr>
              <w:t>3  ……</w:t>
            </w:r>
          </w:p>
          <w:p w14:paraId="736E9CA0">
            <w:pPr>
              <w:keepNext w:val="0"/>
              <w:keepLines w:val="0"/>
              <w:suppressLineNumbers w:val="0"/>
              <w:spacing w:before="0" w:beforeAutospacing="0" w:after="0" w:afterAutospacing="0" w:line="300" w:lineRule="exact"/>
              <w:ind w:left="0" w:right="0"/>
              <w:rPr>
                <w:rFonts w:hint="default" w:ascii="宋体" w:hAnsi="宋体"/>
                <w:color w:val="auto"/>
                <w:szCs w:val="21"/>
                <w:highlight w:val="none"/>
              </w:rPr>
            </w:pPr>
          </w:p>
        </w:tc>
        <w:tc>
          <w:tcPr>
            <w:tcW w:w="2516" w:type="dxa"/>
            <w:tcBorders>
              <w:top w:val="single" w:color="auto" w:sz="4" w:space="0"/>
              <w:left w:val="single" w:color="auto" w:sz="4" w:space="0"/>
              <w:bottom w:val="single" w:color="auto" w:sz="4" w:space="0"/>
              <w:right w:val="single" w:color="auto" w:sz="4" w:space="0"/>
            </w:tcBorders>
          </w:tcPr>
          <w:p w14:paraId="08884B3D">
            <w:pPr>
              <w:keepNext w:val="0"/>
              <w:keepLines w:val="0"/>
              <w:suppressLineNumbers w:val="0"/>
              <w:spacing w:before="0" w:beforeAutospacing="0" w:after="0" w:afterAutospacing="0" w:line="300" w:lineRule="exact"/>
              <w:ind w:left="0" w:right="0"/>
              <w:rPr>
                <w:rFonts w:hint="default" w:ascii="宋体" w:hAnsi="宋体"/>
                <w:color w:val="auto"/>
                <w:szCs w:val="21"/>
                <w:highlight w:val="none"/>
              </w:rPr>
            </w:pPr>
            <w:r>
              <w:rPr>
                <w:rFonts w:hint="eastAsia" w:ascii="宋体" w:hAnsi="宋体"/>
                <w:color w:val="auto"/>
                <w:szCs w:val="21"/>
                <w:highlight w:val="none"/>
              </w:rPr>
              <w:t>正偏离（负偏离或无偏离）</w:t>
            </w:r>
          </w:p>
          <w:p w14:paraId="42E49CED">
            <w:pPr>
              <w:keepNext w:val="0"/>
              <w:keepLines w:val="0"/>
              <w:suppressLineNumbers w:val="0"/>
              <w:spacing w:before="0" w:beforeAutospacing="0" w:after="0" w:afterAutospacing="0" w:line="300" w:lineRule="exact"/>
              <w:ind w:left="0" w:right="0"/>
              <w:rPr>
                <w:rFonts w:hint="default" w:ascii="宋体" w:hAnsi="宋体"/>
                <w:color w:val="auto"/>
                <w:szCs w:val="21"/>
                <w:highlight w:val="none"/>
              </w:rPr>
            </w:pPr>
          </w:p>
        </w:tc>
      </w:tr>
      <w:tr w14:paraId="463D2C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57" w:hRule="atLeast"/>
        </w:trPr>
        <w:tc>
          <w:tcPr>
            <w:tcW w:w="9480" w:type="dxa"/>
            <w:vMerge w:val="continue"/>
            <w:tcBorders>
              <w:top w:val="single" w:color="auto" w:sz="4" w:space="0"/>
              <w:left w:val="single" w:color="auto" w:sz="4" w:space="0"/>
              <w:bottom w:val="single" w:color="auto" w:sz="4" w:space="0"/>
              <w:right w:val="single" w:color="auto" w:sz="4" w:space="0"/>
            </w:tcBorders>
            <w:vAlign w:val="center"/>
          </w:tcPr>
          <w:p w14:paraId="399A3254">
            <w:pPr>
              <w:keepNext w:val="0"/>
              <w:keepLines w:val="0"/>
              <w:widowControl/>
              <w:suppressLineNumbers w:val="0"/>
              <w:spacing w:before="0" w:beforeAutospacing="0" w:after="0" w:afterAutospacing="0"/>
              <w:ind w:left="0" w:right="0"/>
              <w:jc w:val="left"/>
              <w:rPr>
                <w:rFonts w:hint="default" w:ascii="宋体" w:hAnsi="宋体"/>
                <w:color w:val="auto"/>
                <w:szCs w:val="21"/>
                <w:highlight w:val="none"/>
              </w:rPr>
            </w:pPr>
          </w:p>
        </w:tc>
        <w:tc>
          <w:tcPr>
            <w:tcW w:w="3757" w:type="dxa"/>
            <w:tcBorders>
              <w:top w:val="single" w:color="auto" w:sz="4" w:space="0"/>
              <w:left w:val="single" w:color="auto" w:sz="4" w:space="0"/>
              <w:bottom w:val="single" w:color="auto" w:sz="4" w:space="0"/>
              <w:right w:val="single" w:color="auto" w:sz="4" w:space="0"/>
            </w:tcBorders>
            <w:noWrap/>
          </w:tcPr>
          <w:p w14:paraId="23AD53AF">
            <w:pPr>
              <w:keepNext w:val="0"/>
              <w:keepLines w:val="0"/>
              <w:suppressLineNumbers w:val="0"/>
              <w:spacing w:before="0" w:beforeAutospacing="0" w:after="0" w:afterAutospacing="0" w:line="340" w:lineRule="exact"/>
              <w:ind w:left="0" w:right="0"/>
              <w:rPr>
                <w:rFonts w:hint="default" w:ascii="宋体" w:hAnsi="宋体"/>
                <w:color w:val="auto"/>
                <w:szCs w:val="21"/>
                <w:highlight w:val="none"/>
              </w:rPr>
            </w:pPr>
            <w:r>
              <w:rPr>
                <w:rFonts w:hint="eastAsia" w:ascii="宋体" w:hAnsi="宋体"/>
                <w:color w:val="auto"/>
                <w:szCs w:val="21"/>
                <w:highlight w:val="none"/>
              </w:rPr>
              <w:t>……</w:t>
            </w:r>
          </w:p>
        </w:tc>
        <w:tc>
          <w:tcPr>
            <w:tcW w:w="2516" w:type="dxa"/>
            <w:tcBorders>
              <w:top w:val="single" w:color="auto" w:sz="4" w:space="0"/>
              <w:left w:val="single" w:color="auto" w:sz="4" w:space="0"/>
              <w:bottom w:val="single" w:color="auto" w:sz="4" w:space="0"/>
              <w:right w:val="single" w:color="auto" w:sz="4" w:space="0"/>
            </w:tcBorders>
          </w:tcPr>
          <w:p w14:paraId="58CF1E74">
            <w:pPr>
              <w:keepNext w:val="0"/>
              <w:keepLines w:val="0"/>
              <w:suppressLineNumbers w:val="0"/>
              <w:spacing w:before="0" w:beforeAutospacing="0" w:after="0" w:afterAutospacing="0" w:line="300" w:lineRule="exact"/>
              <w:ind w:left="0" w:right="0"/>
              <w:rPr>
                <w:rFonts w:hint="default" w:ascii="宋体" w:hAnsi="宋体"/>
                <w:color w:val="auto"/>
                <w:szCs w:val="21"/>
                <w:highlight w:val="none"/>
              </w:rPr>
            </w:pPr>
            <w:r>
              <w:rPr>
                <w:rFonts w:hint="eastAsia" w:ascii="宋体" w:hAnsi="宋体"/>
                <w:color w:val="auto"/>
                <w:szCs w:val="21"/>
                <w:highlight w:val="none"/>
              </w:rPr>
              <w:t>……</w:t>
            </w:r>
          </w:p>
        </w:tc>
        <w:tc>
          <w:tcPr>
            <w:tcW w:w="2516" w:type="dxa"/>
            <w:tcBorders>
              <w:top w:val="single" w:color="auto" w:sz="4" w:space="0"/>
              <w:left w:val="single" w:color="auto" w:sz="4" w:space="0"/>
              <w:bottom w:val="single" w:color="auto" w:sz="4" w:space="0"/>
              <w:right w:val="single" w:color="auto" w:sz="4" w:space="0"/>
            </w:tcBorders>
          </w:tcPr>
          <w:p w14:paraId="6C7796EC">
            <w:pPr>
              <w:keepNext w:val="0"/>
              <w:keepLines w:val="0"/>
              <w:suppressLineNumbers w:val="0"/>
              <w:spacing w:before="0" w:beforeAutospacing="0" w:after="0" w:afterAutospacing="0" w:line="300" w:lineRule="exact"/>
              <w:ind w:left="0" w:right="0"/>
              <w:rPr>
                <w:rFonts w:hint="default" w:ascii="宋体" w:hAnsi="宋体"/>
                <w:color w:val="auto"/>
                <w:szCs w:val="21"/>
                <w:highlight w:val="none"/>
              </w:rPr>
            </w:pPr>
            <w:r>
              <w:rPr>
                <w:rFonts w:hint="eastAsia" w:ascii="宋体" w:hAnsi="宋体"/>
                <w:color w:val="auto"/>
                <w:szCs w:val="21"/>
                <w:highlight w:val="none"/>
              </w:rPr>
              <w:t>正偏离（负偏离或无偏离）</w:t>
            </w:r>
          </w:p>
          <w:p w14:paraId="2A31C459">
            <w:pPr>
              <w:keepNext w:val="0"/>
              <w:keepLines w:val="0"/>
              <w:suppressLineNumbers w:val="0"/>
              <w:spacing w:before="0" w:beforeAutospacing="0" w:after="0" w:afterAutospacing="0" w:line="300" w:lineRule="exact"/>
              <w:ind w:left="0" w:right="0"/>
              <w:rPr>
                <w:rFonts w:hint="default" w:ascii="宋体" w:hAnsi="宋体"/>
                <w:color w:val="auto"/>
                <w:szCs w:val="21"/>
                <w:highlight w:val="none"/>
              </w:rPr>
            </w:pPr>
          </w:p>
        </w:tc>
      </w:tr>
      <w:tr w14:paraId="3E76E2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60" w:hRule="atLeast"/>
        </w:trPr>
        <w:tc>
          <w:tcPr>
            <w:tcW w:w="691" w:type="dxa"/>
            <w:vMerge w:val="restart"/>
            <w:tcBorders>
              <w:top w:val="single" w:color="auto" w:sz="4" w:space="0"/>
              <w:left w:val="single" w:color="auto" w:sz="4" w:space="0"/>
              <w:bottom w:val="single" w:color="auto" w:sz="4" w:space="0"/>
              <w:right w:val="single" w:color="auto" w:sz="4" w:space="0"/>
            </w:tcBorders>
            <w:noWrap/>
          </w:tcPr>
          <w:p w14:paraId="084163DC">
            <w:pPr>
              <w:keepNext w:val="0"/>
              <w:keepLines w:val="0"/>
              <w:suppressLineNumbers w:val="0"/>
              <w:spacing w:before="0" w:beforeAutospacing="0" w:after="0" w:afterAutospacing="0" w:line="340" w:lineRule="exact"/>
              <w:ind w:left="0" w:right="0"/>
              <w:rPr>
                <w:rFonts w:hint="default" w:ascii="宋体" w:hAnsi="宋体"/>
                <w:color w:val="auto"/>
                <w:szCs w:val="21"/>
                <w:highlight w:val="none"/>
              </w:rPr>
            </w:pPr>
            <w:r>
              <w:rPr>
                <w:rFonts w:hint="eastAsia" w:ascii="宋体" w:hAnsi="宋体"/>
                <w:color w:val="auto"/>
                <w:szCs w:val="21"/>
                <w:highlight w:val="none"/>
              </w:rPr>
              <w:t>……</w:t>
            </w:r>
          </w:p>
        </w:tc>
        <w:tc>
          <w:tcPr>
            <w:tcW w:w="3757" w:type="dxa"/>
            <w:tcBorders>
              <w:top w:val="single" w:color="auto" w:sz="4" w:space="0"/>
              <w:left w:val="single" w:color="auto" w:sz="4" w:space="0"/>
              <w:bottom w:val="single" w:color="auto" w:sz="4" w:space="0"/>
              <w:right w:val="single" w:color="auto" w:sz="4" w:space="0"/>
            </w:tcBorders>
            <w:noWrap/>
          </w:tcPr>
          <w:p w14:paraId="6886A564">
            <w:pPr>
              <w:keepNext w:val="0"/>
              <w:keepLines w:val="0"/>
              <w:suppressLineNumbers w:val="0"/>
              <w:spacing w:before="0" w:beforeAutospacing="0" w:after="0" w:afterAutospacing="0"/>
              <w:ind w:left="0" w:right="0"/>
              <w:rPr>
                <w:rFonts w:hint="default" w:ascii="宋体" w:hAnsi="宋体"/>
                <w:color w:val="auto"/>
                <w:szCs w:val="21"/>
                <w:highlight w:val="none"/>
              </w:rPr>
            </w:pPr>
            <w:r>
              <w:rPr>
                <w:rFonts w:hint="eastAsia" w:ascii="宋体" w:hAnsi="宋体"/>
                <w:color w:val="auto"/>
                <w:szCs w:val="21"/>
                <w:highlight w:val="none"/>
              </w:rPr>
              <w:t>1  ……</w:t>
            </w:r>
          </w:p>
        </w:tc>
        <w:tc>
          <w:tcPr>
            <w:tcW w:w="2516" w:type="dxa"/>
            <w:tcBorders>
              <w:top w:val="single" w:color="auto" w:sz="4" w:space="0"/>
              <w:left w:val="single" w:color="auto" w:sz="4" w:space="0"/>
              <w:bottom w:val="single" w:color="auto" w:sz="4" w:space="0"/>
              <w:right w:val="single" w:color="auto" w:sz="4" w:space="0"/>
            </w:tcBorders>
          </w:tcPr>
          <w:p w14:paraId="3CA8C5C8">
            <w:pPr>
              <w:keepNext w:val="0"/>
              <w:keepLines w:val="0"/>
              <w:suppressLineNumbers w:val="0"/>
              <w:spacing w:before="0" w:beforeAutospacing="0" w:after="0" w:afterAutospacing="0"/>
              <w:ind w:left="0" w:right="0"/>
              <w:rPr>
                <w:rFonts w:hint="default" w:ascii="宋体" w:hAnsi="宋体"/>
                <w:color w:val="auto"/>
                <w:szCs w:val="21"/>
                <w:highlight w:val="none"/>
              </w:rPr>
            </w:pPr>
            <w:r>
              <w:rPr>
                <w:rFonts w:hint="eastAsia" w:ascii="宋体" w:hAnsi="宋体"/>
                <w:color w:val="auto"/>
                <w:szCs w:val="21"/>
                <w:highlight w:val="none"/>
              </w:rPr>
              <w:t>1  ……</w:t>
            </w:r>
          </w:p>
        </w:tc>
        <w:tc>
          <w:tcPr>
            <w:tcW w:w="2516" w:type="dxa"/>
            <w:tcBorders>
              <w:top w:val="single" w:color="auto" w:sz="4" w:space="0"/>
              <w:left w:val="single" w:color="auto" w:sz="4" w:space="0"/>
              <w:bottom w:val="single" w:color="auto" w:sz="4" w:space="0"/>
              <w:right w:val="single" w:color="auto" w:sz="4" w:space="0"/>
            </w:tcBorders>
          </w:tcPr>
          <w:p w14:paraId="3F3C1B3C">
            <w:pPr>
              <w:keepNext w:val="0"/>
              <w:keepLines w:val="0"/>
              <w:suppressLineNumbers w:val="0"/>
              <w:spacing w:before="0" w:beforeAutospacing="0" w:after="0" w:afterAutospacing="0" w:line="300" w:lineRule="exact"/>
              <w:ind w:left="0" w:right="0"/>
              <w:rPr>
                <w:rFonts w:hint="default" w:ascii="宋体" w:hAnsi="宋体"/>
                <w:color w:val="auto"/>
                <w:szCs w:val="21"/>
                <w:highlight w:val="none"/>
              </w:rPr>
            </w:pPr>
            <w:r>
              <w:rPr>
                <w:rFonts w:hint="eastAsia" w:ascii="宋体" w:hAnsi="宋体"/>
                <w:color w:val="auto"/>
                <w:szCs w:val="21"/>
                <w:highlight w:val="none"/>
              </w:rPr>
              <w:t>正偏离（负偏离或无偏离）</w:t>
            </w:r>
          </w:p>
          <w:p w14:paraId="571AEBED">
            <w:pPr>
              <w:keepNext w:val="0"/>
              <w:keepLines w:val="0"/>
              <w:suppressLineNumbers w:val="0"/>
              <w:spacing w:before="0" w:beforeAutospacing="0" w:after="0" w:afterAutospacing="0" w:line="300" w:lineRule="exact"/>
              <w:ind w:left="0" w:right="0"/>
              <w:rPr>
                <w:rFonts w:hint="default" w:ascii="宋体" w:hAnsi="宋体"/>
                <w:color w:val="auto"/>
                <w:szCs w:val="21"/>
                <w:highlight w:val="none"/>
              </w:rPr>
            </w:pPr>
          </w:p>
        </w:tc>
      </w:tr>
      <w:tr w14:paraId="4862D1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57" w:hRule="atLeast"/>
        </w:trPr>
        <w:tc>
          <w:tcPr>
            <w:tcW w:w="9480" w:type="dxa"/>
            <w:vMerge w:val="continue"/>
            <w:tcBorders>
              <w:top w:val="single" w:color="auto" w:sz="4" w:space="0"/>
              <w:left w:val="single" w:color="auto" w:sz="4" w:space="0"/>
              <w:bottom w:val="single" w:color="auto" w:sz="4" w:space="0"/>
              <w:right w:val="single" w:color="auto" w:sz="4" w:space="0"/>
            </w:tcBorders>
            <w:vAlign w:val="center"/>
          </w:tcPr>
          <w:p w14:paraId="3EA4B45C">
            <w:pPr>
              <w:keepNext w:val="0"/>
              <w:keepLines w:val="0"/>
              <w:widowControl/>
              <w:suppressLineNumbers w:val="0"/>
              <w:spacing w:before="0" w:beforeAutospacing="0" w:after="0" w:afterAutospacing="0"/>
              <w:ind w:left="0" w:right="0"/>
              <w:jc w:val="left"/>
              <w:rPr>
                <w:rFonts w:hint="default" w:ascii="宋体" w:hAnsi="宋体"/>
                <w:color w:val="auto"/>
                <w:szCs w:val="21"/>
                <w:highlight w:val="none"/>
              </w:rPr>
            </w:pPr>
          </w:p>
        </w:tc>
        <w:tc>
          <w:tcPr>
            <w:tcW w:w="3757" w:type="dxa"/>
            <w:tcBorders>
              <w:top w:val="single" w:color="auto" w:sz="4" w:space="0"/>
              <w:left w:val="single" w:color="auto" w:sz="4" w:space="0"/>
              <w:bottom w:val="single" w:color="auto" w:sz="4" w:space="0"/>
              <w:right w:val="single" w:color="auto" w:sz="4" w:space="0"/>
            </w:tcBorders>
            <w:noWrap/>
          </w:tcPr>
          <w:p w14:paraId="7961FF54">
            <w:pPr>
              <w:keepNext w:val="0"/>
              <w:keepLines w:val="0"/>
              <w:suppressLineNumbers w:val="0"/>
              <w:spacing w:before="0" w:beforeAutospacing="0" w:after="0" w:afterAutospacing="0" w:line="340" w:lineRule="exact"/>
              <w:ind w:left="0" w:right="0"/>
              <w:rPr>
                <w:rFonts w:hint="default" w:ascii="宋体" w:hAnsi="宋体"/>
                <w:color w:val="auto"/>
                <w:szCs w:val="21"/>
                <w:highlight w:val="none"/>
              </w:rPr>
            </w:pPr>
            <w:r>
              <w:rPr>
                <w:rFonts w:hint="eastAsia" w:ascii="宋体" w:hAnsi="宋体"/>
                <w:color w:val="auto"/>
                <w:szCs w:val="21"/>
                <w:highlight w:val="none"/>
              </w:rPr>
              <w:t>2  ……</w:t>
            </w:r>
          </w:p>
          <w:p w14:paraId="2FD9CFEB">
            <w:pPr>
              <w:keepNext w:val="0"/>
              <w:keepLines w:val="0"/>
              <w:suppressLineNumbers w:val="0"/>
              <w:spacing w:before="0" w:beforeAutospacing="0" w:after="0" w:afterAutospacing="0" w:line="340" w:lineRule="exact"/>
              <w:ind w:left="0" w:right="0"/>
              <w:rPr>
                <w:rFonts w:hint="default" w:ascii="宋体" w:hAnsi="宋体"/>
                <w:color w:val="auto"/>
                <w:szCs w:val="21"/>
                <w:highlight w:val="none"/>
              </w:rPr>
            </w:pPr>
          </w:p>
        </w:tc>
        <w:tc>
          <w:tcPr>
            <w:tcW w:w="2516" w:type="dxa"/>
            <w:tcBorders>
              <w:top w:val="single" w:color="auto" w:sz="4" w:space="0"/>
              <w:left w:val="single" w:color="auto" w:sz="4" w:space="0"/>
              <w:bottom w:val="single" w:color="auto" w:sz="4" w:space="0"/>
              <w:right w:val="single" w:color="auto" w:sz="4" w:space="0"/>
            </w:tcBorders>
          </w:tcPr>
          <w:p w14:paraId="25230055">
            <w:pPr>
              <w:keepNext w:val="0"/>
              <w:keepLines w:val="0"/>
              <w:suppressLineNumbers w:val="0"/>
              <w:spacing w:before="0" w:beforeAutospacing="0" w:after="0" w:afterAutospacing="0" w:line="340" w:lineRule="exact"/>
              <w:ind w:left="0" w:right="0"/>
              <w:rPr>
                <w:rFonts w:hint="default" w:ascii="宋体" w:hAnsi="宋体"/>
                <w:color w:val="auto"/>
                <w:szCs w:val="21"/>
                <w:highlight w:val="none"/>
              </w:rPr>
            </w:pPr>
            <w:r>
              <w:rPr>
                <w:rFonts w:hint="eastAsia" w:ascii="宋体" w:hAnsi="宋体"/>
                <w:color w:val="auto"/>
                <w:szCs w:val="21"/>
                <w:highlight w:val="none"/>
              </w:rPr>
              <w:t>2  ……</w:t>
            </w:r>
          </w:p>
          <w:p w14:paraId="694CA121">
            <w:pPr>
              <w:keepNext w:val="0"/>
              <w:keepLines w:val="0"/>
              <w:suppressLineNumbers w:val="0"/>
              <w:spacing w:before="0" w:beforeAutospacing="0" w:after="0" w:afterAutospacing="0" w:line="300" w:lineRule="exact"/>
              <w:ind w:left="0" w:right="0"/>
              <w:rPr>
                <w:rFonts w:hint="default" w:ascii="宋体" w:hAnsi="宋体"/>
                <w:color w:val="auto"/>
                <w:szCs w:val="21"/>
                <w:highlight w:val="none"/>
              </w:rPr>
            </w:pPr>
          </w:p>
        </w:tc>
        <w:tc>
          <w:tcPr>
            <w:tcW w:w="2516" w:type="dxa"/>
            <w:tcBorders>
              <w:top w:val="single" w:color="auto" w:sz="4" w:space="0"/>
              <w:left w:val="single" w:color="auto" w:sz="4" w:space="0"/>
              <w:bottom w:val="single" w:color="auto" w:sz="4" w:space="0"/>
              <w:right w:val="single" w:color="auto" w:sz="4" w:space="0"/>
            </w:tcBorders>
          </w:tcPr>
          <w:p w14:paraId="2EA64029">
            <w:pPr>
              <w:keepNext w:val="0"/>
              <w:keepLines w:val="0"/>
              <w:suppressLineNumbers w:val="0"/>
              <w:spacing w:before="0" w:beforeAutospacing="0" w:after="0" w:afterAutospacing="0" w:line="300" w:lineRule="exact"/>
              <w:ind w:left="0" w:right="0"/>
              <w:rPr>
                <w:rFonts w:hint="default" w:ascii="宋体" w:hAnsi="宋体"/>
                <w:color w:val="auto"/>
                <w:szCs w:val="21"/>
                <w:highlight w:val="none"/>
              </w:rPr>
            </w:pPr>
            <w:r>
              <w:rPr>
                <w:rFonts w:hint="eastAsia" w:ascii="宋体" w:hAnsi="宋体"/>
                <w:color w:val="auto"/>
                <w:szCs w:val="21"/>
                <w:highlight w:val="none"/>
              </w:rPr>
              <w:t>正偏离（负偏离或无偏离）</w:t>
            </w:r>
          </w:p>
          <w:p w14:paraId="30A4345C">
            <w:pPr>
              <w:keepNext w:val="0"/>
              <w:keepLines w:val="0"/>
              <w:suppressLineNumbers w:val="0"/>
              <w:spacing w:before="0" w:beforeAutospacing="0" w:after="0" w:afterAutospacing="0" w:line="300" w:lineRule="exact"/>
              <w:ind w:left="0" w:right="0"/>
              <w:rPr>
                <w:rFonts w:hint="default" w:ascii="宋体" w:hAnsi="宋体"/>
                <w:color w:val="auto"/>
                <w:szCs w:val="21"/>
                <w:highlight w:val="none"/>
              </w:rPr>
            </w:pPr>
          </w:p>
        </w:tc>
      </w:tr>
      <w:tr w14:paraId="1FD2A5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57" w:hRule="atLeast"/>
        </w:trPr>
        <w:tc>
          <w:tcPr>
            <w:tcW w:w="9480" w:type="dxa"/>
            <w:vMerge w:val="continue"/>
            <w:tcBorders>
              <w:top w:val="single" w:color="auto" w:sz="4" w:space="0"/>
              <w:left w:val="single" w:color="auto" w:sz="4" w:space="0"/>
              <w:bottom w:val="single" w:color="auto" w:sz="4" w:space="0"/>
              <w:right w:val="single" w:color="auto" w:sz="4" w:space="0"/>
            </w:tcBorders>
            <w:vAlign w:val="center"/>
          </w:tcPr>
          <w:p w14:paraId="2F748BAF">
            <w:pPr>
              <w:keepNext w:val="0"/>
              <w:keepLines w:val="0"/>
              <w:widowControl/>
              <w:suppressLineNumbers w:val="0"/>
              <w:spacing w:before="0" w:beforeAutospacing="0" w:after="0" w:afterAutospacing="0"/>
              <w:ind w:left="0" w:right="0"/>
              <w:jc w:val="left"/>
              <w:rPr>
                <w:rFonts w:hint="default" w:ascii="宋体" w:hAnsi="宋体"/>
                <w:color w:val="auto"/>
                <w:szCs w:val="21"/>
                <w:highlight w:val="none"/>
              </w:rPr>
            </w:pPr>
          </w:p>
        </w:tc>
        <w:tc>
          <w:tcPr>
            <w:tcW w:w="3757" w:type="dxa"/>
            <w:tcBorders>
              <w:top w:val="single" w:color="auto" w:sz="4" w:space="0"/>
              <w:left w:val="single" w:color="auto" w:sz="4" w:space="0"/>
              <w:bottom w:val="single" w:color="auto" w:sz="4" w:space="0"/>
              <w:right w:val="single" w:color="auto" w:sz="4" w:space="0"/>
            </w:tcBorders>
            <w:noWrap/>
          </w:tcPr>
          <w:p w14:paraId="282A09B7">
            <w:pPr>
              <w:keepNext w:val="0"/>
              <w:keepLines w:val="0"/>
              <w:suppressLineNumbers w:val="0"/>
              <w:spacing w:before="0" w:beforeAutospacing="0" w:after="0" w:afterAutospacing="0" w:line="340" w:lineRule="exact"/>
              <w:ind w:left="0" w:right="0"/>
              <w:rPr>
                <w:rFonts w:hint="default" w:ascii="宋体" w:hAnsi="宋体"/>
                <w:color w:val="auto"/>
                <w:szCs w:val="21"/>
                <w:highlight w:val="none"/>
              </w:rPr>
            </w:pPr>
            <w:r>
              <w:rPr>
                <w:rFonts w:hint="eastAsia" w:ascii="宋体" w:hAnsi="宋体"/>
                <w:color w:val="auto"/>
                <w:szCs w:val="21"/>
                <w:highlight w:val="none"/>
              </w:rPr>
              <w:t>3  ……</w:t>
            </w:r>
          </w:p>
          <w:p w14:paraId="2195FE91">
            <w:pPr>
              <w:keepNext w:val="0"/>
              <w:keepLines w:val="0"/>
              <w:suppressLineNumbers w:val="0"/>
              <w:spacing w:before="0" w:beforeAutospacing="0" w:after="0" w:afterAutospacing="0" w:line="340" w:lineRule="exact"/>
              <w:ind w:left="0" w:right="0"/>
              <w:rPr>
                <w:rFonts w:hint="default" w:ascii="宋体" w:hAnsi="宋体"/>
                <w:color w:val="auto"/>
                <w:szCs w:val="21"/>
                <w:highlight w:val="none"/>
              </w:rPr>
            </w:pPr>
          </w:p>
        </w:tc>
        <w:tc>
          <w:tcPr>
            <w:tcW w:w="2516" w:type="dxa"/>
            <w:tcBorders>
              <w:top w:val="single" w:color="auto" w:sz="4" w:space="0"/>
              <w:left w:val="single" w:color="auto" w:sz="4" w:space="0"/>
              <w:bottom w:val="single" w:color="auto" w:sz="4" w:space="0"/>
              <w:right w:val="single" w:color="auto" w:sz="4" w:space="0"/>
            </w:tcBorders>
          </w:tcPr>
          <w:p w14:paraId="1FFBA69E">
            <w:pPr>
              <w:keepNext w:val="0"/>
              <w:keepLines w:val="0"/>
              <w:suppressLineNumbers w:val="0"/>
              <w:spacing w:before="0" w:beforeAutospacing="0" w:after="0" w:afterAutospacing="0" w:line="340" w:lineRule="exact"/>
              <w:ind w:left="0" w:right="0"/>
              <w:rPr>
                <w:rFonts w:hint="default" w:ascii="宋体" w:hAnsi="宋体"/>
                <w:color w:val="auto"/>
                <w:szCs w:val="21"/>
                <w:highlight w:val="none"/>
              </w:rPr>
            </w:pPr>
            <w:r>
              <w:rPr>
                <w:rFonts w:hint="eastAsia" w:ascii="宋体" w:hAnsi="宋体"/>
                <w:color w:val="auto"/>
                <w:szCs w:val="21"/>
                <w:highlight w:val="none"/>
              </w:rPr>
              <w:t>3  ……</w:t>
            </w:r>
          </w:p>
          <w:p w14:paraId="2EA83AE3">
            <w:pPr>
              <w:keepNext w:val="0"/>
              <w:keepLines w:val="0"/>
              <w:suppressLineNumbers w:val="0"/>
              <w:spacing w:before="0" w:beforeAutospacing="0" w:after="0" w:afterAutospacing="0" w:line="300" w:lineRule="exact"/>
              <w:ind w:left="0" w:right="0"/>
              <w:rPr>
                <w:rFonts w:hint="default" w:ascii="宋体" w:hAnsi="宋体"/>
                <w:color w:val="auto"/>
                <w:szCs w:val="21"/>
                <w:highlight w:val="none"/>
              </w:rPr>
            </w:pPr>
          </w:p>
        </w:tc>
        <w:tc>
          <w:tcPr>
            <w:tcW w:w="2516" w:type="dxa"/>
            <w:tcBorders>
              <w:top w:val="single" w:color="auto" w:sz="4" w:space="0"/>
              <w:left w:val="single" w:color="auto" w:sz="4" w:space="0"/>
              <w:bottom w:val="single" w:color="auto" w:sz="4" w:space="0"/>
              <w:right w:val="single" w:color="auto" w:sz="4" w:space="0"/>
            </w:tcBorders>
          </w:tcPr>
          <w:p w14:paraId="4C888D31">
            <w:pPr>
              <w:keepNext w:val="0"/>
              <w:keepLines w:val="0"/>
              <w:suppressLineNumbers w:val="0"/>
              <w:spacing w:before="0" w:beforeAutospacing="0" w:after="0" w:afterAutospacing="0" w:line="300" w:lineRule="exact"/>
              <w:ind w:left="0" w:right="0"/>
              <w:rPr>
                <w:rFonts w:hint="default" w:ascii="宋体" w:hAnsi="宋体"/>
                <w:color w:val="auto"/>
                <w:szCs w:val="21"/>
                <w:highlight w:val="none"/>
              </w:rPr>
            </w:pPr>
            <w:r>
              <w:rPr>
                <w:rFonts w:hint="eastAsia" w:ascii="宋体" w:hAnsi="宋体"/>
                <w:color w:val="auto"/>
                <w:szCs w:val="21"/>
                <w:highlight w:val="none"/>
              </w:rPr>
              <w:t>正偏离（负偏离或无偏离）</w:t>
            </w:r>
          </w:p>
          <w:p w14:paraId="6BE3520B">
            <w:pPr>
              <w:keepNext w:val="0"/>
              <w:keepLines w:val="0"/>
              <w:suppressLineNumbers w:val="0"/>
              <w:spacing w:before="0" w:beforeAutospacing="0" w:after="0" w:afterAutospacing="0" w:line="300" w:lineRule="exact"/>
              <w:ind w:left="0" w:right="0"/>
              <w:rPr>
                <w:rFonts w:hint="default" w:ascii="宋体" w:hAnsi="宋体"/>
                <w:color w:val="auto"/>
                <w:szCs w:val="21"/>
                <w:highlight w:val="none"/>
              </w:rPr>
            </w:pPr>
          </w:p>
        </w:tc>
      </w:tr>
      <w:tr w14:paraId="06DC0A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57" w:hRule="atLeast"/>
        </w:trPr>
        <w:tc>
          <w:tcPr>
            <w:tcW w:w="9480" w:type="dxa"/>
            <w:vMerge w:val="continue"/>
            <w:tcBorders>
              <w:top w:val="single" w:color="auto" w:sz="4" w:space="0"/>
              <w:left w:val="single" w:color="auto" w:sz="4" w:space="0"/>
              <w:bottom w:val="single" w:color="auto" w:sz="4" w:space="0"/>
              <w:right w:val="single" w:color="auto" w:sz="4" w:space="0"/>
            </w:tcBorders>
            <w:vAlign w:val="center"/>
          </w:tcPr>
          <w:p w14:paraId="4A0F7A4C">
            <w:pPr>
              <w:keepNext w:val="0"/>
              <w:keepLines w:val="0"/>
              <w:widowControl/>
              <w:suppressLineNumbers w:val="0"/>
              <w:spacing w:before="0" w:beforeAutospacing="0" w:after="0" w:afterAutospacing="0"/>
              <w:ind w:left="0" w:right="0"/>
              <w:jc w:val="left"/>
              <w:rPr>
                <w:rFonts w:hint="default" w:ascii="宋体" w:hAnsi="宋体"/>
                <w:color w:val="auto"/>
                <w:szCs w:val="21"/>
                <w:highlight w:val="none"/>
              </w:rPr>
            </w:pPr>
          </w:p>
        </w:tc>
        <w:tc>
          <w:tcPr>
            <w:tcW w:w="3757" w:type="dxa"/>
            <w:tcBorders>
              <w:top w:val="single" w:color="auto" w:sz="4" w:space="0"/>
              <w:left w:val="single" w:color="auto" w:sz="4" w:space="0"/>
              <w:bottom w:val="single" w:color="auto" w:sz="4" w:space="0"/>
              <w:right w:val="single" w:color="auto" w:sz="4" w:space="0"/>
            </w:tcBorders>
            <w:noWrap/>
          </w:tcPr>
          <w:p w14:paraId="48673917">
            <w:pPr>
              <w:keepNext w:val="0"/>
              <w:keepLines w:val="0"/>
              <w:suppressLineNumbers w:val="0"/>
              <w:spacing w:before="0" w:beforeAutospacing="0" w:after="0" w:afterAutospacing="0" w:line="340" w:lineRule="exact"/>
              <w:ind w:left="0" w:right="0"/>
              <w:rPr>
                <w:rFonts w:hint="default" w:ascii="宋体" w:hAnsi="宋体"/>
                <w:color w:val="auto"/>
                <w:szCs w:val="21"/>
                <w:highlight w:val="none"/>
              </w:rPr>
            </w:pPr>
            <w:r>
              <w:rPr>
                <w:rFonts w:hint="eastAsia" w:ascii="宋体" w:hAnsi="宋体"/>
                <w:color w:val="auto"/>
                <w:szCs w:val="21"/>
                <w:highlight w:val="none"/>
              </w:rPr>
              <w:t>……</w:t>
            </w:r>
          </w:p>
        </w:tc>
        <w:tc>
          <w:tcPr>
            <w:tcW w:w="2516" w:type="dxa"/>
            <w:tcBorders>
              <w:top w:val="single" w:color="auto" w:sz="4" w:space="0"/>
              <w:left w:val="single" w:color="auto" w:sz="4" w:space="0"/>
              <w:bottom w:val="single" w:color="auto" w:sz="4" w:space="0"/>
              <w:right w:val="single" w:color="auto" w:sz="4" w:space="0"/>
            </w:tcBorders>
          </w:tcPr>
          <w:p w14:paraId="327D9A35">
            <w:pPr>
              <w:keepNext w:val="0"/>
              <w:keepLines w:val="0"/>
              <w:suppressLineNumbers w:val="0"/>
              <w:spacing w:before="0" w:beforeAutospacing="0" w:after="0" w:afterAutospacing="0" w:line="300" w:lineRule="exact"/>
              <w:ind w:left="0" w:right="0"/>
              <w:rPr>
                <w:rFonts w:hint="default" w:ascii="宋体" w:hAnsi="宋体"/>
                <w:color w:val="auto"/>
                <w:szCs w:val="21"/>
                <w:highlight w:val="none"/>
              </w:rPr>
            </w:pPr>
            <w:r>
              <w:rPr>
                <w:rFonts w:hint="eastAsia" w:ascii="宋体" w:hAnsi="宋体"/>
                <w:color w:val="auto"/>
                <w:szCs w:val="21"/>
                <w:highlight w:val="none"/>
              </w:rPr>
              <w:t>……</w:t>
            </w:r>
          </w:p>
        </w:tc>
        <w:tc>
          <w:tcPr>
            <w:tcW w:w="2516" w:type="dxa"/>
            <w:tcBorders>
              <w:top w:val="single" w:color="auto" w:sz="4" w:space="0"/>
              <w:left w:val="single" w:color="auto" w:sz="4" w:space="0"/>
              <w:bottom w:val="single" w:color="auto" w:sz="4" w:space="0"/>
              <w:right w:val="single" w:color="auto" w:sz="4" w:space="0"/>
            </w:tcBorders>
          </w:tcPr>
          <w:p w14:paraId="0869CE13">
            <w:pPr>
              <w:keepNext w:val="0"/>
              <w:keepLines w:val="0"/>
              <w:suppressLineNumbers w:val="0"/>
              <w:spacing w:before="0" w:beforeAutospacing="0" w:after="0" w:afterAutospacing="0" w:line="300" w:lineRule="exact"/>
              <w:ind w:left="0" w:right="0"/>
              <w:rPr>
                <w:rFonts w:hint="default" w:ascii="宋体" w:hAnsi="宋体"/>
                <w:color w:val="auto"/>
                <w:szCs w:val="21"/>
                <w:highlight w:val="none"/>
              </w:rPr>
            </w:pPr>
            <w:r>
              <w:rPr>
                <w:rFonts w:hint="eastAsia" w:ascii="宋体" w:hAnsi="宋体"/>
                <w:color w:val="auto"/>
                <w:szCs w:val="21"/>
                <w:highlight w:val="none"/>
              </w:rPr>
              <w:t>正偏离（负偏离或无偏离）</w:t>
            </w:r>
          </w:p>
          <w:p w14:paraId="7C7F74C7">
            <w:pPr>
              <w:keepNext w:val="0"/>
              <w:keepLines w:val="0"/>
              <w:suppressLineNumbers w:val="0"/>
              <w:spacing w:before="0" w:beforeAutospacing="0" w:after="0" w:afterAutospacing="0" w:line="300" w:lineRule="exact"/>
              <w:ind w:left="0" w:right="0"/>
              <w:rPr>
                <w:rFonts w:hint="default" w:ascii="宋体" w:hAnsi="宋体"/>
                <w:color w:val="auto"/>
                <w:szCs w:val="21"/>
                <w:highlight w:val="none"/>
              </w:rPr>
            </w:pPr>
          </w:p>
        </w:tc>
      </w:tr>
      <w:tr w14:paraId="53F9A0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7" w:hRule="atLeast"/>
        </w:trPr>
        <w:tc>
          <w:tcPr>
            <w:tcW w:w="9480" w:type="dxa"/>
            <w:gridSpan w:val="4"/>
            <w:tcBorders>
              <w:top w:val="single" w:color="auto" w:sz="4" w:space="0"/>
              <w:left w:val="single" w:color="auto" w:sz="4" w:space="0"/>
              <w:bottom w:val="single" w:color="auto" w:sz="4" w:space="0"/>
              <w:right w:val="single" w:color="auto" w:sz="4" w:space="0"/>
            </w:tcBorders>
            <w:noWrap/>
          </w:tcPr>
          <w:p w14:paraId="42A5AE4B">
            <w:pPr>
              <w:keepNext w:val="0"/>
              <w:keepLines w:val="0"/>
              <w:suppressLineNumbers w:val="0"/>
              <w:spacing w:before="0" w:beforeAutospacing="0" w:after="0" w:afterAutospacing="0" w:line="340" w:lineRule="exact"/>
              <w:ind w:left="0" w:right="0"/>
              <w:rPr>
                <w:rFonts w:hint="default" w:ascii="宋体" w:hAnsi="宋体"/>
                <w:color w:val="auto"/>
                <w:szCs w:val="21"/>
                <w:highlight w:val="none"/>
              </w:rPr>
            </w:pPr>
            <w:r>
              <w:rPr>
                <w:rFonts w:hint="eastAsia" w:ascii="宋体" w:hAnsi="宋体"/>
                <w:color w:val="auto"/>
                <w:szCs w:val="21"/>
                <w:highlight w:val="none"/>
                <w:u w:val="single"/>
              </w:rPr>
              <w:t>　　</w:t>
            </w:r>
            <w:r>
              <w:rPr>
                <w:rFonts w:hint="eastAsia" w:ascii="宋体" w:hAnsi="宋体"/>
                <w:color w:val="auto"/>
                <w:szCs w:val="21"/>
                <w:highlight w:val="none"/>
              </w:rPr>
              <w:t>分标（此处有分标时填写具体分标号，无分标时填写“无”）</w:t>
            </w:r>
          </w:p>
        </w:tc>
      </w:tr>
    </w:tbl>
    <w:p w14:paraId="64566BFA">
      <w:pPr>
        <w:pStyle w:val="7"/>
        <w:spacing w:line="360" w:lineRule="auto"/>
        <w:ind w:left="-708" w:leftChars="-337"/>
        <w:rPr>
          <w:rFonts w:ascii="Times New Roman" w:hAnsi="Times New Roman"/>
          <w:color w:val="auto"/>
          <w:highlight w:val="none"/>
        </w:rPr>
      </w:pPr>
    </w:p>
    <w:p w14:paraId="4872D031">
      <w:pPr>
        <w:pStyle w:val="7"/>
        <w:spacing w:line="360" w:lineRule="auto"/>
        <w:ind w:left="-708" w:leftChars="-337"/>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注：</w:t>
      </w:r>
    </w:p>
    <w:p w14:paraId="26962266">
      <w:pPr>
        <w:snapToGrid w:val="0"/>
        <w:spacing w:before="50" w:after="5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eastAsia="zh-CN"/>
        </w:rPr>
        <w:t>1. 说明：应对照招标文件“第二章 采购需求”中的商务要求逐条作明确的投标响应，并作出偏离说明。</w:t>
      </w:r>
    </w:p>
    <w:p w14:paraId="60D0D150">
      <w:pPr>
        <w:snapToGrid w:val="0"/>
        <w:spacing w:before="50" w:after="5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eastAsia="zh-CN"/>
        </w:rPr>
        <w:t>2.投标人应根据自身的承诺，对照招标文件要求在“偏离说明”中注明“正偏离”“负偏离”或者“无偏离”。既不属于“正偏离”也不属于“负偏离”即为“无偏离”。</w:t>
      </w:r>
    </w:p>
    <w:p w14:paraId="73416D03">
      <w:pPr>
        <w:snapToGrid w:val="0"/>
        <w:spacing w:before="50" w:after="50"/>
        <w:rPr>
          <w:rFonts w:ascii="宋体" w:hAnsi="宋体"/>
          <w:color w:val="auto"/>
          <w:sz w:val="24"/>
          <w:highlight w:val="none"/>
        </w:rPr>
      </w:pPr>
    </w:p>
    <w:p w14:paraId="7F3935B5">
      <w:pPr>
        <w:snapToGrid w:val="0"/>
        <w:spacing w:before="50" w:after="50"/>
        <w:rPr>
          <w:rFonts w:ascii="宋体" w:hAnsi="宋体"/>
          <w:color w:val="auto"/>
          <w:sz w:val="24"/>
          <w:highlight w:val="none"/>
        </w:rPr>
      </w:pPr>
    </w:p>
    <w:p w14:paraId="74187F5F">
      <w:pPr>
        <w:snapToGrid w:val="0"/>
        <w:spacing w:line="360" w:lineRule="auto"/>
        <w:ind w:firstLine="4560" w:firstLineChars="1900"/>
        <w:rPr>
          <w:rFonts w:ascii="方正仿宋_GB2312" w:hAnsi="仿宋" w:eastAsia="方正仿宋_GB2312" w:cs="方正仿宋_GB2312"/>
          <w:color w:val="auto"/>
          <w:kern w:val="0"/>
          <w:sz w:val="24"/>
          <w:highlight w:val="none"/>
        </w:rPr>
      </w:pPr>
      <w:r>
        <w:rPr>
          <w:rFonts w:hint="eastAsia" w:ascii="方正仿宋_GB2312" w:hAnsi="仿宋" w:eastAsia="方正仿宋_GB2312" w:cs="方正仿宋_GB2312"/>
          <w:color w:val="auto"/>
          <w:kern w:val="0"/>
          <w:sz w:val="24"/>
          <w:highlight w:val="none"/>
          <w:lang w:val="zh-CN"/>
        </w:rPr>
        <w:t>投标人名称(电子签章)：</w:t>
      </w:r>
    </w:p>
    <w:p w14:paraId="5F1861BA">
      <w:pPr>
        <w:snapToGrid w:val="0"/>
        <w:spacing w:line="360" w:lineRule="auto"/>
        <w:ind w:firstLine="5160" w:firstLineChars="2150"/>
        <w:rPr>
          <w:rFonts w:ascii="方正仿宋_GB2312" w:hAnsi="仿宋" w:eastAsia="方正仿宋_GB2312" w:cs="方正仿宋_GB2312"/>
          <w:color w:val="auto"/>
          <w:kern w:val="0"/>
          <w:sz w:val="24"/>
          <w:highlight w:val="none"/>
          <w:lang w:val="zh-CN"/>
        </w:rPr>
      </w:pPr>
      <w:r>
        <w:rPr>
          <w:rFonts w:hint="eastAsia" w:ascii="方正仿宋_GB2312" w:hAnsi="仿宋" w:eastAsia="方正仿宋_GB2312" w:cs="方正仿宋_GB2312"/>
          <w:color w:val="auto"/>
          <w:kern w:val="0"/>
          <w:sz w:val="24"/>
          <w:highlight w:val="none"/>
          <w:lang w:val="zh-CN"/>
        </w:rPr>
        <w:t>日期</w:t>
      </w:r>
      <w:r>
        <w:rPr>
          <w:rFonts w:hint="eastAsia" w:ascii="方正仿宋_GB2312" w:hAnsi="仿宋" w:eastAsia="方正仿宋_GB2312" w:cs="方正仿宋_GB2312"/>
          <w:color w:val="auto"/>
          <w:kern w:val="0"/>
          <w:sz w:val="24"/>
          <w:highlight w:val="none"/>
        </w:rPr>
        <w:t xml:space="preserve">：  年  </w:t>
      </w:r>
      <w:r>
        <w:rPr>
          <w:rFonts w:hint="eastAsia" w:ascii="方正仿宋_GB2312" w:hAnsi="仿宋" w:eastAsia="方正仿宋_GB2312" w:cs="方正仿宋_GB2312"/>
          <w:color w:val="auto"/>
          <w:kern w:val="0"/>
          <w:sz w:val="24"/>
          <w:highlight w:val="none"/>
          <w:lang w:val="zh-CN"/>
        </w:rPr>
        <w:t>月</w:t>
      </w:r>
      <w:r>
        <w:rPr>
          <w:rFonts w:hint="eastAsia" w:ascii="方正仿宋_GB2312" w:hAnsi="仿宋" w:eastAsia="方正仿宋_GB2312" w:cs="方正仿宋_GB2312"/>
          <w:color w:val="auto"/>
          <w:kern w:val="0"/>
          <w:sz w:val="24"/>
          <w:highlight w:val="none"/>
          <w:lang w:val="en-US" w:eastAsia="zh-CN"/>
        </w:rPr>
        <w:t xml:space="preserve">  </w:t>
      </w:r>
      <w:r>
        <w:rPr>
          <w:rFonts w:hint="eastAsia" w:ascii="方正仿宋_GB2312" w:hAnsi="仿宋" w:eastAsia="方正仿宋_GB2312" w:cs="方正仿宋_GB2312"/>
          <w:color w:val="auto"/>
          <w:kern w:val="0"/>
          <w:sz w:val="24"/>
          <w:highlight w:val="none"/>
          <w:lang w:val="zh-CN"/>
        </w:rPr>
        <w:t>日</w:t>
      </w:r>
    </w:p>
    <w:p w14:paraId="4B92A623">
      <w:pPr>
        <w:widowControl/>
        <w:jc w:val="left"/>
        <w:rPr>
          <w:rFonts w:ascii="宋体" w:hAnsi="宋体"/>
          <w:color w:val="auto"/>
          <w:szCs w:val="21"/>
          <w:highlight w:val="none"/>
        </w:rPr>
        <w:sectPr>
          <w:pgSz w:w="11906" w:h="16838"/>
          <w:pgMar w:top="1440" w:right="1797" w:bottom="1440" w:left="1797" w:header="851" w:footer="992" w:gutter="0"/>
          <w:pgNumType w:fmt="decimal"/>
          <w:cols w:space="720" w:num="1"/>
        </w:sectPr>
      </w:pPr>
    </w:p>
    <w:p w14:paraId="3924F610">
      <w:pPr>
        <w:snapToGrid w:val="0"/>
        <w:spacing w:before="165" w:beforeLines="50" w:after="50"/>
        <w:ind w:firstLine="602" w:firstLineChars="200"/>
        <w:jc w:val="center"/>
        <w:rPr>
          <w:b/>
          <w:bCs/>
          <w:color w:val="auto"/>
          <w:sz w:val="30"/>
          <w:szCs w:val="30"/>
          <w:highlight w:val="none"/>
        </w:rPr>
      </w:pPr>
      <w:r>
        <w:rPr>
          <w:rFonts w:hint="eastAsia"/>
          <w:b/>
          <w:bCs/>
          <w:color w:val="auto"/>
          <w:sz w:val="30"/>
          <w:szCs w:val="30"/>
          <w:highlight w:val="none"/>
        </w:rPr>
        <w:t>五、投标人情况介绍</w:t>
      </w:r>
    </w:p>
    <w:p w14:paraId="21E55BD6">
      <w:pPr>
        <w:spacing w:line="360" w:lineRule="auto"/>
        <w:ind w:firstLine="4048" w:firstLineChars="1687"/>
        <w:rPr>
          <w:rFonts w:ascii="方正仿宋_GB2312" w:hAnsi="仿宋" w:eastAsia="方正仿宋_GB2312" w:cs="方正仿宋_GB2312"/>
          <w:color w:val="auto"/>
          <w:kern w:val="0"/>
          <w:sz w:val="24"/>
          <w:highlight w:val="none"/>
        </w:rPr>
      </w:pPr>
      <w:r>
        <w:rPr>
          <w:rFonts w:hint="eastAsia" w:ascii="宋体" w:hAnsi="宋体"/>
          <w:color w:val="auto"/>
          <w:sz w:val="24"/>
          <w:highlight w:val="none"/>
        </w:rPr>
        <w:t>（格式自拟）</w:t>
      </w:r>
    </w:p>
    <w:p w14:paraId="431824B5">
      <w:pPr>
        <w:snapToGrid w:val="0"/>
        <w:spacing w:line="360" w:lineRule="auto"/>
        <w:ind w:firstLine="4935" w:firstLineChars="2350"/>
        <w:rPr>
          <w:rFonts w:hAnsi="宋体"/>
          <w:color w:val="auto"/>
          <w:szCs w:val="21"/>
          <w:highlight w:val="none"/>
        </w:rPr>
      </w:pPr>
    </w:p>
    <w:p w14:paraId="1F6EBA88">
      <w:pPr>
        <w:snapToGrid w:val="0"/>
        <w:spacing w:line="360" w:lineRule="auto"/>
        <w:ind w:firstLine="4935" w:firstLineChars="2350"/>
        <w:rPr>
          <w:rFonts w:hAnsi="宋体"/>
          <w:color w:val="auto"/>
          <w:szCs w:val="21"/>
          <w:highlight w:val="none"/>
        </w:rPr>
      </w:pPr>
    </w:p>
    <w:p w14:paraId="3C7E2C47">
      <w:pPr>
        <w:snapToGrid w:val="0"/>
        <w:spacing w:line="360" w:lineRule="auto"/>
        <w:ind w:firstLine="4935" w:firstLineChars="2350"/>
        <w:rPr>
          <w:rFonts w:hAnsi="宋体"/>
          <w:color w:val="auto"/>
          <w:szCs w:val="21"/>
          <w:highlight w:val="none"/>
        </w:rPr>
      </w:pPr>
    </w:p>
    <w:p w14:paraId="36D486CD">
      <w:pPr>
        <w:snapToGrid w:val="0"/>
        <w:spacing w:line="360" w:lineRule="auto"/>
        <w:ind w:firstLine="4935" w:firstLineChars="2350"/>
        <w:rPr>
          <w:rFonts w:hAnsi="宋体"/>
          <w:color w:val="auto"/>
          <w:szCs w:val="21"/>
          <w:highlight w:val="none"/>
        </w:rPr>
      </w:pPr>
    </w:p>
    <w:p w14:paraId="137316C4">
      <w:pPr>
        <w:snapToGrid w:val="0"/>
        <w:spacing w:line="360" w:lineRule="auto"/>
        <w:ind w:firstLine="5640" w:firstLineChars="2350"/>
        <w:rPr>
          <w:rFonts w:ascii="方正仿宋_GB2312" w:hAnsi="仿宋" w:eastAsia="方正仿宋_GB2312" w:cs="方正仿宋_GB2312"/>
          <w:color w:val="auto"/>
          <w:kern w:val="0"/>
          <w:sz w:val="24"/>
          <w:highlight w:val="none"/>
        </w:rPr>
      </w:pPr>
      <w:r>
        <w:rPr>
          <w:rFonts w:hint="eastAsia" w:ascii="方正仿宋_GB2312" w:hAnsi="仿宋" w:eastAsia="方正仿宋_GB2312" w:cs="方正仿宋_GB2312"/>
          <w:color w:val="auto"/>
          <w:kern w:val="0"/>
          <w:sz w:val="24"/>
          <w:highlight w:val="none"/>
          <w:lang w:val="zh-CN"/>
        </w:rPr>
        <w:t>投标人名称(电子签章)：</w:t>
      </w:r>
    </w:p>
    <w:p w14:paraId="2135FDF7">
      <w:pPr>
        <w:snapToGrid w:val="0"/>
        <w:spacing w:line="360" w:lineRule="auto"/>
        <w:ind w:firstLine="5160" w:firstLineChars="2150"/>
        <w:rPr>
          <w:rFonts w:ascii="方正仿宋_GB2312" w:hAnsi="仿宋" w:eastAsia="方正仿宋_GB2312" w:cs="方正仿宋_GB2312"/>
          <w:color w:val="auto"/>
          <w:kern w:val="0"/>
          <w:sz w:val="24"/>
          <w:highlight w:val="none"/>
          <w:lang w:val="zh-CN"/>
        </w:rPr>
      </w:pPr>
      <w:r>
        <w:rPr>
          <w:rFonts w:hint="eastAsia" w:ascii="方正仿宋_GB2312" w:hAnsi="仿宋" w:eastAsia="方正仿宋_GB2312" w:cs="方正仿宋_GB2312"/>
          <w:color w:val="auto"/>
          <w:kern w:val="0"/>
          <w:sz w:val="24"/>
          <w:highlight w:val="none"/>
          <w:lang w:val="zh-CN"/>
        </w:rPr>
        <w:t>日期</w:t>
      </w:r>
      <w:r>
        <w:rPr>
          <w:rFonts w:hint="eastAsia" w:ascii="方正仿宋_GB2312" w:hAnsi="仿宋" w:eastAsia="方正仿宋_GB2312" w:cs="方正仿宋_GB2312"/>
          <w:color w:val="auto"/>
          <w:kern w:val="0"/>
          <w:sz w:val="24"/>
          <w:highlight w:val="none"/>
        </w:rPr>
        <w:t xml:space="preserve">：  年  </w:t>
      </w:r>
      <w:r>
        <w:rPr>
          <w:rFonts w:hint="eastAsia" w:ascii="方正仿宋_GB2312" w:hAnsi="仿宋" w:eastAsia="方正仿宋_GB2312" w:cs="方正仿宋_GB2312"/>
          <w:color w:val="auto"/>
          <w:kern w:val="0"/>
          <w:sz w:val="24"/>
          <w:highlight w:val="none"/>
          <w:lang w:val="zh-CN"/>
        </w:rPr>
        <w:t>月日</w:t>
      </w:r>
    </w:p>
    <w:p w14:paraId="6734A16F">
      <w:pPr>
        <w:snapToGrid w:val="0"/>
        <w:spacing w:before="165" w:beforeLines="50" w:after="50"/>
        <w:ind w:firstLine="602" w:firstLineChars="200"/>
        <w:jc w:val="center"/>
        <w:rPr>
          <w:b/>
          <w:bCs/>
          <w:color w:val="auto"/>
          <w:sz w:val="30"/>
          <w:szCs w:val="30"/>
          <w:highlight w:val="none"/>
        </w:rPr>
      </w:pPr>
    </w:p>
    <w:p w14:paraId="7F1F99CC">
      <w:pPr>
        <w:widowControl/>
        <w:jc w:val="left"/>
        <w:rPr>
          <w:b/>
          <w:bCs/>
          <w:color w:val="auto"/>
          <w:sz w:val="30"/>
          <w:szCs w:val="30"/>
          <w:highlight w:val="none"/>
        </w:rPr>
        <w:sectPr>
          <w:pgSz w:w="11906" w:h="16838"/>
          <w:pgMar w:top="1134" w:right="1134" w:bottom="1134" w:left="1134" w:header="720" w:footer="720" w:gutter="0"/>
          <w:pgNumType w:fmt="decimal"/>
          <w:cols w:space="720" w:num="1"/>
          <w:docGrid w:type="lines" w:linePitch="331" w:charSpace="0"/>
        </w:sectPr>
      </w:pPr>
    </w:p>
    <w:p w14:paraId="6F8A615D">
      <w:pPr>
        <w:snapToGrid w:val="0"/>
        <w:spacing w:before="165" w:beforeLines="50" w:after="50"/>
        <w:ind w:firstLine="602" w:firstLineChars="200"/>
        <w:jc w:val="center"/>
        <w:rPr>
          <w:b/>
          <w:bCs/>
          <w:color w:val="auto"/>
          <w:sz w:val="30"/>
          <w:szCs w:val="30"/>
          <w:highlight w:val="none"/>
        </w:rPr>
      </w:pPr>
      <w:r>
        <w:rPr>
          <w:rFonts w:hint="eastAsia"/>
          <w:b/>
          <w:bCs/>
          <w:color w:val="auto"/>
          <w:sz w:val="30"/>
          <w:szCs w:val="30"/>
          <w:highlight w:val="none"/>
        </w:rPr>
        <w:t>六、投标人类似的业绩证明文件（如有要求）</w:t>
      </w:r>
    </w:p>
    <w:p w14:paraId="7F6336FD">
      <w:pPr>
        <w:pStyle w:val="30"/>
        <w:snapToGrid w:val="0"/>
        <w:ind w:left="480" w:hanging="480"/>
        <w:rPr>
          <w:rFonts w:ascii="宋体" w:hAnsi="宋体"/>
          <w:color w:val="auto"/>
          <w:sz w:val="24"/>
          <w:highlight w:val="none"/>
        </w:rPr>
      </w:pPr>
    </w:p>
    <w:p w14:paraId="2180EEEA">
      <w:pPr>
        <w:pStyle w:val="30"/>
        <w:snapToGrid w:val="0"/>
        <w:ind w:left="480" w:hanging="480"/>
        <w:rPr>
          <w:rFonts w:ascii="宋体" w:hAnsi="宋体"/>
          <w:color w:val="auto"/>
          <w:sz w:val="24"/>
          <w:highlight w:val="none"/>
        </w:rPr>
      </w:pPr>
    </w:p>
    <w:p w14:paraId="648685D7">
      <w:pPr>
        <w:pStyle w:val="30"/>
        <w:snapToGrid w:val="0"/>
        <w:ind w:left="480" w:hanging="480"/>
        <w:rPr>
          <w:rFonts w:ascii="宋体" w:hAnsi="宋体"/>
          <w:color w:val="auto"/>
          <w:sz w:val="24"/>
          <w:highlight w:val="none"/>
        </w:rPr>
      </w:pPr>
    </w:p>
    <w:p w14:paraId="1E925516">
      <w:pPr>
        <w:autoSpaceDE w:val="0"/>
        <w:autoSpaceDN w:val="0"/>
        <w:spacing w:line="360" w:lineRule="auto"/>
        <w:ind w:firstLine="120"/>
        <w:rPr>
          <w:rFonts w:ascii="宋体" w:hAnsi="宋体"/>
          <w:color w:val="auto"/>
          <w:sz w:val="24"/>
          <w:highlight w:val="none"/>
        </w:rPr>
      </w:pPr>
      <w:r>
        <w:rPr>
          <w:rFonts w:hint="eastAsia" w:ascii="方正仿宋_GB2312" w:hAnsi="仿宋" w:eastAsia="方正仿宋_GB2312" w:cs="方正仿宋_GB2312"/>
          <w:b/>
          <w:color w:val="auto"/>
          <w:sz w:val="24"/>
          <w:highlight w:val="none"/>
        </w:rPr>
        <w:t>附表 :相关项目业绩一览表（投标人同类项目合同复印件、用户验收报告、用户评价意见格式自拟）</w:t>
      </w:r>
    </w:p>
    <w:tbl>
      <w:tblPr>
        <w:tblStyle w:val="37"/>
        <w:tblW w:w="0" w:type="auto"/>
        <w:tblInd w:w="113" w:type="dxa"/>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autofit"/>
        <w:tblCellMar>
          <w:top w:w="0" w:type="dxa"/>
          <w:left w:w="108" w:type="dxa"/>
          <w:bottom w:w="0" w:type="dxa"/>
          <w:right w:w="108" w:type="dxa"/>
        </w:tblCellMar>
      </w:tblPr>
      <w:tblGrid>
        <w:gridCol w:w="1416"/>
        <w:gridCol w:w="1176"/>
        <w:gridCol w:w="1176"/>
        <w:gridCol w:w="696"/>
        <w:gridCol w:w="1176"/>
        <w:gridCol w:w="1176"/>
        <w:gridCol w:w="1896"/>
      </w:tblGrid>
      <w:tr w14:paraId="17C6842D">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cantSplit/>
          <w:trHeight w:val="487" w:hRule="atLeast"/>
        </w:trPr>
        <w:tc>
          <w:tcPr>
            <w:tcW w:w="0" w:type="auto"/>
            <w:vMerge w:val="restart"/>
            <w:tcBorders>
              <w:top w:val="single" w:color="auto" w:sz="4" w:space="0"/>
              <w:left w:val="single" w:color="auto" w:sz="4" w:space="0"/>
              <w:bottom w:val="single" w:color="auto" w:sz="4" w:space="0"/>
              <w:right w:val="single" w:color="auto" w:sz="4" w:space="0"/>
            </w:tcBorders>
            <w:vAlign w:val="center"/>
          </w:tcPr>
          <w:p w14:paraId="56C60A20">
            <w:pPr>
              <w:keepNext w:val="0"/>
              <w:keepLines w:val="0"/>
              <w:suppressLineNumbers w:val="0"/>
              <w:snapToGrid w:val="0"/>
              <w:spacing w:before="0" w:beforeAutospacing="0" w:after="0" w:afterAutospacing="0" w:line="240" w:lineRule="exact"/>
              <w:ind w:left="0" w:right="0"/>
              <w:jc w:val="center"/>
              <w:rPr>
                <w:rFonts w:hint="default" w:ascii="宋体" w:hAnsi="宋体"/>
                <w:color w:val="auto"/>
                <w:sz w:val="24"/>
                <w:highlight w:val="none"/>
              </w:rPr>
            </w:pPr>
            <w:r>
              <w:rPr>
                <w:rFonts w:hint="eastAsia" w:ascii="宋体" w:hAnsi="宋体"/>
                <w:color w:val="auto"/>
                <w:sz w:val="24"/>
                <w:highlight w:val="none"/>
              </w:rPr>
              <w:t>采购人名称</w:t>
            </w:r>
          </w:p>
        </w:tc>
        <w:tc>
          <w:tcPr>
            <w:tcW w:w="0" w:type="auto"/>
            <w:vMerge w:val="restart"/>
            <w:tcBorders>
              <w:top w:val="single" w:color="auto" w:sz="4" w:space="0"/>
              <w:left w:val="single" w:color="auto" w:sz="4" w:space="0"/>
              <w:bottom w:val="single" w:color="auto" w:sz="4" w:space="0"/>
              <w:right w:val="single" w:color="auto" w:sz="4" w:space="0"/>
            </w:tcBorders>
            <w:vAlign w:val="center"/>
          </w:tcPr>
          <w:p w14:paraId="3295FC5D">
            <w:pPr>
              <w:keepNext w:val="0"/>
              <w:keepLines w:val="0"/>
              <w:suppressLineNumbers w:val="0"/>
              <w:snapToGrid w:val="0"/>
              <w:spacing w:before="0" w:beforeAutospacing="0" w:after="0" w:afterAutospacing="0" w:line="240" w:lineRule="exact"/>
              <w:ind w:left="0" w:right="0"/>
              <w:jc w:val="center"/>
              <w:rPr>
                <w:rFonts w:hint="default" w:ascii="宋体" w:hAnsi="宋体"/>
                <w:color w:val="auto"/>
                <w:sz w:val="24"/>
                <w:highlight w:val="none"/>
              </w:rPr>
            </w:pPr>
            <w:r>
              <w:rPr>
                <w:rFonts w:hint="eastAsia" w:ascii="宋体" w:hAnsi="宋体"/>
                <w:color w:val="auto"/>
                <w:sz w:val="24"/>
                <w:highlight w:val="none"/>
              </w:rPr>
              <w:t>项目名称</w:t>
            </w:r>
          </w:p>
        </w:tc>
        <w:tc>
          <w:tcPr>
            <w:tcW w:w="0" w:type="auto"/>
            <w:vMerge w:val="restart"/>
            <w:tcBorders>
              <w:top w:val="single" w:color="auto" w:sz="4" w:space="0"/>
              <w:left w:val="single" w:color="auto" w:sz="4" w:space="0"/>
              <w:bottom w:val="single" w:color="auto" w:sz="4" w:space="0"/>
              <w:right w:val="single" w:color="auto" w:sz="4" w:space="0"/>
            </w:tcBorders>
            <w:vAlign w:val="center"/>
          </w:tcPr>
          <w:p w14:paraId="7D27188E">
            <w:pPr>
              <w:keepNext w:val="0"/>
              <w:keepLines w:val="0"/>
              <w:suppressLineNumbers w:val="0"/>
              <w:snapToGrid w:val="0"/>
              <w:spacing w:before="0" w:beforeAutospacing="0" w:after="0" w:afterAutospacing="0" w:line="240" w:lineRule="exact"/>
              <w:ind w:left="0" w:right="0"/>
              <w:jc w:val="center"/>
              <w:rPr>
                <w:rFonts w:hint="default" w:ascii="宋体" w:hAnsi="宋体"/>
                <w:color w:val="auto"/>
                <w:sz w:val="24"/>
                <w:highlight w:val="none"/>
              </w:rPr>
            </w:pPr>
            <w:r>
              <w:rPr>
                <w:rFonts w:hint="eastAsia" w:ascii="宋体" w:hAnsi="宋体"/>
                <w:color w:val="auto"/>
                <w:sz w:val="24"/>
                <w:highlight w:val="none"/>
              </w:rPr>
              <w:t>合同</w:t>
            </w:r>
          </w:p>
          <w:p w14:paraId="00D705FA">
            <w:pPr>
              <w:keepNext w:val="0"/>
              <w:keepLines w:val="0"/>
              <w:suppressLineNumbers w:val="0"/>
              <w:snapToGrid w:val="0"/>
              <w:spacing w:before="0" w:beforeAutospacing="0" w:after="0" w:afterAutospacing="0" w:line="240" w:lineRule="exact"/>
              <w:ind w:left="0" w:right="0"/>
              <w:jc w:val="center"/>
              <w:rPr>
                <w:rFonts w:hint="default" w:ascii="宋体" w:hAnsi="宋体"/>
                <w:color w:val="auto"/>
                <w:sz w:val="24"/>
                <w:highlight w:val="none"/>
              </w:rPr>
            </w:pPr>
            <w:r>
              <w:rPr>
                <w:rFonts w:hint="eastAsia" w:ascii="宋体" w:hAnsi="宋体"/>
                <w:color w:val="auto"/>
                <w:sz w:val="24"/>
                <w:highlight w:val="none"/>
              </w:rPr>
              <w:t>金额</w:t>
            </w:r>
          </w:p>
          <w:p w14:paraId="3AC35A65">
            <w:pPr>
              <w:keepNext w:val="0"/>
              <w:keepLines w:val="0"/>
              <w:suppressLineNumbers w:val="0"/>
              <w:snapToGrid w:val="0"/>
              <w:spacing w:before="0" w:beforeAutospacing="0" w:after="0" w:afterAutospacing="0" w:line="240" w:lineRule="exact"/>
              <w:ind w:left="0" w:right="0"/>
              <w:jc w:val="center"/>
              <w:rPr>
                <w:rFonts w:hint="default" w:ascii="宋体" w:hAnsi="宋体"/>
                <w:color w:val="auto"/>
                <w:sz w:val="24"/>
                <w:highlight w:val="none"/>
              </w:rPr>
            </w:pPr>
            <w:r>
              <w:rPr>
                <w:rFonts w:hint="eastAsia" w:ascii="宋体" w:hAnsi="宋体"/>
                <w:color w:val="auto"/>
                <w:sz w:val="24"/>
                <w:highlight w:val="none"/>
              </w:rPr>
              <w:t>（万元）</w:t>
            </w:r>
          </w:p>
        </w:tc>
        <w:tc>
          <w:tcPr>
            <w:tcW w:w="0" w:type="auto"/>
            <w:gridSpan w:val="3"/>
            <w:tcBorders>
              <w:top w:val="single" w:color="auto" w:sz="4" w:space="0"/>
              <w:left w:val="single" w:color="auto" w:sz="4" w:space="0"/>
              <w:bottom w:val="single" w:color="auto" w:sz="4" w:space="0"/>
              <w:right w:val="single" w:color="auto" w:sz="4" w:space="0"/>
            </w:tcBorders>
            <w:vAlign w:val="center"/>
          </w:tcPr>
          <w:p w14:paraId="00D42B37">
            <w:pPr>
              <w:keepNext w:val="0"/>
              <w:keepLines w:val="0"/>
              <w:suppressLineNumbers w:val="0"/>
              <w:snapToGrid w:val="0"/>
              <w:spacing w:before="0" w:beforeAutospacing="0" w:after="0" w:afterAutospacing="0" w:line="240" w:lineRule="exact"/>
              <w:ind w:left="0" w:right="0"/>
              <w:jc w:val="center"/>
              <w:rPr>
                <w:rFonts w:hint="default" w:ascii="宋体" w:hAnsi="宋体"/>
                <w:color w:val="auto"/>
                <w:sz w:val="24"/>
                <w:highlight w:val="none"/>
              </w:rPr>
            </w:pPr>
            <w:r>
              <w:rPr>
                <w:rFonts w:hint="eastAsia" w:ascii="宋体" w:hAnsi="宋体"/>
                <w:color w:val="auto"/>
                <w:sz w:val="24"/>
                <w:highlight w:val="none"/>
              </w:rPr>
              <w:t>附件在投标文件中页码</w:t>
            </w:r>
          </w:p>
        </w:tc>
        <w:tc>
          <w:tcPr>
            <w:tcW w:w="0" w:type="auto"/>
            <w:vMerge w:val="restart"/>
            <w:tcBorders>
              <w:top w:val="single" w:color="auto" w:sz="4" w:space="0"/>
              <w:left w:val="single" w:color="auto" w:sz="4" w:space="0"/>
              <w:bottom w:val="single" w:color="auto" w:sz="4" w:space="0"/>
              <w:right w:val="single" w:color="auto" w:sz="4" w:space="0"/>
            </w:tcBorders>
            <w:vAlign w:val="center"/>
          </w:tcPr>
          <w:p w14:paraId="45A88AB4">
            <w:pPr>
              <w:keepNext w:val="0"/>
              <w:keepLines w:val="0"/>
              <w:suppressLineNumbers w:val="0"/>
              <w:snapToGrid w:val="0"/>
              <w:spacing w:before="0" w:beforeAutospacing="0" w:after="0" w:afterAutospacing="0" w:line="240" w:lineRule="exact"/>
              <w:ind w:left="0" w:right="0"/>
              <w:jc w:val="center"/>
              <w:rPr>
                <w:rFonts w:hint="default" w:ascii="宋体" w:hAnsi="宋体"/>
                <w:color w:val="auto"/>
                <w:sz w:val="24"/>
                <w:highlight w:val="none"/>
              </w:rPr>
            </w:pPr>
            <w:r>
              <w:rPr>
                <w:rFonts w:hint="eastAsia" w:ascii="宋体" w:hAnsi="宋体"/>
                <w:color w:val="auto"/>
                <w:sz w:val="24"/>
                <w:highlight w:val="none"/>
              </w:rPr>
              <w:t>采购人联系人及</w:t>
            </w:r>
          </w:p>
          <w:p w14:paraId="32A11A55">
            <w:pPr>
              <w:keepNext w:val="0"/>
              <w:keepLines w:val="0"/>
              <w:suppressLineNumbers w:val="0"/>
              <w:snapToGrid w:val="0"/>
              <w:spacing w:before="0" w:beforeAutospacing="0" w:after="0" w:afterAutospacing="0" w:line="240" w:lineRule="exact"/>
              <w:ind w:left="0" w:right="0"/>
              <w:jc w:val="center"/>
              <w:rPr>
                <w:rFonts w:hint="default" w:ascii="宋体" w:hAnsi="宋体"/>
                <w:color w:val="auto"/>
                <w:sz w:val="24"/>
                <w:highlight w:val="none"/>
              </w:rPr>
            </w:pPr>
            <w:r>
              <w:rPr>
                <w:rFonts w:hint="eastAsia" w:ascii="宋体" w:hAnsi="宋体"/>
                <w:color w:val="auto"/>
                <w:sz w:val="24"/>
                <w:highlight w:val="none"/>
              </w:rPr>
              <w:t>联系电话</w:t>
            </w:r>
          </w:p>
        </w:tc>
      </w:tr>
      <w:tr w14:paraId="7C42C386">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cantSplit/>
          <w:trHeight w:val="836" w:hRule="atLeast"/>
        </w:trPr>
        <w:tc>
          <w:tcPr>
            <w:tcW w:w="0" w:type="auto"/>
            <w:vMerge w:val="continue"/>
            <w:tcBorders>
              <w:top w:val="single" w:color="auto" w:sz="4" w:space="0"/>
              <w:left w:val="single" w:color="auto" w:sz="4" w:space="0"/>
              <w:bottom w:val="single" w:color="auto" w:sz="4" w:space="0"/>
              <w:right w:val="single" w:color="auto" w:sz="4" w:space="0"/>
            </w:tcBorders>
            <w:vAlign w:val="center"/>
          </w:tcPr>
          <w:p w14:paraId="243280C6">
            <w:pPr>
              <w:keepNext w:val="0"/>
              <w:keepLines w:val="0"/>
              <w:widowControl/>
              <w:suppressLineNumbers w:val="0"/>
              <w:spacing w:before="0" w:beforeAutospacing="0" w:after="0" w:afterAutospacing="0"/>
              <w:ind w:left="0" w:right="0"/>
              <w:jc w:val="left"/>
              <w:rPr>
                <w:rFonts w:hint="default" w:ascii="宋体" w:hAnsi="宋体"/>
                <w:color w:val="auto"/>
                <w:sz w:val="24"/>
                <w:highlight w:val="none"/>
              </w:rPr>
            </w:pPr>
          </w:p>
        </w:tc>
        <w:tc>
          <w:tcPr>
            <w:tcW w:w="0" w:type="auto"/>
            <w:vMerge w:val="continue"/>
            <w:tcBorders>
              <w:top w:val="single" w:color="auto" w:sz="4" w:space="0"/>
              <w:left w:val="single" w:color="auto" w:sz="4" w:space="0"/>
              <w:bottom w:val="single" w:color="auto" w:sz="4" w:space="0"/>
              <w:right w:val="single" w:color="auto" w:sz="4" w:space="0"/>
            </w:tcBorders>
            <w:vAlign w:val="center"/>
          </w:tcPr>
          <w:p w14:paraId="732AA10E">
            <w:pPr>
              <w:keepNext w:val="0"/>
              <w:keepLines w:val="0"/>
              <w:widowControl/>
              <w:suppressLineNumbers w:val="0"/>
              <w:spacing w:before="0" w:beforeAutospacing="0" w:after="0" w:afterAutospacing="0"/>
              <w:ind w:left="0" w:right="0"/>
              <w:jc w:val="left"/>
              <w:rPr>
                <w:rFonts w:hint="default" w:ascii="宋体" w:hAnsi="宋体"/>
                <w:color w:val="auto"/>
                <w:sz w:val="24"/>
                <w:highlight w:val="none"/>
              </w:rPr>
            </w:pPr>
          </w:p>
        </w:tc>
        <w:tc>
          <w:tcPr>
            <w:tcW w:w="0" w:type="auto"/>
            <w:vMerge w:val="continue"/>
            <w:tcBorders>
              <w:top w:val="single" w:color="auto" w:sz="4" w:space="0"/>
              <w:left w:val="single" w:color="auto" w:sz="4" w:space="0"/>
              <w:bottom w:val="single" w:color="auto" w:sz="4" w:space="0"/>
              <w:right w:val="single" w:color="auto" w:sz="4" w:space="0"/>
            </w:tcBorders>
            <w:vAlign w:val="center"/>
          </w:tcPr>
          <w:p w14:paraId="48A69BA0">
            <w:pPr>
              <w:keepNext w:val="0"/>
              <w:keepLines w:val="0"/>
              <w:widowControl/>
              <w:suppressLineNumbers w:val="0"/>
              <w:spacing w:before="0" w:beforeAutospacing="0" w:after="0" w:afterAutospacing="0"/>
              <w:ind w:left="0" w:right="0"/>
              <w:jc w:val="left"/>
              <w:rPr>
                <w:rFonts w:hint="default" w:ascii="宋体" w:hAnsi="宋体"/>
                <w:color w:val="auto"/>
                <w:sz w:val="24"/>
                <w:highlight w:val="none"/>
              </w:rPr>
            </w:pPr>
          </w:p>
        </w:tc>
        <w:tc>
          <w:tcPr>
            <w:tcW w:w="696" w:type="dxa"/>
            <w:tcBorders>
              <w:top w:val="single" w:color="auto" w:sz="4" w:space="0"/>
              <w:left w:val="single" w:color="auto" w:sz="4" w:space="0"/>
              <w:bottom w:val="single" w:color="auto" w:sz="4" w:space="0"/>
              <w:right w:val="single" w:color="auto" w:sz="4" w:space="0"/>
            </w:tcBorders>
            <w:vAlign w:val="center"/>
          </w:tcPr>
          <w:p w14:paraId="2E7DF5D3">
            <w:pPr>
              <w:keepNext w:val="0"/>
              <w:keepLines w:val="0"/>
              <w:suppressLineNumbers w:val="0"/>
              <w:snapToGrid w:val="0"/>
              <w:spacing w:before="0" w:beforeAutospacing="0" w:after="0" w:afterAutospacing="0" w:line="240" w:lineRule="exact"/>
              <w:ind w:left="0" w:right="0"/>
              <w:jc w:val="center"/>
              <w:rPr>
                <w:rFonts w:hint="default" w:ascii="宋体" w:hAnsi="宋体"/>
                <w:color w:val="auto"/>
                <w:sz w:val="24"/>
                <w:highlight w:val="none"/>
              </w:rPr>
            </w:pPr>
            <w:r>
              <w:rPr>
                <w:rFonts w:hint="eastAsia" w:ascii="宋体" w:hAnsi="宋体"/>
                <w:color w:val="auto"/>
                <w:sz w:val="24"/>
                <w:highlight w:val="none"/>
              </w:rPr>
              <w:t>合同</w:t>
            </w:r>
          </w:p>
        </w:tc>
        <w:tc>
          <w:tcPr>
            <w:tcW w:w="1176" w:type="dxa"/>
            <w:tcBorders>
              <w:top w:val="single" w:color="auto" w:sz="4" w:space="0"/>
              <w:left w:val="single" w:color="auto" w:sz="4" w:space="0"/>
              <w:bottom w:val="single" w:color="auto" w:sz="4" w:space="0"/>
              <w:right w:val="single" w:color="auto" w:sz="4" w:space="0"/>
            </w:tcBorders>
            <w:vAlign w:val="center"/>
          </w:tcPr>
          <w:p w14:paraId="76C490FF">
            <w:pPr>
              <w:keepNext w:val="0"/>
              <w:keepLines w:val="0"/>
              <w:suppressLineNumbers w:val="0"/>
              <w:snapToGrid w:val="0"/>
              <w:spacing w:before="0" w:beforeAutospacing="0" w:after="0" w:afterAutospacing="0" w:line="240" w:lineRule="exact"/>
              <w:ind w:left="0" w:right="0"/>
              <w:jc w:val="center"/>
              <w:rPr>
                <w:rFonts w:hint="default" w:ascii="宋体" w:hAnsi="宋体"/>
                <w:color w:val="auto"/>
                <w:sz w:val="24"/>
                <w:highlight w:val="none"/>
              </w:rPr>
            </w:pPr>
            <w:r>
              <w:rPr>
                <w:rFonts w:hint="eastAsia" w:ascii="宋体" w:hAnsi="宋体"/>
                <w:color w:val="auto"/>
                <w:sz w:val="24"/>
                <w:highlight w:val="none"/>
              </w:rPr>
              <w:t>验收报告</w:t>
            </w:r>
          </w:p>
        </w:tc>
        <w:tc>
          <w:tcPr>
            <w:tcW w:w="0" w:type="auto"/>
            <w:tcBorders>
              <w:top w:val="single" w:color="auto" w:sz="4" w:space="0"/>
              <w:left w:val="single" w:color="auto" w:sz="4" w:space="0"/>
              <w:bottom w:val="single" w:color="auto" w:sz="4" w:space="0"/>
              <w:right w:val="single" w:color="auto" w:sz="4" w:space="0"/>
            </w:tcBorders>
            <w:vAlign w:val="center"/>
          </w:tcPr>
          <w:p w14:paraId="7620C63A">
            <w:pPr>
              <w:keepNext w:val="0"/>
              <w:keepLines w:val="0"/>
              <w:suppressLineNumbers w:val="0"/>
              <w:snapToGrid w:val="0"/>
              <w:spacing w:before="0" w:beforeAutospacing="0" w:after="0" w:afterAutospacing="0" w:line="240" w:lineRule="exact"/>
              <w:ind w:left="0" w:right="0"/>
              <w:jc w:val="center"/>
              <w:rPr>
                <w:rFonts w:hint="default" w:ascii="宋体" w:hAnsi="宋体"/>
                <w:color w:val="auto"/>
                <w:sz w:val="24"/>
                <w:highlight w:val="none"/>
              </w:rPr>
            </w:pPr>
            <w:r>
              <w:rPr>
                <w:rFonts w:hint="eastAsia" w:ascii="宋体" w:hAnsi="宋体"/>
                <w:color w:val="auto"/>
                <w:sz w:val="24"/>
                <w:highlight w:val="none"/>
              </w:rPr>
              <w:t>用户评价</w:t>
            </w:r>
          </w:p>
        </w:tc>
        <w:tc>
          <w:tcPr>
            <w:tcW w:w="0" w:type="auto"/>
            <w:vMerge w:val="continue"/>
            <w:tcBorders>
              <w:top w:val="single" w:color="auto" w:sz="4" w:space="0"/>
              <w:left w:val="single" w:color="auto" w:sz="4" w:space="0"/>
              <w:bottom w:val="single" w:color="auto" w:sz="4" w:space="0"/>
              <w:right w:val="single" w:color="auto" w:sz="4" w:space="0"/>
            </w:tcBorders>
            <w:vAlign w:val="center"/>
          </w:tcPr>
          <w:p w14:paraId="504750F3">
            <w:pPr>
              <w:keepNext w:val="0"/>
              <w:keepLines w:val="0"/>
              <w:widowControl/>
              <w:suppressLineNumbers w:val="0"/>
              <w:spacing w:before="0" w:beforeAutospacing="0" w:after="0" w:afterAutospacing="0"/>
              <w:ind w:left="0" w:right="0"/>
              <w:jc w:val="left"/>
              <w:rPr>
                <w:rFonts w:hint="default" w:ascii="宋体" w:hAnsi="宋体"/>
                <w:color w:val="auto"/>
                <w:sz w:val="24"/>
                <w:highlight w:val="none"/>
              </w:rPr>
            </w:pPr>
          </w:p>
        </w:tc>
      </w:tr>
      <w:tr w14:paraId="0E8B9327">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649" w:hRule="atLeast"/>
        </w:trPr>
        <w:tc>
          <w:tcPr>
            <w:tcW w:w="0" w:type="auto"/>
            <w:tcBorders>
              <w:top w:val="single" w:color="auto" w:sz="4" w:space="0"/>
              <w:left w:val="single" w:color="auto" w:sz="4" w:space="0"/>
              <w:bottom w:val="single" w:color="auto" w:sz="4" w:space="0"/>
              <w:right w:val="single" w:color="auto" w:sz="4" w:space="0"/>
            </w:tcBorders>
          </w:tcPr>
          <w:p w14:paraId="2CB3A479">
            <w:pPr>
              <w:keepNext w:val="0"/>
              <w:keepLines w:val="0"/>
              <w:suppressLineNumbers w:val="0"/>
              <w:snapToGrid w:val="0"/>
              <w:spacing w:before="0" w:beforeAutospacing="0" w:after="0" w:afterAutospacing="0" w:line="240" w:lineRule="exact"/>
              <w:ind w:left="0" w:right="0"/>
              <w:jc w:val="left"/>
              <w:rPr>
                <w:rFonts w:hint="default" w:ascii="宋体" w:hAnsi="宋体"/>
                <w:color w:val="auto"/>
                <w:sz w:val="24"/>
                <w:highlight w:val="none"/>
              </w:rPr>
            </w:pPr>
          </w:p>
        </w:tc>
        <w:tc>
          <w:tcPr>
            <w:tcW w:w="0" w:type="auto"/>
            <w:tcBorders>
              <w:top w:val="single" w:color="auto" w:sz="4" w:space="0"/>
              <w:left w:val="single" w:color="auto" w:sz="4" w:space="0"/>
              <w:bottom w:val="single" w:color="auto" w:sz="4" w:space="0"/>
              <w:right w:val="single" w:color="auto" w:sz="4" w:space="0"/>
            </w:tcBorders>
          </w:tcPr>
          <w:p w14:paraId="0373A213">
            <w:pPr>
              <w:keepNext w:val="0"/>
              <w:keepLines w:val="0"/>
              <w:suppressLineNumbers w:val="0"/>
              <w:snapToGrid w:val="0"/>
              <w:spacing w:before="0" w:beforeAutospacing="0" w:after="0" w:afterAutospacing="0" w:line="240" w:lineRule="exact"/>
              <w:ind w:left="0" w:right="0"/>
              <w:jc w:val="left"/>
              <w:rPr>
                <w:rFonts w:hint="default" w:ascii="宋体" w:hAnsi="宋体"/>
                <w:color w:val="auto"/>
                <w:sz w:val="24"/>
                <w:highlight w:val="none"/>
              </w:rPr>
            </w:pPr>
          </w:p>
        </w:tc>
        <w:tc>
          <w:tcPr>
            <w:tcW w:w="0" w:type="auto"/>
            <w:tcBorders>
              <w:top w:val="single" w:color="auto" w:sz="4" w:space="0"/>
              <w:left w:val="single" w:color="auto" w:sz="4" w:space="0"/>
              <w:bottom w:val="single" w:color="auto" w:sz="4" w:space="0"/>
              <w:right w:val="single" w:color="auto" w:sz="4" w:space="0"/>
            </w:tcBorders>
          </w:tcPr>
          <w:p w14:paraId="010FD8F0">
            <w:pPr>
              <w:keepNext w:val="0"/>
              <w:keepLines w:val="0"/>
              <w:suppressLineNumbers w:val="0"/>
              <w:snapToGrid w:val="0"/>
              <w:spacing w:before="0" w:beforeAutospacing="0" w:after="0" w:afterAutospacing="0" w:line="240" w:lineRule="exact"/>
              <w:ind w:left="0" w:right="0"/>
              <w:jc w:val="left"/>
              <w:rPr>
                <w:rFonts w:hint="default" w:ascii="宋体" w:hAnsi="宋体"/>
                <w:color w:val="auto"/>
                <w:sz w:val="24"/>
                <w:highlight w:val="none"/>
              </w:rPr>
            </w:pPr>
          </w:p>
        </w:tc>
        <w:tc>
          <w:tcPr>
            <w:tcW w:w="696" w:type="dxa"/>
            <w:tcBorders>
              <w:top w:val="single" w:color="auto" w:sz="4" w:space="0"/>
              <w:left w:val="single" w:color="auto" w:sz="4" w:space="0"/>
              <w:bottom w:val="single" w:color="auto" w:sz="4" w:space="0"/>
              <w:right w:val="single" w:color="auto" w:sz="4" w:space="0"/>
            </w:tcBorders>
          </w:tcPr>
          <w:p w14:paraId="5532ED8B">
            <w:pPr>
              <w:keepNext w:val="0"/>
              <w:keepLines w:val="0"/>
              <w:suppressLineNumbers w:val="0"/>
              <w:snapToGrid w:val="0"/>
              <w:spacing w:before="0" w:beforeAutospacing="0" w:after="0" w:afterAutospacing="0" w:line="240" w:lineRule="exact"/>
              <w:ind w:left="0" w:right="0"/>
              <w:jc w:val="left"/>
              <w:rPr>
                <w:rFonts w:hint="default" w:ascii="宋体" w:hAnsi="宋体"/>
                <w:color w:val="auto"/>
                <w:sz w:val="24"/>
                <w:highlight w:val="none"/>
              </w:rPr>
            </w:pPr>
          </w:p>
        </w:tc>
        <w:tc>
          <w:tcPr>
            <w:tcW w:w="1176" w:type="dxa"/>
            <w:tcBorders>
              <w:top w:val="single" w:color="auto" w:sz="4" w:space="0"/>
              <w:left w:val="single" w:color="auto" w:sz="4" w:space="0"/>
              <w:bottom w:val="single" w:color="auto" w:sz="4" w:space="0"/>
              <w:right w:val="single" w:color="auto" w:sz="4" w:space="0"/>
            </w:tcBorders>
          </w:tcPr>
          <w:p w14:paraId="25EC4E76">
            <w:pPr>
              <w:keepNext w:val="0"/>
              <w:keepLines w:val="0"/>
              <w:suppressLineNumbers w:val="0"/>
              <w:snapToGrid w:val="0"/>
              <w:spacing w:before="0" w:beforeAutospacing="0" w:after="0" w:afterAutospacing="0" w:line="240" w:lineRule="exact"/>
              <w:ind w:left="0" w:right="0"/>
              <w:jc w:val="left"/>
              <w:rPr>
                <w:rFonts w:hint="default" w:ascii="宋体" w:hAnsi="宋体"/>
                <w:color w:val="auto"/>
                <w:sz w:val="24"/>
                <w:highlight w:val="none"/>
              </w:rPr>
            </w:pPr>
          </w:p>
        </w:tc>
        <w:tc>
          <w:tcPr>
            <w:tcW w:w="0" w:type="auto"/>
            <w:tcBorders>
              <w:top w:val="single" w:color="auto" w:sz="4" w:space="0"/>
              <w:left w:val="single" w:color="auto" w:sz="4" w:space="0"/>
              <w:bottom w:val="single" w:color="auto" w:sz="4" w:space="0"/>
              <w:right w:val="single" w:color="auto" w:sz="4" w:space="0"/>
            </w:tcBorders>
          </w:tcPr>
          <w:p w14:paraId="30614124">
            <w:pPr>
              <w:keepNext w:val="0"/>
              <w:keepLines w:val="0"/>
              <w:suppressLineNumbers w:val="0"/>
              <w:snapToGrid w:val="0"/>
              <w:spacing w:before="0" w:beforeAutospacing="0" w:after="0" w:afterAutospacing="0" w:line="240" w:lineRule="exact"/>
              <w:ind w:left="0" w:right="0"/>
              <w:jc w:val="left"/>
              <w:rPr>
                <w:rFonts w:hint="default" w:ascii="宋体" w:hAnsi="宋体"/>
                <w:color w:val="auto"/>
                <w:sz w:val="24"/>
                <w:highlight w:val="none"/>
              </w:rPr>
            </w:pPr>
          </w:p>
        </w:tc>
        <w:tc>
          <w:tcPr>
            <w:tcW w:w="0" w:type="auto"/>
            <w:tcBorders>
              <w:top w:val="single" w:color="auto" w:sz="4" w:space="0"/>
              <w:left w:val="single" w:color="auto" w:sz="4" w:space="0"/>
              <w:bottom w:val="single" w:color="auto" w:sz="4" w:space="0"/>
              <w:right w:val="single" w:color="auto" w:sz="4" w:space="0"/>
            </w:tcBorders>
          </w:tcPr>
          <w:p w14:paraId="02B19393">
            <w:pPr>
              <w:keepNext w:val="0"/>
              <w:keepLines w:val="0"/>
              <w:suppressLineNumbers w:val="0"/>
              <w:snapToGrid w:val="0"/>
              <w:spacing w:before="0" w:beforeAutospacing="0" w:after="0" w:afterAutospacing="0" w:line="240" w:lineRule="exact"/>
              <w:ind w:left="0" w:right="0"/>
              <w:jc w:val="left"/>
              <w:rPr>
                <w:rFonts w:hint="default" w:ascii="宋体" w:hAnsi="宋体"/>
                <w:color w:val="auto"/>
                <w:sz w:val="24"/>
                <w:highlight w:val="none"/>
              </w:rPr>
            </w:pPr>
          </w:p>
        </w:tc>
      </w:tr>
      <w:tr w14:paraId="447F3C7F">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c>
          <w:tcPr>
            <w:tcW w:w="0" w:type="auto"/>
            <w:tcBorders>
              <w:top w:val="single" w:color="auto" w:sz="4" w:space="0"/>
              <w:left w:val="single" w:color="auto" w:sz="4" w:space="0"/>
              <w:bottom w:val="single" w:color="auto" w:sz="4" w:space="0"/>
              <w:right w:val="single" w:color="auto" w:sz="4" w:space="0"/>
            </w:tcBorders>
          </w:tcPr>
          <w:p w14:paraId="138E2C42">
            <w:pPr>
              <w:keepNext w:val="0"/>
              <w:keepLines w:val="0"/>
              <w:suppressLineNumbers w:val="0"/>
              <w:snapToGrid w:val="0"/>
              <w:spacing w:before="50" w:beforeAutospacing="0" w:after="165" w:afterLines="50" w:afterAutospacing="0" w:line="400" w:lineRule="exact"/>
              <w:ind w:left="0" w:right="0"/>
              <w:jc w:val="left"/>
              <w:rPr>
                <w:rFonts w:hint="default" w:ascii="宋体" w:hAnsi="宋体"/>
                <w:color w:val="auto"/>
                <w:sz w:val="24"/>
                <w:highlight w:val="none"/>
              </w:rPr>
            </w:pPr>
          </w:p>
        </w:tc>
        <w:tc>
          <w:tcPr>
            <w:tcW w:w="0" w:type="auto"/>
            <w:tcBorders>
              <w:top w:val="single" w:color="auto" w:sz="4" w:space="0"/>
              <w:left w:val="single" w:color="auto" w:sz="4" w:space="0"/>
              <w:bottom w:val="single" w:color="auto" w:sz="4" w:space="0"/>
              <w:right w:val="single" w:color="auto" w:sz="4" w:space="0"/>
            </w:tcBorders>
          </w:tcPr>
          <w:p w14:paraId="3D89AC8E">
            <w:pPr>
              <w:keepNext w:val="0"/>
              <w:keepLines w:val="0"/>
              <w:suppressLineNumbers w:val="0"/>
              <w:snapToGrid w:val="0"/>
              <w:spacing w:before="50" w:beforeAutospacing="0" w:after="165" w:afterLines="50" w:afterAutospacing="0" w:line="400" w:lineRule="exact"/>
              <w:ind w:left="0" w:right="0"/>
              <w:jc w:val="left"/>
              <w:rPr>
                <w:rFonts w:hint="default" w:ascii="宋体" w:hAnsi="宋体"/>
                <w:color w:val="auto"/>
                <w:sz w:val="24"/>
                <w:highlight w:val="none"/>
              </w:rPr>
            </w:pPr>
          </w:p>
        </w:tc>
        <w:tc>
          <w:tcPr>
            <w:tcW w:w="0" w:type="auto"/>
            <w:tcBorders>
              <w:top w:val="single" w:color="auto" w:sz="4" w:space="0"/>
              <w:left w:val="single" w:color="auto" w:sz="4" w:space="0"/>
              <w:bottom w:val="single" w:color="auto" w:sz="4" w:space="0"/>
              <w:right w:val="single" w:color="auto" w:sz="4" w:space="0"/>
            </w:tcBorders>
          </w:tcPr>
          <w:p w14:paraId="09DC4531">
            <w:pPr>
              <w:keepNext w:val="0"/>
              <w:keepLines w:val="0"/>
              <w:suppressLineNumbers w:val="0"/>
              <w:snapToGrid w:val="0"/>
              <w:spacing w:before="50" w:beforeAutospacing="0" w:after="165" w:afterLines="50" w:afterAutospacing="0" w:line="400" w:lineRule="exact"/>
              <w:ind w:left="0" w:right="0"/>
              <w:jc w:val="left"/>
              <w:rPr>
                <w:rFonts w:hint="default" w:ascii="宋体" w:hAnsi="宋体"/>
                <w:color w:val="auto"/>
                <w:sz w:val="24"/>
                <w:highlight w:val="none"/>
              </w:rPr>
            </w:pPr>
          </w:p>
        </w:tc>
        <w:tc>
          <w:tcPr>
            <w:tcW w:w="696" w:type="dxa"/>
            <w:tcBorders>
              <w:top w:val="single" w:color="auto" w:sz="4" w:space="0"/>
              <w:left w:val="single" w:color="auto" w:sz="4" w:space="0"/>
              <w:bottom w:val="single" w:color="auto" w:sz="4" w:space="0"/>
              <w:right w:val="single" w:color="auto" w:sz="4" w:space="0"/>
            </w:tcBorders>
          </w:tcPr>
          <w:p w14:paraId="1B757998">
            <w:pPr>
              <w:keepNext w:val="0"/>
              <w:keepLines w:val="0"/>
              <w:suppressLineNumbers w:val="0"/>
              <w:snapToGrid w:val="0"/>
              <w:spacing w:before="50" w:beforeAutospacing="0" w:after="165" w:afterLines="50" w:afterAutospacing="0" w:line="400" w:lineRule="exact"/>
              <w:ind w:left="0" w:right="0"/>
              <w:jc w:val="left"/>
              <w:rPr>
                <w:rFonts w:hint="default" w:ascii="宋体" w:hAnsi="宋体"/>
                <w:color w:val="auto"/>
                <w:sz w:val="24"/>
                <w:highlight w:val="none"/>
              </w:rPr>
            </w:pPr>
          </w:p>
        </w:tc>
        <w:tc>
          <w:tcPr>
            <w:tcW w:w="1176" w:type="dxa"/>
            <w:tcBorders>
              <w:top w:val="single" w:color="auto" w:sz="4" w:space="0"/>
              <w:left w:val="single" w:color="auto" w:sz="4" w:space="0"/>
              <w:bottom w:val="single" w:color="auto" w:sz="4" w:space="0"/>
              <w:right w:val="single" w:color="auto" w:sz="4" w:space="0"/>
            </w:tcBorders>
          </w:tcPr>
          <w:p w14:paraId="0EEEF083">
            <w:pPr>
              <w:keepNext w:val="0"/>
              <w:keepLines w:val="0"/>
              <w:suppressLineNumbers w:val="0"/>
              <w:snapToGrid w:val="0"/>
              <w:spacing w:before="50" w:beforeAutospacing="0" w:after="165" w:afterLines="50" w:afterAutospacing="0" w:line="400" w:lineRule="exact"/>
              <w:ind w:left="0" w:right="0"/>
              <w:jc w:val="left"/>
              <w:rPr>
                <w:rFonts w:hint="default" w:ascii="宋体" w:hAnsi="宋体"/>
                <w:color w:val="auto"/>
                <w:sz w:val="24"/>
                <w:highlight w:val="none"/>
              </w:rPr>
            </w:pPr>
          </w:p>
        </w:tc>
        <w:tc>
          <w:tcPr>
            <w:tcW w:w="0" w:type="auto"/>
            <w:tcBorders>
              <w:top w:val="single" w:color="auto" w:sz="4" w:space="0"/>
              <w:left w:val="single" w:color="auto" w:sz="4" w:space="0"/>
              <w:bottom w:val="single" w:color="auto" w:sz="4" w:space="0"/>
              <w:right w:val="single" w:color="auto" w:sz="4" w:space="0"/>
            </w:tcBorders>
          </w:tcPr>
          <w:p w14:paraId="3D1FFBB3">
            <w:pPr>
              <w:keepNext w:val="0"/>
              <w:keepLines w:val="0"/>
              <w:suppressLineNumbers w:val="0"/>
              <w:snapToGrid w:val="0"/>
              <w:spacing w:before="50" w:beforeAutospacing="0" w:after="165" w:afterLines="50" w:afterAutospacing="0" w:line="400" w:lineRule="exact"/>
              <w:ind w:left="0" w:right="0"/>
              <w:jc w:val="left"/>
              <w:rPr>
                <w:rFonts w:hint="default" w:ascii="宋体" w:hAnsi="宋体"/>
                <w:color w:val="auto"/>
                <w:sz w:val="24"/>
                <w:highlight w:val="none"/>
              </w:rPr>
            </w:pPr>
          </w:p>
        </w:tc>
        <w:tc>
          <w:tcPr>
            <w:tcW w:w="0" w:type="auto"/>
            <w:tcBorders>
              <w:top w:val="single" w:color="auto" w:sz="4" w:space="0"/>
              <w:left w:val="single" w:color="auto" w:sz="4" w:space="0"/>
              <w:bottom w:val="single" w:color="auto" w:sz="4" w:space="0"/>
              <w:right w:val="single" w:color="auto" w:sz="4" w:space="0"/>
            </w:tcBorders>
          </w:tcPr>
          <w:p w14:paraId="1A5E9FA4">
            <w:pPr>
              <w:keepNext w:val="0"/>
              <w:keepLines w:val="0"/>
              <w:suppressLineNumbers w:val="0"/>
              <w:snapToGrid w:val="0"/>
              <w:spacing w:before="50" w:beforeAutospacing="0" w:after="165" w:afterLines="50" w:afterAutospacing="0" w:line="400" w:lineRule="exact"/>
              <w:ind w:left="0" w:right="0"/>
              <w:jc w:val="left"/>
              <w:rPr>
                <w:rFonts w:hint="default" w:ascii="宋体" w:hAnsi="宋体"/>
                <w:color w:val="auto"/>
                <w:sz w:val="24"/>
                <w:highlight w:val="none"/>
              </w:rPr>
            </w:pPr>
          </w:p>
        </w:tc>
      </w:tr>
      <w:tr w14:paraId="44BA4981">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710" w:hRule="atLeast"/>
        </w:trPr>
        <w:tc>
          <w:tcPr>
            <w:tcW w:w="0" w:type="auto"/>
            <w:tcBorders>
              <w:top w:val="single" w:color="auto" w:sz="4" w:space="0"/>
              <w:left w:val="single" w:color="auto" w:sz="4" w:space="0"/>
              <w:bottom w:val="single" w:color="auto" w:sz="4" w:space="0"/>
              <w:right w:val="single" w:color="auto" w:sz="4" w:space="0"/>
            </w:tcBorders>
          </w:tcPr>
          <w:p w14:paraId="61CCA3EF">
            <w:pPr>
              <w:keepNext w:val="0"/>
              <w:keepLines w:val="0"/>
              <w:suppressLineNumbers w:val="0"/>
              <w:snapToGrid w:val="0"/>
              <w:spacing w:before="50" w:beforeAutospacing="0" w:after="165" w:afterLines="50" w:afterAutospacing="0" w:line="400" w:lineRule="exact"/>
              <w:ind w:left="0" w:right="0"/>
              <w:jc w:val="left"/>
              <w:rPr>
                <w:rFonts w:hint="default" w:ascii="宋体" w:hAnsi="宋体"/>
                <w:color w:val="auto"/>
                <w:sz w:val="24"/>
                <w:highlight w:val="none"/>
              </w:rPr>
            </w:pPr>
          </w:p>
        </w:tc>
        <w:tc>
          <w:tcPr>
            <w:tcW w:w="0" w:type="auto"/>
            <w:tcBorders>
              <w:top w:val="single" w:color="auto" w:sz="4" w:space="0"/>
              <w:left w:val="single" w:color="auto" w:sz="4" w:space="0"/>
              <w:bottom w:val="single" w:color="auto" w:sz="4" w:space="0"/>
              <w:right w:val="single" w:color="auto" w:sz="4" w:space="0"/>
            </w:tcBorders>
          </w:tcPr>
          <w:p w14:paraId="73FC28C9">
            <w:pPr>
              <w:keepNext w:val="0"/>
              <w:keepLines w:val="0"/>
              <w:suppressLineNumbers w:val="0"/>
              <w:snapToGrid w:val="0"/>
              <w:spacing w:before="50" w:beforeAutospacing="0" w:after="165" w:afterLines="50" w:afterAutospacing="0" w:line="400" w:lineRule="exact"/>
              <w:ind w:left="0" w:right="0"/>
              <w:jc w:val="left"/>
              <w:rPr>
                <w:rFonts w:hint="default" w:ascii="宋体" w:hAnsi="宋体"/>
                <w:color w:val="auto"/>
                <w:sz w:val="24"/>
                <w:highlight w:val="none"/>
              </w:rPr>
            </w:pPr>
          </w:p>
        </w:tc>
        <w:tc>
          <w:tcPr>
            <w:tcW w:w="0" w:type="auto"/>
            <w:tcBorders>
              <w:top w:val="single" w:color="auto" w:sz="4" w:space="0"/>
              <w:left w:val="single" w:color="auto" w:sz="4" w:space="0"/>
              <w:bottom w:val="single" w:color="auto" w:sz="4" w:space="0"/>
              <w:right w:val="single" w:color="auto" w:sz="4" w:space="0"/>
            </w:tcBorders>
          </w:tcPr>
          <w:p w14:paraId="34D06031">
            <w:pPr>
              <w:keepNext w:val="0"/>
              <w:keepLines w:val="0"/>
              <w:suppressLineNumbers w:val="0"/>
              <w:snapToGrid w:val="0"/>
              <w:spacing w:before="50" w:beforeAutospacing="0" w:after="165" w:afterLines="50" w:afterAutospacing="0" w:line="400" w:lineRule="exact"/>
              <w:ind w:left="0" w:right="0"/>
              <w:jc w:val="left"/>
              <w:rPr>
                <w:rFonts w:hint="default" w:ascii="宋体" w:hAnsi="宋体"/>
                <w:color w:val="auto"/>
                <w:sz w:val="24"/>
                <w:highlight w:val="none"/>
              </w:rPr>
            </w:pPr>
          </w:p>
        </w:tc>
        <w:tc>
          <w:tcPr>
            <w:tcW w:w="696" w:type="dxa"/>
            <w:tcBorders>
              <w:top w:val="single" w:color="auto" w:sz="4" w:space="0"/>
              <w:left w:val="single" w:color="auto" w:sz="4" w:space="0"/>
              <w:bottom w:val="single" w:color="auto" w:sz="4" w:space="0"/>
              <w:right w:val="single" w:color="auto" w:sz="4" w:space="0"/>
            </w:tcBorders>
          </w:tcPr>
          <w:p w14:paraId="54CEB42A">
            <w:pPr>
              <w:keepNext w:val="0"/>
              <w:keepLines w:val="0"/>
              <w:suppressLineNumbers w:val="0"/>
              <w:snapToGrid w:val="0"/>
              <w:spacing w:before="50" w:beforeAutospacing="0" w:after="165" w:afterLines="50" w:afterAutospacing="0" w:line="400" w:lineRule="exact"/>
              <w:ind w:left="0" w:right="0"/>
              <w:jc w:val="left"/>
              <w:rPr>
                <w:rFonts w:hint="default" w:ascii="宋体" w:hAnsi="宋体"/>
                <w:color w:val="auto"/>
                <w:sz w:val="24"/>
                <w:highlight w:val="none"/>
              </w:rPr>
            </w:pPr>
          </w:p>
        </w:tc>
        <w:tc>
          <w:tcPr>
            <w:tcW w:w="1176" w:type="dxa"/>
            <w:tcBorders>
              <w:top w:val="single" w:color="auto" w:sz="4" w:space="0"/>
              <w:left w:val="single" w:color="auto" w:sz="4" w:space="0"/>
              <w:bottom w:val="single" w:color="auto" w:sz="4" w:space="0"/>
              <w:right w:val="single" w:color="auto" w:sz="4" w:space="0"/>
            </w:tcBorders>
          </w:tcPr>
          <w:p w14:paraId="0B79523C">
            <w:pPr>
              <w:keepNext w:val="0"/>
              <w:keepLines w:val="0"/>
              <w:suppressLineNumbers w:val="0"/>
              <w:snapToGrid w:val="0"/>
              <w:spacing w:before="50" w:beforeAutospacing="0" w:after="165" w:afterLines="50" w:afterAutospacing="0" w:line="400" w:lineRule="exact"/>
              <w:ind w:left="0" w:right="0"/>
              <w:jc w:val="left"/>
              <w:rPr>
                <w:rFonts w:hint="default" w:ascii="宋体" w:hAnsi="宋体"/>
                <w:color w:val="auto"/>
                <w:sz w:val="24"/>
                <w:highlight w:val="none"/>
              </w:rPr>
            </w:pPr>
          </w:p>
        </w:tc>
        <w:tc>
          <w:tcPr>
            <w:tcW w:w="0" w:type="auto"/>
            <w:tcBorders>
              <w:top w:val="single" w:color="auto" w:sz="4" w:space="0"/>
              <w:left w:val="single" w:color="auto" w:sz="4" w:space="0"/>
              <w:bottom w:val="single" w:color="auto" w:sz="4" w:space="0"/>
              <w:right w:val="single" w:color="auto" w:sz="4" w:space="0"/>
            </w:tcBorders>
          </w:tcPr>
          <w:p w14:paraId="73E3433D">
            <w:pPr>
              <w:keepNext w:val="0"/>
              <w:keepLines w:val="0"/>
              <w:suppressLineNumbers w:val="0"/>
              <w:snapToGrid w:val="0"/>
              <w:spacing w:before="50" w:beforeAutospacing="0" w:after="165" w:afterLines="50" w:afterAutospacing="0" w:line="400" w:lineRule="exact"/>
              <w:ind w:left="0" w:right="0"/>
              <w:jc w:val="left"/>
              <w:rPr>
                <w:rFonts w:hint="default" w:ascii="宋体" w:hAnsi="宋体"/>
                <w:color w:val="auto"/>
                <w:sz w:val="24"/>
                <w:highlight w:val="none"/>
              </w:rPr>
            </w:pPr>
          </w:p>
        </w:tc>
        <w:tc>
          <w:tcPr>
            <w:tcW w:w="0" w:type="auto"/>
            <w:tcBorders>
              <w:top w:val="single" w:color="auto" w:sz="4" w:space="0"/>
              <w:left w:val="single" w:color="auto" w:sz="4" w:space="0"/>
              <w:bottom w:val="single" w:color="auto" w:sz="4" w:space="0"/>
              <w:right w:val="single" w:color="auto" w:sz="4" w:space="0"/>
            </w:tcBorders>
          </w:tcPr>
          <w:p w14:paraId="7D3E202A">
            <w:pPr>
              <w:keepNext w:val="0"/>
              <w:keepLines w:val="0"/>
              <w:suppressLineNumbers w:val="0"/>
              <w:snapToGrid w:val="0"/>
              <w:spacing w:before="50" w:beforeAutospacing="0" w:after="165" w:afterLines="50" w:afterAutospacing="0" w:line="400" w:lineRule="exact"/>
              <w:ind w:left="0" w:right="0"/>
              <w:jc w:val="left"/>
              <w:rPr>
                <w:rFonts w:hint="default" w:ascii="宋体" w:hAnsi="宋体"/>
                <w:color w:val="auto"/>
                <w:sz w:val="24"/>
                <w:highlight w:val="none"/>
              </w:rPr>
            </w:pPr>
          </w:p>
        </w:tc>
      </w:tr>
      <w:tr w14:paraId="0305E87A">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c>
          <w:tcPr>
            <w:tcW w:w="0" w:type="auto"/>
            <w:tcBorders>
              <w:top w:val="single" w:color="auto" w:sz="4" w:space="0"/>
              <w:left w:val="single" w:color="auto" w:sz="4" w:space="0"/>
              <w:bottom w:val="single" w:color="auto" w:sz="4" w:space="0"/>
              <w:right w:val="single" w:color="auto" w:sz="4" w:space="0"/>
            </w:tcBorders>
          </w:tcPr>
          <w:p w14:paraId="6FFF322E">
            <w:pPr>
              <w:keepNext w:val="0"/>
              <w:keepLines w:val="0"/>
              <w:suppressLineNumbers w:val="0"/>
              <w:snapToGrid w:val="0"/>
              <w:spacing w:before="50" w:beforeAutospacing="0" w:after="165" w:afterLines="50" w:afterAutospacing="0" w:line="400" w:lineRule="exact"/>
              <w:ind w:left="0" w:right="0"/>
              <w:jc w:val="left"/>
              <w:rPr>
                <w:rFonts w:hint="default" w:ascii="宋体" w:hAnsi="宋体"/>
                <w:color w:val="auto"/>
                <w:sz w:val="24"/>
                <w:highlight w:val="none"/>
              </w:rPr>
            </w:pPr>
          </w:p>
        </w:tc>
        <w:tc>
          <w:tcPr>
            <w:tcW w:w="0" w:type="auto"/>
            <w:tcBorders>
              <w:top w:val="single" w:color="auto" w:sz="4" w:space="0"/>
              <w:left w:val="single" w:color="auto" w:sz="4" w:space="0"/>
              <w:bottom w:val="single" w:color="auto" w:sz="4" w:space="0"/>
              <w:right w:val="single" w:color="auto" w:sz="4" w:space="0"/>
            </w:tcBorders>
          </w:tcPr>
          <w:p w14:paraId="1B077582">
            <w:pPr>
              <w:keepNext w:val="0"/>
              <w:keepLines w:val="0"/>
              <w:suppressLineNumbers w:val="0"/>
              <w:snapToGrid w:val="0"/>
              <w:spacing w:before="50" w:beforeAutospacing="0" w:after="165" w:afterLines="50" w:afterAutospacing="0" w:line="400" w:lineRule="exact"/>
              <w:ind w:left="0" w:right="0"/>
              <w:jc w:val="left"/>
              <w:rPr>
                <w:rFonts w:hint="default" w:ascii="宋体" w:hAnsi="宋体"/>
                <w:color w:val="auto"/>
                <w:sz w:val="24"/>
                <w:highlight w:val="none"/>
              </w:rPr>
            </w:pPr>
          </w:p>
        </w:tc>
        <w:tc>
          <w:tcPr>
            <w:tcW w:w="0" w:type="auto"/>
            <w:tcBorders>
              <w:top w:val="single" w:color="auto" w:sz="4" w:space="0"/>
              <w:left w:val="single" w:color="auto" w:sz="4" w:space="0"/>
              <w:bottom w:val="single" w:color="auto" w:sz="4" w:space="0"/>
              <w:right w:val="single" w:color="auto" w:sz="4" w:space="0"/>
            </w:tcBorders>
          </w:tcPr>
          <w:p w14:paraId="7B2BFA34">
            <w:pPr>
              <w:keepNext w:val="0"/>
              <w:keepLines w:val="0"/>
              <w:suppressLineNumbers w:val="0"/>
              <w:snapToGrid w:val="0"/>
              <w:spacing w:before="50" w:beforeAutospacing="0" w:after="165" w:afterLines="50" w:afterAutospacing="0" w:line="400" w:lineRule="exact"/>
              <w:ind w:left="0" w:right="0"/>
              <w:jc w:val="left"/>
              <w:rPr>
                <w:rFonts w:hint="default" w:ascii="宋体" w:hAnsi="宋体"/>
                <w:color w:val="auto"/>
                <w:sz w:val="24"/>
                <w:highlight w:val="none"/>
              </w:rPr>
            </w:pPr>
          </w:p>
        </w:tc>
        <w:tc>
          <w:tcPr>
            <w:tcW w:w="696" w:type="dxa"/>
            <w:tcBorders>
              <w:top w:val="single" w:color="auto" w:sz="4" w:space="0"/>
              <w:left w:val="single" w:color="auto" w:sz="4" w:space="0"/>
              <w:bottom w:val="single" w:color="auto" w:sz="4" w:space="0"/>
              <w:right w:val="single" w:color="auto" w:sz="4" w:space="0"/>
            </w:tcBorders>
          </w:tcPr>
          <w:p w14:paraId="175BC1B9">
            <w:pPr>
              <w:keepNext w:val="0"/>
              <w:keepLines w:val="0"/>
              <w:suppressLineNumbers w:val="0"/>
              <w:snapToGrid w:val="0"/>
              <w:spacing w:before="50" w:beforeAutospacing="0" w:after="165" w:afterLines="50" w:afterAutospacing="0" w:line="400" w:lineRule="exact"/>
              <w:ind w:left="0" w:right="0"/>
              <w:jc w:val="left"/>
              <w:rPr>
                <w:rFonts w:hint="default" w:ascii="宋体" w:hAnsi="宋体"/>
                <w:color w:val="auto"/>
                <w:sz w:val="24"/>
                <w:highlight w:val="none"/>
              </w:rPr>
            </w:pPr>
          </w:p>
        </w:tc>
        <w:tc>
          <w:tcPr>
            <w:tcW w:w="1176" w:type="dxa"/>
            <w:tcBorders>
              <w:top w:val="single" w:color="auto" w:sz="4" w:space="0"/>
              <w:left w:val="single" w:color="auto" w:sz="4" w:space="0"/>
              <w:bottom w:val="single" w:color="auto" w:sz="4" w:space="0"/>
              <w:right w:val="single" w:color="auto" w:sz="4" w:space="0"/>
            </w:tcBorders>
          </w:tcPr>
          <w:p w14:paraId="26EA23A8">
            <w:pPr>
              <w:keepNext w:val="0"/>
              <w:keepLines w:val="0"/>
              <w:suppressLineNumbers w:val="0"/>
              <w:snapToGrid w:val="0"/>
              <w:spacing w:before="50" w:beforeAutospacing="0" w:after="165" w:afterLines="50" w:afterAutospacing="0" w:line="400" w:lineRule="exact"/>
              <w:ind w:left="0" w:right="0"/>
              <w:jc w:val="left"/>
              <w:rPr>
                <w:rFonts w:hint="default" w:ascii="宋体" w:hAnsi="宋体"/>
                <w:color w:val="auto"/>
                <w:sz w:val="24"/>
                <w:highlight w:val="none"/>
              </w:rPr>
            </w:pPr>
          </w:p>
        </w:tc>
        <w:tc>
          <w:tcPr>
            <w:tcW w:w="0" w:type="auto"/>
            <w:tcBorders>
              <w:top w:val="single" w:color="auto" w:sz="4" w:space="0"/>
              <w:left w:val="single" w:color="auto" w:sz="4" w:space="0"/>
              <w:bottom w:val="single" w:color="auto" w:sz="4" w:space="0"/>
              <w:right w:val="single" w:color="auto" w:sz="4" w:space="0"/>
            </w:tcBorders>
          </w:tcPr>
          <w:p w14:paraId="442D9BD1">
            <w:pPr>
              <w:keepNext w:val="0"/>
              <w:keepLines w:val="0"/>
              <w:suppressLineNumbers w:val="0"/>
              <w:snapToGrid w:val="0"/>
              <w:spacing w:before="50" w:beforeAutospacing="0" w:after="165" w:afterLines="50" w:afterAutospacing="0" w:line="400" w:lineRule="exact"/>
              <w:ind w:left="0" w:right="0"/>
              <w:jc w:val="left"/>
              <w:rPr>
                <w:rFonts w:hint="default" w:ascii="宋体" w:hAnsi="宋体"/>
                <w:color w:val="auto"/>
                <w:sz w:val="24"/>
                <w:highlight w:val="none"/>
              </w:rPr>
            </w:pPr>
          </w:p>
        </w:tc>
        <w:tc>
          <w:tcPr>
            <w:tcW w:w="0" w:type="auto"/>
            <w:tcBorders>
              <w:top w:val="single" w:color="auto" w:sz="4" w:space="0"/>
              <w:left w:val="single" w:color="auto" w:sz="4" w:space="0"/>
              <w:bottom w:val="single" w:color="auto" w:sz="4" w:space="0"/>
              <w:right w:val="single" w:color="auto" w:sz="4" w:space="0"/>
            </w:tcBorders>
          </w:tcPr>
          <w:p w14:paraId="0667E1E5">
            <w:pPr>
              <w:keepNext w:val="0"/>
              <w:keepLines w:val="0"/>
              <w:suppressLineNumbers w:val="0"/>
              <w:snapToGrid w:val="0"/>
              <w:spacing w:before="50" w:beforeAutospacing="0" w:after="165" w:afterLines="50" w:afterAutospacing="0" w:line="400" w:lineRule="exact"/>
              <w:ind w:left="0" w:right="0"/>
              <w:jc w:val="left"/>
              <w:rPr>
                <w:rFonts w:hint="default" w:ascii="宋体" w:hAnsi="宋体"/>
                <w:color w:val="auto"/>
                <w:sz w:val="24"/>
                <w:highlight w:val="none"/>
              </w:rPr>
            </w:pPr>
          </w:p>
        </w:tc>
      </w:tr>
      <w:tr w14:paraId="621395CC">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c>
          <w:tcPr>
            <w:tcW w:w="0" w:type="auto"/>
            <w:tcBorders>
              <w:top w:val="single" w:color="auto" w:sz="4" w:space="0"/>
              <w:left w:val="single" w:color="auto" w:sz="4" w:space="0"/>
              <w:bottom w:val="single" w:color="auto" w:sz="4" w:space="0"/>
              <w:right w:val="single" w:color="auto" w:sz="4" w:space="0"/>
            </w:tcBorders>
          </w:tcPr>
          <w:p w14:paraId="2BEF2DC0">
            <w:pPr>
              <w:keepNext w:val="0"/>
              <w:keepLines w:val="0"/>
              <w:suppressLineNumbers w:val="0"/>
              <w:snapToGrid w:val="0"/>
              <w:spacing w:before="50" w:beforeAutospacing="0" w:after="165" w:afterLines="50" w:afterAutospacing="0" w:line="400" w:lineRule="exact"/>
              <w:ind w:left="0" w:right="0"/>
              <w:jc w:val="left"/>
              <w:rPr>
                <w:rFonts w:hint="default" w:ascii="宋体" w:hAnsi="宋体"/>
                <w:color w:val="auto"/>
                <w:sz w:val="24"/>
                <w:highlight w:val="none"/>
              </w:rPr>
            </w:pPr>
          </w:p>
        </w:tc>
        <w:tc>
          <w:tcPr>
            <w:tcW w:w="0" w:type="auto"/>
            <w:tcBorders>
              <w:top w:val="single" w:color="auto" w:sz="4" w:space="0"/>
              <w:left w:val="single" w:color="auto" w:sz="4" w:space="0"/>
              <w:bottom w:val="single" w:color="auto" w:sz="4" w:space="0"/>
              <w:right w:val="single" w:color="auto" w:sz="4" w:space="0"/>
            </w:tcBorders>
          </w:tcPr>
          <w:p w14:paraId="0BC67ACB">
            <w:pPr>
              <w:keepNext w:val="0"/>
              <w:keepLines w:val="0"/>
              <w:suppressLineNumbers w:val="0"/>
              <w:snapToGrid w:val="0"/>
              <w:spacing w:before="50" w:beforeAutospacing="0" w:after="165" w:afterLines="50" w:afterAutospacing="0" w:line="400" w:lineRule="exact"/>
              <w:ind w:left="0" w:right="0"/>
              <w:jc w:val="left"/>
              <w:rPr>
                <w:rFonts w:hint="default" w:ascii="宋体" w:hAnsi="宋体"/>
                <w:color w:val="auto"/>
                <w:sz w:val="24"/>
                <w:highlight w:val="none"/>
              </w:rPr>
            </w:pPr>
          </w:p>
        </w:tc>
        <w:tc>
          <w:tcPr>
            <w:tcW w:w="0" w:type="auto"/>
            <w:tcBorders>
              <w:top w:val="single" w:color="auto" w:sz="4" w:space="0"/>
              <w:left w:val="single" w:color="auto" w:sz="4" w:space="0"/>
              <w:bottom w:val="single" w:color="auto" w:sz="4" w:space="0"/>
              <w:right w:val="single" w:color="auto" w:sz="4" w:space="0"/>
            </w:tcBorders>
          </w:tcPr>
          <w:p w14:paraId="7BF7DA01">
            <w:pPr>
              <w:keepNext w:val="0"/>
              <w:keepLines w:val="0"/>
              <w:suppressLineNumbers w:val="0"/>
              <w:snapToGrid w:val="0"/>
              <w:spacing w:before="50" w:beforeAutospacing="0" w:after="165" w:afterLines="50" w:afterAutospacing="0" w:line="400" w:lineRule="exact"/>
              <w:ind w:left="0" w:right="0"/>
              <w:jc w:val="left"/>
              <w:rPr>
                <w:rFonts w:hint="default" w:ascii="宋体" w:hAnsi="宋体"/>
                <w:color w:val="auto"/>
                <w:sz w:val="24"/>
                <w:highlight w:val="none"/>
              </w:rPr>
            </w:pPr>
          </w:p>
        </w:tc>
        <w:tc>
          <w:tcPr>
            <w:tcW w:w="696" w:type="dxa"/>
            <w:tcBorders>
              <w:top w:val="single" w:color="auto" w:sz="4" w:space="0"/>
              <w:left w:val="single" w:color="auto" w:sz="4" w:space="0"/>
              <w:bottom w:val="single" w:color="auto" w:sz="4" w:space="0"/>
              <w:right w:val="single" w:color="auto" w:sz="4" w:space="0"/>
            </w:tcBorders>
          </w:tcPr>
          <w:p w14:paraId="2977544C">
            <w:pPr>
              <w:keepNext w:val="0"/>
              <w:keepLines w:val="0"/>
              <w:suppressLineNumbers w:val="0"/>
              <w:snapToGrid w:val="0"/>
              <w:spacing w:before="50" w:beforeAutospacing="0" w:after="165" w:afterLines="50" w:afterAutospacing="0" w:line="400" w:lineRule="exact"/>
              <w:ind w:left="0" w:right="0"/>
              <w:jc w:val="left"/>
              <w:rPr>
                <w:rFonts w:hint="default" w:ascii="宋体" w:hAnsi="宋体"/>
                <w:color w:val="auto"/>
                <w:sz w:val="24"/>
                <w:highlight w:val="none"/>
              </w:rPr>
            </w:pPr>
          </w:p>
        </w:tc>
        <w:tc>
          <w:tcPr>
            <w:tcW w:w="1176" w:type="dxa"/>
            <w:tcBorders>
              <w:top w:val="single" w:color="auto" w:sz="4" w:space="0"/>
              <w:left w:val="single" w:color="auto" w:sz="4" w:space="0"/>
              <w:bottom w:val="single" w:color="auto" w:sz="4" w:space="0"/>
              <w:right w:val="single" w:color="auto" w:sz="4" w:space="0"/>
            </w:tcBorders>
          </w:tcPr>
          <w:p w14:paraId="2ACF70F5">
            <w:pPr>
              <w:keepNext w:val="0"/>
              <w:keepLines w:val="0"/>
              <w:suppressLineNumbers w:val="0"/>
              <w:snapToGrid w:val="0"/>
              <w:spacing w:before="50" w:beforeAutospacing="0" w:after="165" w:afterLines="50" w:afterAutospacing="0" w:line="400" w:lineRule="exact"/>
              <w:ind w:left="0" w:right="0"/>
              <w:jc w:val="left"/>
              <w:rPr>
                <w:rFonts w:hint="default" w:ascii="宋体" w:hAnsi="宋体"/>
                <w:color w:val="auto"/>
                <w:sz w:val="24"/>
                <w:highlight w:val="none"/>
              </w:rPr>
            </w:pPr>
          </w:p>
        </w:tc>
        <w:tc>
          <w:tcPr>
            <w:tcW w:w="0" w:type="auto"/>
            <w:tcBorders>
              <w:top w:val="single" w:color="auto" w:sz="4" w:space="0"/>
              <w:left w:val="single" w:color="auto" w:sz="4" w:space="0"/>
              <w:bottom w:val="single" w:color="auto" w:sz="4" w:space="0"/>
              <w:right w:val="single" w:color="auto" w:sz="4" w:space="0"/>
            </w:tcBorders>
          </w:tcPr>
          <w:p w14:paraId="0CC7DE1B">
            <w:pPr>
              <w:keepNext w:val="0"/>
              <w:keepLines w:val="0"/>
              <w:suppressLineNumbers w:val="0"/>
              <w:snapToGrid w:val="0"/>
              <w:spacing w:before="50" w:beforeAutospacing="0" w:after="165" w:afterLines="50" w:afterAutospacing="0" w:line="400" w:lineRule="exact"/>
              <w:ind w:left="0" w:right="0"/>
              <w:jc w:val="left"/>
              <w:rPr>
                <w:rFonts w:hint="default" w:ascii="宋体" w:hAnsi="宋体"/>
                <w:color w:val="auto"/>
                <w:sz w:val="24"/>
                <w:highlight w:val="none"/>
              </w:rPr>
            </w:pPr>
          </w:p>
        </w:tc>
        <w:tc>
          <w:tcPr>
            <w:tcW w:w="0" w:type="auto"/>
            <w:tcBorders>
              <w:top w:val="single" w:color="auto" w:sz="4" w:space="0"/>
              <w:left w:val="single" w:color="auto" w:sz="4" w:space="0"/>
              <w:bottom w:val="single" w:color="auto" w:sz="4" w:space="0"/>
              <w:right w:val="single" w:color="auto" w:sz="4" w:space="0"/>
            </w:tcBorders>
          </w:tcPr>
          <w:p w14:paraId="1021D686">
            <w:pPr>
              <w:keepNext w:val="0"/>
              <w:keepLines w:val="0"/>
              <w:suppressLineNumbers w:val="0"/>
              <w:snapToGrid w:val="0"/>
              <w:spacing w:before="50" w:beforeAutospacing="0" w:after="165" w:afterLines="50" w:afterAutospacing="0" w:line="400" w:lineRule="exact"/>
              <w:ind w:left="0" w:right="0"/>
              <w:jc w:val="left"/>
              <w:rPr>
                <w:rFonts w:hint="default" w:ascii="宋体" w:hAnsi="宋体"/>
                <w:color w:val="auto"/>
                <w:sz w:val="24"/>
                <w:highlight w:val="none"/>
              </w:rPr>
            </w:pPr>
          </w:p>
        </w:tc>
      </w:tr>
    </w:tbl>
    <w:p w14:paraId="465F4C20">
      <w:pPr>
        <w:pStyle w:val="7"/>
        <w:spacing w:line="360" w:lineRule="auto"/>
        <w:ind w:left="72"/>
        <w:rPr>
          <w:rFonts w:ascii="Times New Roman" w:hAnsi="Times New Roman"/>
          <w:color w:val="auto"/>
          <w:highlight w:val="none"/>
        </w:rPr>
      </w:pPr>
      <w:r>
        <w:rPr>
          <w:rFonts w:hint="eastAsia" w:ascii="Times New Roman" w:hAnsi="Times New Roman"/>
          <w:color w:val="auto"/>
          <w:highlight w:val="none"/>
        </w:rPr>
        <w:t>注：投标人可按上述格式自行编制，须随表提交相应的合同复印件和用户单位验收证明并注明所在投标人商务技术文件页码。</w:t>
      </w:r>
    </w:p>
    <w:p w14:paraId="7D3937FD">
      <w:pPr>
        <w:snapToGrid w:val="0"/>
        <w:spacing w:line="360" w:lineRule="auto"/>
        <w:ind w:firstLine="4935" w:firstLineChars="2350"/>
        <w:rPr>
          <w:rFonts w:hAnsi="宋体"/>
          <w:color w:val="auto"/>
          <w:szCs w:val="21"/>
          <w:highlight w:val="none"/>
        </w:rPr>
      </w:pPr>
    </w:p>
    <w:p w14:paraId="39A722E2">
      <w:pPr>
        <w:snapToGrid w:val="0"/>
        <w:spacing w:line="360" w:lineRule="auto"/>
        <w:ind w:firstLine="4935" w:firstLineChars="2350"/>
        <w:rPr>
          <w:rFonts w:hAnsi="宋体"/>
          <w:color w:val="auto"/>
          <w:szCs w:val="21"/>
          <w:highlight w:val="none"/>
        </w:rPr>
      </w:pPr>
    </w:p>
    <w:p w14:paraId="4F7ED6B1">
      <w:pPr>
        <w:snapToGrid w:val="0"/>
        <w:spacing w:line="360" w:lineRule="auto"/>
        <w:ind w:firstLine="11520" w:firstLineChars="4800"/>
        <w:rPr>
          <w:rFonts w:ascii="方正仿宋_GB2312" w:hAnsi="仿宋" w:eastAsia="方正仿宋_GB2312" w:cs="方正仿宋_GB2312"/>
          <w:color w:val="auto"/>
          <w:kern w:val="0"/>
          <w:sz w:val="24"/>
          <w:highlight w:val="none"/>
        </w:rPr>
      </w:pPr>
      <w:r>
        <w:rPr>
          <w:rFonts w:hint="eastAsia" w:ascii="方正仿宋_GB2312" w:hAnsi="仿宋" w:eastAsia="方正仿宋_GB2312" w:cs="方正仿宋_GB2312"/>
          <w:color w:val="auto"/>
          <w:kern w:val="0"/>
          <w:sz w:val="24"/>
          <w:highlight w:val="none"/>
          <w:lang w:val="zh-CN"/>
        </w:rPr>
        <w:t>投标人名称(电子签章)：</w:t>
      </w:r>
    </w:p>
    <w:p w14:paraId="43F8A125">
      <w:pPr>
        <w:snapToGrid w:val="0"/>
        <w:spacing w:line="360" w:lineRule="auto"/>
        <w:ind w:firstLine="10080" w:firstLineChars="4200"/>
        <w:rPr>
          <w:rFonts w:ascii="方正仿宋_GB2312" w:hAnsi="仿宋" w:eastAsia="方正仿宋_GB2312" w:cs="方正仿宋_GB2312"/>
          <w:color w:val="auto"/>
          <w:kern w:val="0"/>
          <w:sz w:val="24"/>
          <w:highlight w:val="none"/>
          <w:lang w:val="zh-CN"/>
        </w:rPr>
      </w:pPr>
      <w:r>
        <w:rPr>
          <w:rFonts w:hint="eastAsia" w:ascii="方正仿宋_GB2312" w:hAnsi="仿宋" w:eastAsia="方正仿宋_GB2312" w:cs="方正仿宋_GB2312"/>
          <w:color w:val="auto"/>
          <w:kern w:val="0"/>
          <w:sz w:val="24"/>
          <w:highlight w:val="none"/>
          <w:lang w:val="zh-CN"/>
        </w:rPr>
        <w:t>日期</w:t>
      </w:r>
      <w:r>
        <w:rPr>
          <w:rFonts w:hint="eastAsia" w:ascii="方正仿宋_GB2312" w:hAnsi="仿宋" w:eastAsia="方正仿宋_GB2312" w:cs="方正仿宋_GB2312"/>
          <w:color w:val="auto"/>
          <w:kern w:val="0"/>
          <w:sz w:val="24"/>
          <w:highlight w:val="none"/>
        </w:rPr>
        <w:t xml:space="preserve">：  年  </w:t>
      </w:r>
      <w:r>
        <w:rPr>
          <w:rFonts w:hint="eastAsia" w:ascii="方正仿宋_GB2312" w:hAnsi="仿宋" w:eastAsia="方正仿宋_GB2312" w:cs="方正仿宋_GB2312"/>
          <w:color w:val="auto"/>
          <w:kern w:val="0"/>
          <w:sz w:val="24"/>
          <w:highlight w:val="none"/>
          <w:lang w:val="zh-CN"/>
        </w:rPr>
        <w:t>月日</w:t>
      </w:r>
    </w:p>
    <w:p w14:paraId="4E37040A">
      <w:pPr>
        <w:widowControl/>
        <w:spacing w:line="360" w:lineRule="auto"/>
        <w:jc w:val="left"/>
        <w:rPr>
          <w:rFonts w:ascii="方正仿宋_GB2312" w:hAnsi="仿宋" w:eastAsia="方正仿宋_GB2312" w:cs="方正仿宋_GB2312"/>
          <w:color w:val="auto"/>
          <w:kern w:val="0"/>
          <w:sz w:val="24"/>
          <w:highlight w:val="none"/>
          <w:lang w:val="zh-CN"/>
        </w:rPr>
        <w:sectPr>
          <w:pgSz w:w="11906" w:h="16838"/>
          <w:pgMar w:top="1134" w:right="1134" w:bottom="1134" w:left="1134" w:header="720" w:footer="720" w:gutter="0"/>
          <w:pgNumType w:fmt="decimal"/>
          <w:cols w:space="720" w:num="1"/>
          <w:docGrid w:type="lines" w:linePitch="331" w:charSpace="0"/>
        </w:sectPr>
      </w:pPr>
    </w:p>
    <w:p w14:paraId="1BC9DBDC">
      <w:pPr>
        <w:pStyle w:val="7"/>
        <w:jc w:val="center"/>
        <w:outlineLvl w:val="1"/>
        <w:rPr>
          <w:rFonts w:hAnsi="宋体"/>
          <w:b/>
          <w:bCs/>
          <w:color w:val="auto"/>
          <w:sz w:val="28"/>
          <w:szCs w:val="28"/>
          <w:highlight w:val="none"/>
        </w:rPr>
      </w:pPr>
      <w:bookmarkStart w:id="324" w:name="_Toc19686839"/>
      <w:bookmarkStart w:id="325" w:name="_Toc187761575"/>
      <w:r>
        <w:rPr>
          <w:rFonts w:hint="eastAsia" w:hAnsi="宋体"/>
          <w:b/>
          <w:bCs/>
          <w:color w:val="auto"/>
          <w:sz w:val="28"/>
          <w:szCs w:val="28"/>
          <w:highlight w:val="none"/>
        </w:rPr>
        <w:t>第四节 技术文件格式</w:t>
      </w:r>
      <w:bookmarkEnd w:id="324"/>
      <w:bookmarkEnd w:id="325"/>
    </w:p>
    <w:p w14:paraId="5419256A">
      <w:pPr>
        <w:snapToGrid w:val="0"/>
        <w:spacing w:before="165" w:beforeLines="50" w:after="50"/>
        <w:rPr>
          <w:rFonts w:ascii="宋体" w:hAnsi="宋体"/>
          <w:bCs/>
          <w:color w:val="auto"/>
          <w:sz w:val="32"/>
          <w:szCs w:val="20"/>
          <w:highlight w:val="none"/>
        </w:rPr>
      </w:pPr>
      <w:r>
        <w:rPr>
          <w:rFonts w:hint="eastAsia" w:ascii="宋体" w:hAnsi="宋体"/>
          <w:bCs/>
          <w:color w:val="auto"/>
          <w:highlight w:val="none"/>
        </w:rPr>
        <w:t>电子投标文件</w:t>
      </w:r>
    </w:p>
    <w:p w14:paraId="708B8406">
      <w:pPr>
        <w:snapToGrid w:val="0"/>
        <w:spacing w:before="165" w:beforeLines="50" w:after="50"/>
        <w:rPr>
          <w:rFonts w:ascii="宋体" w:hAnsi="宋体"/>
          <w:color w:val="auto"/>
          <w:sz w:val="24"/>
          <w:szCs w:val="20"/>
          <w:highlight w:val="none"/>
        </w:rPr>
      </w:pPr>
    </w:p>
    <w:p w14:paraId="45986289">
      <w:pPr>
        <w:snapToGrid w:val="0"/>
        <w:spacing w:before="165" w:beforeLines="50" w:after="50"/>
        <w:jc w:val="center"/>
        <w:rPr>
          <w:rFonts w:ascii="宋体" w:hAnsi="宋体"/>
          <w:b/>
          <w:bCs/>
          <w:color w:val="auto"/>
          <w:sz w:val="32"/>
          <w:szCs w:val="32"/>
          <w:highlight w:val="none"/>
        </w:rPr>
      </w:pPr>
    </w:p>
    <w:p w14:paraId="7AE5B609">
      <w:pPr>
        <w:snapToGrid w:val="0"/>
        <w:spacing w:before="165" w:beforeLines="50" w:after="50"/>
        <w:jc w:val="center"/>
        <w:rPr>
          <w:rFonts w:ascii="宋体" w:hAnsi="宋体"/>
          <w:b/>
          <w:bCs/>
          <w:color w:val="auto"/>
          <w:sz w:val="32"/>
          <w:szCs w:val="32"/>
          <w:highlight w:val="none"/>
        </w:rPr>
      </w:pPr>
    </w:p>
    <w:p w14:paraId="4C6EC755">
      <w:pPr>
        <w:snapToGrid w:val="0"/>
        <w:spacing w:before="165" w:beforeLines="50" w:after="50"/>
        <w:jc w:val="center"/>
        <w:rPr>
          <w:rFonts w:ascii="宋体" w:hAnsi="宋体"/>
          <w:b/>
          <w:bCs/>
          <w:color w:val="auto"/>
          <w:sz w:val="32"/>
          <w:szCs w:val="32"/>
          <w:highlight w:val="none"/>
        </w:rPr>
      </w:pPr>
    </w:p>
    <w:p w14:paraId="190384AB">
      <w:pPr>
        <w:snapToGrid w:val="0"/>
        <w:spacing w:before="165" w:beforeLines="50" w:after="50"/>
        <w:jc w:val="center"/>
        <w:rPr>
          <w:rFonts w:ascii="宋体" w:hAnsi="宋体"/>
          <w:b/>
          <w:bCs/>
          <w:color w:val="auto"/>
          <w:sz w:val="32"/>
          <w:szCs w:val="32"/>
          <w:highlight w:val="none"/>
        </w:rPr>
      </w:pPr>
      <w:r>
        <w:rPr>
          <w:rFonts w:hint="eastAsia" w:ascii="宋体" w:hAnsi="宋体"/>
          <w:b/>
          <w:bCs/>
          <w:color w:val="auto"/>
          <w:sz w:val="32"/>
          <w:szCs w:val="32"/>
          <w:highlight w:val="none"/>
        </w:rPr>
        <w:t>技术文件（封面）</w:t>
      </w:r>
    </w:p>
    <w:p w14:paraId="655F5576">
      <w:pPr>
        <w:snapToGrid w:val="0"/>
        <w:spacing w:before="165" w:beforeLines="50" w:after="50"/>
        <w:rPr>
          <w:rFonts w:ascii="宋体" w:hAnsi="宋体"/>
          <w:bCs/>
          <w:color w:val="auto"/>
          <w:sz w:val="24"/>
          <w:szCs w:val="20"/>
          <w:highlight w:val="none"/>
        </w:rPr>
      </w:pPr>
    </w:p>
    <w:p w14:paraId="77039BBF">
      <w:pPr>
        <w:snapToGrid w:val="0"/>
        <w:spacing w:before="165" w:beforeLines="50" w:after="50" w:line="400" w:lineRule="exact"/>
        <w:ind w:firstLine="360" w:firstLineChars="150"/>
        <w:rPr>
          <w:rFonts w:ascii="宋体" w:hAnsi="宋体"/>
          <w:bCs/>
          <w:color w:val="auto"/>
          <w:sz w:val="24"/>
          <w:szCs w:val="20"/>
          <w:highlight w:val="none"/>
        </w:rPr>
      </w:pPr>
      <w:r>
        <w:rPr>
          <w:rFonts w:hint="eastAsia" w:ascii="宋体" w:hAnsi="宋体"/>
          <w:bCs/>
          <w:color w:val="auto"/>
          <w:sz w:val="24"/>
          <w:highlight w:val="none"/>
        </w:rPr>
        <w:t xml:space="preserve">项目名称： </w:t>
      </w:r>
      <w:bookmarkStart w:id="326" w:name="PO_3000001866_PM002_8"/>
      <w:r>
        <w:rPr>
          <w:rFonts w:hint="eastAsia" w:ascii="宋体" w:hAnsi="宋体"/>
          <w:bCs/>
          <w:color w:val="auto"/>
          <w:sz w:val="24"/>
          <w:highlight w:val="none"/>
        </w:rPr>
        <w:t>[项目采购-项目名称]</w:t>
      </w:r>
      <w:bookmarkEnd w:id="326"/>
    </w:p>
    <w:p w14:paraId="5F4DE5FA">
      <w:pPr>
        <w:snapToGrid w:val="0"/>
        <w:spacing w:before="165" w:beforeLines="50" w:after="50" w:line="400" w:lineRule="exact"/>
        <w:ind w:firstLine="360" w:firstLineChars="150"/>
        <w:rPr>
          <w:rFonts w:ascii="宋体" w:hAnsi="宋体"/>
          <w:bCs/>
          <w:color w:val="auto"/>
          <w:sz w:val="24"/>
          <w:highlight w:val="none"/>
        </w:rPr>
      </w:pPr>
      <w:r>
        <w:rPr>
          <w:rFonts w:hint="eastAsia" w:ascii="宋体" w:hAnsi="宋体"/>
          <w:bCs/>
          <w:color w:val="auto"/>
          <w:sz w:val="24"/>
          <w:highlight w:val="none"/>
        </w:rPr>
        <w:t xml:space="preserve">项目编号： </w:t>
      </w:r>
      <w:bookmarkStart w:id="327" w:name="PO_3000001866_PM001_6"/>
      <w:r>
        <w:rPr>
          <w:rFonts w:hint="eastAsia" w:ascii="宋体" w:hAnsi="宋体"/>
          <w:bCs/>
          <w:color w:val="auto"/>
          <w:sz w:val="24"/>
          <w:highlight w:val="none"/>
        </w:rPr>
        <w:t>[项目采购-项目编号]</w:t>
      </w:r>
      <w:bookmarkEnd w:id="327"/>
    </w:p>
    <w:p w14:paraId="131B8BF8">
      <w:pPr>
        <w:snapToGrid w:val="0"/>
        <w:spacing w:before="165" w:beforeLines="50" w:after="50" w:line="400" w:lineRule="exact"/>
        <w:ind w:firstLine="360" w:firstLineChars="150"/>
        <w:rPr>
          <w:rFonts w:ascii="宋体" w:hAnsi="宋体"/>
          <w:bCs/>
          <w:color w:val="auto"/>
          <w:sz w:val="24"/>
          <w:highlight w:val="none"/>
        </w:rPr>
      </w:pPr>
      <w:r>
        <w:rPr>
          <w:rFonts w:hint="eastAsia" w:ascii="宋体" w:hAnsi="宋体"/>
          <w:bCs/>
          <w:color w:val="auto"/>
          <w:sz w:val="24"/>
          <w:highlight w:val="none"/>
        </w:rPr>
        <w:t>所投分标：</w:t>
      </w:r>
    </w:p>
    <w:p w14:paraId="40ED194B">
      <w:pPr>
        <w:snapToGrid w:val="0"/>
        <w:spacing w:before="165" w:beforeLines="50" w:after="50" w:line="400" w:lineRule="exact"/>
        <w:ind w:firstLine="360" w:firstLineChars="150"/>
        <w:rPr>
          <w:rFonts w:ascii="宋体" w:hAnsi="宋体"/>
          <w:bCs/>
          <w:color w:val="auto"/>
          <w:sz w:val="24"/>
          <w:highlight w:val="none"/>
        </w:rPr>
      </w:pPr>
      <w:r>
        <w:rPr>
          <w:rFonts w:hint="eastAsia" w:ascii="宋体" w:hAnsi="宋体"/>
          <w:bCs/>
          <w:color w:val="auto"/>
          <w:sz w:val="24"/>
          <w:highlight w:val="none"/>
        </w:rPr>
        <w:t>投标人名称：</w:t>
      </w:r>
    </w:p>
    <w:p w14:paraId="16D92985">
      <w:pPr>
        <w:snapToGrid w:val="0"/>
        <w:spacing w:before="165" w:beforeLines="50" w:after="50" w:line="400" w:lineRule="exact"/>
        <w:ind w:firstLine="360" w:firstLineChars="150"/>
        <w:rPr>
          <w:rFonts w:ascii="宋体" w:hAnsi="宋体"/>
          <w:bCs/>
          <w:color w:val="auto"/>
          <w:sz w:val="24"/>
          <w:highlight w:val="none"/>
        </w:rPr>
      </w:pPr>
      <w:r>
        <w:rPr>
          <w:rFonts w:hint="eastAsia" w:ascii="宋体" w:hAnsi="宋体"/>
          <w:bCs/>
          <w:color w:val="auto"/>
          <w:sz w:val="24"/>
          <w:highlight w:val="none"/>
        </w:rPr>
        <w:t>投标人地址：</w:t>
      </w:r>
    </w:p>
    <w:p w14:paraId="664097C3">
      <w:pPr>
        <w:snapToGrid w:val="0"/>
        <w:spacing w:before="165" w:beforeLines="50" w:after="50"/>
        <w:ind w:firstLine="645"/>
        <w:jc w:val="center"/>
        <w:rPr>
          <w:rFonts w:ascii="宋体" w:hAnsi="宋体"/>
          <w:color w:val="auto"/>
          <w:sz w:val="24"/>
          <w:highlight w:val="none"/>
        </w:rPr>
      </w:pPr>
      <w:r>
        <w:rPr>
          <w:rFonts w:hint="eastAsia" w:ascii="宋体" w:hAnsi="宋体"/>
          <w:color w:val="auto"/>
          <w:sz w:val="24"/>
          <w:highlight w:val="none"/>
        </w:rPr>
        <w:t xml:space="preserve">                        年    月    日</w:t>
      </w:r>
    </w:p>
    <w:p w14:paraId="3B4D8F87">
      <w:pPr>
        <w:snapToGrid w:val="0"/>
        <w:spacing w:before="165" w:beforeLines="50" w:after="50"/>
        <w:ind w:firstLine="645"/>
        <w:jc w:val="center"/>
        <w:rPr>
          <w:rFonts w:ascii="宋体" w:hAnsi="宋体"/>
          <w:color w:val="auto"/>
          <w:sz w:val="24"/>
          <w:szCs w:val="20"/>
          <w:highlight w:val="none"/>
        </w:rPr>
      </w:pPr>
    </w:p>
    <w:p w14:paraId="7544E909">
      <w:pPr>
        <w:jc w:val="center"/>
        <w:rPr>
          <w:rFonts w:ascii="方正仿宋_GB2312" w:hAnsi="仿宋" w:eastAsia="方正仿宋_GB2312" w:cs="方正仿宋_GB2312"/>
          <w:b/>
          <w:color w:val="auto"/>
          <w:kern w:val="0"/>
          <w:sz w:val="28"/>
          <w:szCs w:val="28"/>
          <w:highlight w:val="none"/>
        </w:rPr>
      </w:pPr>
      <w:r>
        <w:rPr>
          <w:rFonts w:hint="eastAsia" w:ascii="宋体" w:hAnsi="宋体"/>
          <w:b/>
          <w:bCs/>
          <w:color w:val="auto"/>
          <w:sz w:val="24"/>
          <w:highlight w:val="none"/>
        </w:rPr>
        <w:br w:type="page"/>
      </w:r>
      <w:r>
        <w:rPr>
          <w:rFonts w:hint="eastAsia" w:ascii="方正仿宋_GB2312" w:hAnsi="仿宋" w:eastAsia="方正仿宋_GB2312" w:cs="方正仿宋_GB2312"/>
          <w:b/>
          <w:color w:val="auto"/>
          <w:kern w:val="0"/>
          <w:sz w:val="28"/>
          <w:szCs w:val="28"/>
          <w:highlight w:val="none"/>
        </w:rPr>
        <w:t>技术文件目录</w:t>
      </w:r>
    </w:p>
    <w:p w14:paraId="58CB8BE4">
      <w:pPr>
        <w:pStyle w:val="92"/>
        <w:spacing w:line="360" w:lineRule="auto"/>
        <w:rPr>
          <w:rFonts w:cs="方正仿宋_GB2312"/>
          <w:color w:val="auto"/>
          <w:highlight w:val="none"/>
        </w:rPr>
      </w:pPr>
      <w:r>
        <w:rPr>
          <w:rFonts w:hint="eastAsia" w:cs="方正仿宋_GB2312"/>
          <w:color w:val="auto"/>
          <w:highlight w:val="none"/>
        </w:rPr>
        <w:t>一、投标服务技术需求偏离表…………………………………………………（页码）</w:t>
      </w:r>
    </w:p>
    <w:p w14:paraId="4B37C062">
      <w:pPr>
        <w:pStyle w:val="92"/>
        <w:spacing w:line="360" w:lineRule="auto"/>
        <w:rPr>
          <w:rFonts w:cs="方正仿宋_GB2312"/>
          <w:color w:val="auto"/>
          <w:highlight w:val="none"/>
        </w:rPr>
      </w:pPr>
      <w:r>
        <w:rPr>
          <w:rFonts w:hint="eastAsia" w:cs="方正仿宋_GB2312"/>
          <w:color w:val="auto"/>
          <w:highlight w:val="none"/>
        </w:rPr>
        <w:t>二、组织服务方案…………………………………………………………………（页码）</w:t>
      </w:r>
    </w:p>
    <w:p w14:paraId="7C84CCE7">
      <w:pPr>
        <w:pStyle w:val="92"/>
        <w:spacing w:line="360" w:lineRule="auto"/>
        <w:rPr>
          <w:rFonts w:cs="方正仿宋_GB2312"/>
          <w:color w:val="auto"/>
          <w:highlight w:val="none"/>
        </w:rPr>
      </w:pPr>
      <w:r>
        <w:rPr>
          <w:rFonts w:hint="eastAsia" w:cs="方正仿宋_GB2312"/>
          <w:color w:val="auto"/>
          <w:highlight w:val="none"/>
        </w:rPr>
        <w:t>三、售后服务方案 ………………………………</w:t>
      </w:r>
      <w:r>
        <w:rPr>
          <w:rFonts w:hint="eastAsia" w:cs="方正仿宋_GB2312"/>
          <w:color w:val="auto"/>
          <w:highlight w:val="none"/>
          <w:lang w:val="zh-CN"/>
        </w:rPr>
        <w:t>………</w:t>
      </w:r>
      <w:r>
        <w:rPr>
          <w:rFonts w:hint="eastAsia" w:cs="方正仿宋_GB2312"/>
          <w:color w:val="auto"/>
          <w:highlight w:val="none"/>
        </w:rPr>
        <w:t>…………………………（页码）</w:t>
      </w:r>
    </w:p>
    <w:p w14:paraId="65D11006">
      <w:pPr>
        <w:pStyle w:val="92"/>
        <w:spacing w:line="360" w:lineRule="auto"/>
        <w:rPr>
          <w:rFonts w:cs="方正仿宋_GB2312"/>
          <w:color w:val="auto"/>
          <w:highlight w:val="none"/>
        </w:rPr>
      </w:pPr>
      <w:r>
        <w:rPr>
          <w:rFonts w:hint="eastAsia" w:cs="方正仿宋_GB2312"/>
          <w:color w:val="auto"/>
          <w:highlight w:val="none"/>
        </w:rPr>
        <w:t>四、</w:t>
      </w:r>
      <w:r>
        <w:rPr>
          <w:rFonts w:hint="eastAsia" w:cs="方正仿宋_GB2312"/>
          <w:color w:val="auto"/>
          <w:highlight w:val="none"/>
          <w:lang w:val="zh-CN"/>
        </w:rPr>
        <w:t>项目实施人员一览表 ………………………………</w:t>
      </w:r>
      <w:r>
        <w:rPr>
          <w:rFonts w:hint="eastAsia" w:cs="方正仿宋_GB2312"/>
          <w:color w:val="auto"/>
          <w:highlight w:val="none"/>
        </w:rPr>
        <w:t>………………………（页码）</w:t>
      </w:r>
    </w:p>
    <w:p w14:paraId="758DE9B7">
      <w:pPr>
        <w:pStyle w:val="92"/>
        <w:spacing w:line="360" w:lineRule="auto"/>
        <w:rPr>
          <w:rFonts w:cs="方正仿宋_GB2312"/>
          <w:color w:val="auto"/>
          <w:highlight w:val="none"/>
        </w:rPr>
      </w:pPr>
      <w:r>
        <w:rPr>
          <w:rFonts w:hint="eastAsia" w:cs="方正仿宋_GB2312"/>
          <w:color w:val="auto"/>
          <w:highlight w:val="none"/>
        </w:rPr>
        <w:t>五、投标人对项目的合理化建议和改进措施</w:t>
      </w:r>
      <w:r>
        <w:rPr>
          <w:rFonts w:hint="eastAsia" w:cs="方正仿宋_GB2312"/>
          <w:color w:val="auto"/>
          <w:highlight w:val="none"/>
          <w:lang w:val="zh-CN"/>
        </w:rPr>
        <w:t>………………………</w:t>
      </w:r>
      <w:r>
        <w:rPr>
          <w:rFonts w:hint="eastAsia" w:cs="方正仿宋_GB2312"/>
          <w:color w:val="auto"/>
          <w:highlight w:val="none"/>
        </w:rPr>
        <w:t>………（页码）</w:t>
      </w:r>
    </w:p>
    <w:p w14:paraId="020979AC">
      <w:pPr>
        <w:pStyle w:val="92"/>
        <w:spacing w:line="360" w:lineRule="auto"/>
        <w:rPr>
          <w:rFonts w:cs="方正仿宋_GB2312"/>
          <w:color w:val="auto"/>
          <w:highlight w:val="none"/>
        </w:rPr>
      </w:pPr>
      <w:r>
        <w:rPr>
          <w:rFonts w:hint="eastAsia" w:cs="方正仿宋_GB2312"/>
          <w:color w:val="auto"/>
          <w:highlight w:val="none"/>
        </w:rPr>
        <w:t>六、优惠条件及特殊承诺（如有）</w:t>
      </w:r>
      <w:r>
        <w:rPr>
          <w:rFonts w:hint="eastAsia" w:cs="方正仿宋_GB2312"/>
          <w:color w:val="auto"/>
          <w:highlight w:val="none"/>
          <w:lang w:val="zh-CN"/>
        </w:rPr>
        <w:t>……………………………………………</w:t>
      </w:r>
      <w:r>
        <w:rPr>
          <w:rFonts w:hint="eastAsia" w:cs="方正仿宋_GB2312"/>
          <w:color w:val="auto"/>
          <w:highlight w:val="none"/>
        </w:rPr>
        <w:t>（页码）</w:t>
      </w:r>
    </w:p>
    <w:p w14:paraId="559EEEC2">
      <w:pPr>
        <w:pStyle w:val="92"/>
        <w:spacing w:line="360" w:lineRule="auto"/>
        <w:rPr>
          <w:rFonts w:cs="方正仿宋_GB2312"/>
          <w:color w:val="auto"/>
          <w:highlight w:val="none"/>
        </w:rPr>
      </w:pPr>
      <w:r>
        <w:rPr>
          <w:rFonts w:hint="eastAsia" w:cs="方正仿宋_GB2312"/>
          <w:color w:val="auto"/>
          <w:highlight w:val="none"/>
        </w:rPr>
        <w:t>七、备品备件及供选择的配套零部件清单（如有）</w:t>
      </w:r>
      <w:r>
        <w:rPr>
          <w:rFonts w:hint="eastAsia" w:cs="方正仿宋_GB2312"/>
          <w:color w:val="auto"/>
          <w:highlight w:val="none"/>
          <w:lang w:val="zh-CN"/>
        </w:rPr>
        <w:t>………………………</w:t>
      </w:r>
      <w:r>
        <w:rPr>
          <w:rFonts w:hint="eastAsia" w:cs="方正仿宋_GB2312"/>
          <w:color w:val="auto"/>
          <w:highlight w:val="none"/>
        </w:rPr>
        <w:t>（页码）</w:t>
      </w:r>
    </w:p>
    <w:p w14:paraId="5A5B10EF">
      <w:pPr>
        <w:pStyle w:val="92"/>
        <w:spacing w:line="360" w:lineRule="auto"/>
        <w:rPr>
          <w:rFonts w:cs="方正仿宋_GB2312"/>
          <w:color w:val="auto"/>
          <w:highlight w:val="none"/>
        </w:rPr>
      </w:pPr>
      <w:r>
        <w:rPr>
          <w:rFonts w:hint="eastAsia" w:cs="方正仿宋_GB2312"/>
          <w:color w:val="auto"/>
          <w:highlight w:val="none"/>
        </w:rPr>
        <w:t>八、培训计划（如有）</w:t>
      </w:r>
      <w:r>
        <w:rPr>
          <w:rFonts w:hint="eastAsia" w:cs="方正仿宋_GB2312"/>
          <w:color w:val="auto"/>
          <w:highlight w:val="none"/>
          <w:lang w:val="zh-CN"/>
        </w:rPr>
        <w:t>………………………………………………………</w:t>
      </w:r>
      <w:r>
        <w:rPr>
          <w:rFonts w:hint="eastAsia" w:cs="方正仿宋_GB2312"/>
          <w:color w:val="auto"/>
          <w:highlight w:val="none"/>
        </w:rPr>
        <w:t>……</w:t>
      </w:r>
      <w:r>
        <w:rPr>
          <w:rFonts w:hint="eastAsia" w:cs="方正仿宋_GB2312"/>
          <w:color w:val="auto"/>
          <w:highlight w:val="none"/>
          <w:lang w:val="zh-CN"/>
        </w:rPr>
        <w:t>…</w:t>
      </w:r>
      <w:r>
        <w:rPr>
          <w:rFonts w:hint="eastAsia" w:cs="方正仿宋_GB2312"/>
          <w:color w:val="auto"/>
          <w:highlight w:val="none"/>
        </w:rPr>
        <w:t>（页码）</w:t>
      </w:r>
    </w:p>
    <w:p w14:paraId="1C705574">
      <w:pPr>
        <w:pStyle w:val="92"/>
        <w:spacing w:line="360" w:lineRule="auto"/>
        <w:rPr>
          <w:rFonts w:cs="方正仿宋_GB2312"/>
          <w:color w:val="auto"/>
          <w:highlight w:val="none"/>
        </w:rPr>
      </w:pPr>
      <w:r>
        <w:rPr>
          <w:rFonts w:hint="eastAsia" w:cs="方正仿宋_GB2312"/>
          <w:color w:val="auto"/>
          <w:highlight w:val="none"/>
        </w:rPr>
        <w:t>九、认为需要的其他技术文件或说明（如有）</w:t>
      </w:r>
      <w:r>
        <w:rPr>
          <w:rFonts w:hint="eastAsia" w:cs="方正仿宋_GB2312"/>
          <w:color w:val="auto"/>
          <w:highlight w:val="none"/>
          <w:lang w:val="zh-CN"/>
        </w:rPr>
        <w:t>………………………………</w:t>
      </w:r>
      <w:r>
        <w:rPr>
          <w:rFonts w:hint="eastAsia" w:cs="方正仿宋_GB2312"/>
          <w:color w:val="auto"/>
          <w:highlight w:val="none"/>
        </w:rPr>
        <w:t>（页码）</w:t>
      </w:r>
    </w:p>
    <w:p w14:paraId="25BE2744">
      <w:pPr>
        <w:spacing w:line="360" w:lineRule="auto"/>
        <w:rPr>
          <w:rFonts w:ascii="方正仿宋_GB2312" w:hAnsi="仿宋" w:eastAsia="方正仿宋_GB2312" w:cs="方正仿宋_GB2312"/>
          <w:b/>
          <w:bCs/>
          <w:color w:val="auto"/>
          <w:sz w:val="24"/>
          <w:highlight w:val="none"/>
        </w:rPr>
      </w:pPr>
      <w:r>
        <w:rPr>
          <w:rFonts w:hint="eastAsia" w:ascii="方正仿宋_GB2312" w:hAnsi="仿宋" w:eastAsia="方正仿宋_GB2312" w:cs="方正仿宋_GB2312"/>
          <w:b/>
          <w:bCs/>
          <w:color w:val="auto"/>
          <w:sz w:val="24"/>
          <w:highlight w:val="none"/>
        </w:rPr>
        <w:t>注：以上目录是基本格式要求，各投标人可根据自身情况进一步向下增加内容或细化。</w:t>
      </w:r>
    </w:p>
    <w:p w14:paraId="32836768">
      <w:pPr>
        <w:snapToGrid w:val="0"/>
        <w:spacing w:before="165" w:beforeLines="50" w:after="50"/>
        <w:ind w:left="143" w:leftChars="68" w:firstLine="472" w:firstLineChars="196"/>
        <w:jc w:val="left"/>
        <w:rPr>
          <w:rFonts w:ascii="宋体" w:hAnsi="宋体"/>
          <w:b/>
          <w:color w:val="auto"/>
          <w:sz w:val="24"/>
          <w:highlight w:val="none"/>
        </w:rPr>
      </w:pPr>
    </w:p>
    <w:p w14:paraId="06E826A9">
      <w:pPr>
        <w:snapToGrid w:val="0"/>
        <w:spacing w:before="165" w:beforeLines="50" w:after="50"/>
        <w:ind w:left="143" w:leftChars="68" w:firstLine="472" w:firstLineChars="196"/>
        <w:jc w:val="left"/>
        <w:rPr>
          <w:rFonts w:ascii="宋体" w:hAnsi="宋体"/>
          <w:b/>
          <w:color w:val="auto"/>
          <w:sz w:val="24"/>
          <w:highlight w:val="none"/>
        </w:rPr>
      </w:pPr>
      <w:r>
        <w:rPr>
          <w:rFonts w:hint="eastAsia" w:ascii="宋体" w:hAnsi="宋体"/>
          <w:b/>
          <w:color w:val="auto"/>
          <w:sz w:val="24"/>
          <w:highlight w:val="none"/>
        </w:rPr>
        <w:br w:type="page"/>
      </w:r>
    </w:p>
    <w:p w14:paraId="5E939390">
      <w:pPr>
        <w:pStyle w:val="7"/>
        <w:spacing w:line="500" w:lineRule="exact"/>
        <w:jc w:val="center"/>
        <w:rPr>
          <w:rFonts w:ascii="Times New Roman" w:hAnsi="Times New Roman"/>
          <w:b/>
          <w:bCs/>
          <w:color w:val="auto"/>
          <w:sz w:val="30"/>
          <w:szCs w:val="30"/>
          <w:highlight w:val="none"/>
        </w:rPr>
      </w:pPr>
      <w:r>
        <w:rPr>
          <w:rFonts w:hint="eastAsia" w:ascii="Times New Roman" w:hAnsi="Times New Roman"/>
          <w:b/>
          <w:bCs/>
          <w:color w:val="auto"/>
          <w:sz w:val="30"/>
          <w:szCs w:val="30"/>
          <w:highlight w:val="none"/>
        </w:rPr>
        <w:t>一、投标服务技术需求偏离表</w:t>
      </w:r>
    </w:p>
    <w:p w14:paraId="2DE6E8F5">
      <w:pPr>
        <w:pStyle w:val="7"/>
        <w:spacing w:line="440" w:lineRule="exact"/>
        <w:ind w:firstLine="420" w:firstLineChars="200"/>
        <w:rPr>
          <w:color w:val="auto"/>
          <w:highlight w:val="none"/>
        </w:rPr>
      </w:pPr>
    </w:p>
    <w:p w14:paraId="07E726C5">
      <w:pPr>
        <w:pStyle w:val="7"/>
        <w:spacing w:line="600" w:lineRule="exact"/>
        <w:ind w:firstLine="480" w:firstLineChars="200"/>
        <w:rPr>
          <w:rFonts w:hAnsi="宋体"/>
          <w:color w:val="auto"/>
          <w:sz w:val="24"/>
          <w:szCs w:val="24"/>
          <w:highlight w:val="none"/>
        </w:rPr>
      </w:pPr>
      <w:r>
        <w:rPr>
          <w:rFonts w:hint="eastAsia" w:hAnsi="宋体"/>
          <w:color w:val="auto"/>
          <w:sz w:val="24"/>
          <w:szCs w:val="24"/>
          <w:highlight w:val="none"/>
        </w:rPr>
        <w:t>请根据所投服务的实际技术参数，</w:t>
      </w:r>
      <w:r>
        <w:rPr>
          <w:rFonts w:hint="eastAsia" w:hAnsi="宋体"/>
          <w:b/>
          <w:color w:val="auto"/>
          <w:sz w:val="28"/>
          <w:szCs w:val="28"/>
          <w:highlight w:val="none"/>
        </w:rPr>
        <w:t>逐条对应</w:t>
      </w:r>
      <w:r>
        <w:rPr>
          <w:rFonts w:hint="eastAsia" w:hAnsi="宋体"/>
          <w:color w:val="auto"/>
          <w:sz w:val="24"/>
          <w:szCs w:val="24"/>
          <w:highlight w:val="none"/>
        </w:rPr>
        <w:t>本项目招标文件第二章“服务需求一览表”中的</w:t>
      </w:r>
      <w:r>
        <w:rPr>
          <w:rFonts w:hint="eastAsia" w:hAnsi="宋体"/>
          <w:b/>
          <w:color w:val="auto"/>
          <w:sz w:val="28"/>
          <w:szCs w:val="28"/>
          <w:highlight w:val="none"/>
        </w:rPr>
        <w:t>采购标的及服务参数</w:t>
      </w:r>
      <w:r>
        <w:rPr>
          <w:rFonts w:hint="eastAsia" w:hAnsi="宋体"/>
          <w:color w:val="auto"/>
          <w:sz w:val="24"/>
          <w:szCs w:val="24"/>
          <w:highlight w:val="none"/>
        </w:rPr>
        <w:t>详细填写相应的具体内容。“偏离说明”一栏应当选择“正偏离”、“负偏离”或“无偏离”进行填写。</w:t>
      </w:r>
    </w:p>
    <w:tbl>
      <w:tblPr>
        <w:tblStyle w:val="37"/>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34"/>
        <w:gridCol w:w="1260"/>
        <w:gridCol w:w="2310"/>
        <w:gridCol w:w="1516"/>
        <w:gridCol w:w="3297"/>
        <w:gridCol w:w="1168"/>
      </w:tblGrid>
      <w:tr w14:paraId="51D072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17" w:hRule="atLeast"/>
          <w:jc w:val="center"/>
        </w:trPr>
        <w:tc>
          <w:tcPr>
            <w:tcW w:w="634" w:type="dxa"/>
            <w:vMerge w:val="restart"/>
            <w:tcBorders>
              <w:top w:val="single" w:color="auto" w:sz="4" w:space="0"/>
              <w:left w:val="single" w:color="auto" w:sz="4" w:space="0"/>
              <w:bottom w:val="single" w:color="auto" w:sz="4" w:space="0"/>
              <w:right w:val="single" w:color="auto" w:sz="4" w:space="0"/>
            </w:tcBorders>
            <w:vAlign w:val="center"/>
          </w:tcPr>
          <w:p w14:paraId="7F23B0AF">
            <w:pPr>
              <w:keepNext w:val="0"/>
              <w:keepLines w:val="0"/>
              <w:suppressLineNumbers w:val="0"/>
              <w:spacing w:before="0" w:beforeAutospacing="0" w:after="0" w:afterAutospacing="0"/>
              <w:ind w:left="0" w:right="0"/>
              <w:rPr>
                <w:rFonts w:hint="default" w:ascii="宋体" w:hAnsi="宋体"/>
                <w:color w:val="auto"/>
                <w:szCs w:val="21"/>
                <w:highlight w:val="none"/>
              </w:rPr>
            </w:pPr>
            <w:r>
              <w:rPr>
                <w:rFonts w:hint="eastAsia" w:ascii="宋体" w:hAnsi="宋体"/>
                <w:color w:val="auto"/>
                <w:szCs w:val="21"/>
                <w:highlight w:val="none"/>
              </w:rPr>
              <w:t>项号</w:t>
            </w:r>
          </w:p>
        </w:tc>
        <w:tc>
          <w:tcPr>
            <w:tcW w:w="3570" w:type="dxa"/>
            <w:gridSpan w:val="2"/>
            <w:tcBorders>
              <w:top w:val="single" w:color="auto" w:sz="4" w:space="0"/>
              <w:left w:val="single" w:color="auto" w:sz="4" w:space="0"/>
              <w:bottom w:val="single" w:color="auto" w:sz="4" w:space="0"/>
              <w:right w:val="single" w:color="auto" w:sz="4" w:space="0"/>
            </w:tcBorders>
            <w:vAlign w:val="center"/>
          </w:tcPr>
          <w:p w14:paraId="080899F9">
            <w:pPr>
              <w:keepNext w:val="0"/>
              <w:keepLines w:val="0"/>
              <w:suppressLineNumbers w:val="0"/>
              <w:spacing w:before="0" w:beforeAutospacing="0" w:after="0" w:afterAutospacing="0"/>
              <w:ind w:left="0" w:right="0"/>
              <w:jc w:val="center"/>
              <w:rPr>
                <w:rFonts w:hint="default" w:ascii="宋体" w:hAnsi="宋体"/>
                <w:color w:val="auto"/>
                <w:szCs w:val="21"/>
                <w:highlight w:val="none"/>
              </w:rPr>
            </w:pPr>
            <w:r>
              <w:rPr>
                <w:rFonts w:hint="eastAsia" w:ascii="宋体" w:hAnsi="宋体"/>
                <w:color w:val="auto"/>
                <w:szCs w:val="21"/>
                <w:highlight w:val="none"/>
              </w:rPr>
              <w:t>招标文件需求</w:t>
            </w:r>
          </w:p>
        </w:tc>
        <w:tc>
          <w:tcPr>
            <w:tcW w:w="4813" w:type="dxa"/>
            <w:gridSpan w:val="2"/>
            <w:tcBorders>
              <w:top w:val="single" w:color="auto" w:sz="4" w:space="0"/>
              <w:left w:val="single" w:color="auto" w:sz="4" w:space="0"/>
              <w:bottom w:val="single" w:color="auto" w:sz="4" w:space="0"/>
              <w:right w:val="single" w:color="auto" w:sz="4" w:space="0"/>
            </w:tcBorders>
            <w:vAlign w:val="center"/>
          </w:tcPr>
          <w:p w14:paraId="126F9D73">
            <w:pPr>
              <w:keepNext w:val="0"/>
              <w:keepLines w:val="0"/>
              <w:suppressLineNumbers w:val="0"/>
              <w:spacing w:before="0" w:beforeAutospacing="0" w:after="0" w:afterAutospacing="0"/>
              <w:ind w:left="0" w:right="0"/>
              <w:jc w:val="center"/>
              <w:rPr>
                <w:rFonts w:hint="default" w:ascii="宋体" w:hAnsi="宋体"/>
                <w:color w:val="auto"/>
                <w:szCs w:val="21"/>
                <w:highlight w:val="none"/>
              </w:rPr>
            </w:pPr>
            <w:r>
              <w:rPr>
                <w:rFonts w:hint="eastAsia" w:ascii="宋体" w:hAnsi="宋体"/>
                <w:color w:val="auto"/>
                <w:szCs w:val="21"/>
                <w:highlight w:val="none"/>
              </w:rPr>
              <w:t>投标文件承诺</w:t>
            </w:r>
          </w:p>
        </w:tc>
        <w:tc>
          <w:tcPr>
            <w:tcW w:w="1168" w:type="dxa"/>
            <w:vMerge w:val="restart"/>
            <w:tcBorders>
              <w:top w:val="single" w:color="auto" w:sz="4" w:space="0"/>
              <w:left w:val="single" w:color="auto" w:sz="4" w:space="0"/>
              <w:bottom w:val="single" w:color="auto" w:sz="4" w:space="0"/>
              <w:right w:val="single" w:color="auto" w:sz="4" w:space="0"/>
            </w:tcBorders>
            <w:vAlign w:val="center"/>
          </w:tcPr>
          <w:p w14:paraId="4912BBD7">
            <w:pPr>
              <w:keepNext w:val="0"/>
              <w:keepLines w:val="0"/>
              <w:suppressLineNumbers w:val="0"/>
              <w:spacing w:before="0" w:beforeAutospacing="0" w:after="0" w:afterAutospacing="0"/>
              <w:ind w:left="0" w:right="0"/>
              <w:rPr>
                <w:rFonts w:hint="default" w:ascii="宋体" w:hAnsi="宋体"/>
                <w:color w:val="auto"/>
                <w:szCs w:val="21"/>
                <w:highlight w:val="none"/>
              </w:rPr>
            </w:pPr>
            <w:r>
              <w:rPr>
                <w:rFonts w:hint="eastAsia" w:ascii="宋体" w:hAnsi="宋体"/>
                <w:color w:val="auto"/>
                <w:szCs w:val="21"/>
                <w:highlight w:val="none"/>
              </w:rPr>
              <w:t>偏离说明</w:t>
            </w:r>
          </w:p>
        </w:tc>
      </w:tr>
      <w:tr w14:paraId="2717ED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35" w:hRule="atLeast"/>
          <w:jc w:val="center"/>
        </w:trPr>
        <w:tc>
          <w:tcPr>
            <w:tcW w:w="10185" w:type="dxa"/>
            <w:vMerge w:val="continue"/>
            <w:tcBorders>
              <w:top w:val="single" w:color="auto" w:sz="4" w:space="0"/>
              <w:left w:val="single" w:color="auto" w:sz="4" w:space="0"/>
              <w:bottom w:val="single" w:color="auto" w:sz="4" w:space="0"/>
              <w:right w:val="single" w:color="auto" w:sz="4" w:space="0"/>
            </w:tcBorders>
            <w:vAlign w:val="center"/>
          </w:tcPr>
          <w:p w14:paraId="67830B23">
            <w:pPr>
              <w:keepNext w:val="0"/>
              <w:keepLines w:val="0"/>
              <w:widowControl/>
              <w:suppressLineNumbers w:val="0"/>
              <w:spacing w:before="0" w:beforeAutospacing="0" w:after="0" w:afterAutospacing="0"/>
              <w:ind w:left="0" w:right="0"/>
              <w:jc w:val="left"/>
              <w:rPr>
                <w:rFonts w:hint="default" w:ascii="宋体" w:hAnsi="宋体"/>
                <w:color w:val="auto"/>
                <w:szCs w:val="21"/>
                <w:highlight w:val="none"/>
              </w:rPr>
            </w:pPr>
          </w:p>
        </w:tc>
        <w:tc>
          <w:tcPr>
            <w:tcW w:w="1260" w:type="dxa"/>
            <w:tcBorders>
              <w:top w:val="single" w:color="auto" w:sz="4" w:space="0"/>
              <w:left w:val="single" w:color="auto" w:sz="4" w:space="0"/>
              <w:bottom w:val="single" w:color="auto" w:sz="4" w:space="0"/>
              <w:right w:val="single" w:color="auto" w:sz="4" w:space="0"/>
            </w:tcBorders>
            <w:vAlign w:val="center"/>
          </w:tcPr>
          <w:p w14:paraId="60FE8254">
            <w:pPr>
              <w:keepNext w:val="0"/>
              <w:keepLines w:val="0"/>
              <w:suppressLineNumbers w:val="0"/>
              <w:spacing w:before="0" w:beforeAutospacing="0" w:after="0" w:afterAutospacing="0"/>
              <w:ind w:left="0" w:right="0"/>
              <w:jc w:val="center"/>
              <w:rPr>
                <w:rFonts w:hint="default" w:ascii="宋体" w:hAnsi="宋体"/>
                <w:color w:val="auto"/>
                <w:szCs w:val="21"/>
                <w:highlight w:val="none"/>
              </w:rPr>
            </w:pPr>
            <w:r>
              <w:rPr>
                <w:rFonts w:hint="eastAsia" w:ascii="宋体" w:hAnsi="宋体"/>
                <w:color w:val="auto"/>
                <w:szCs w:val="21"/>
                <w:highlight w:val="none"/>
              </w:rPr>
              <w:t>标的名称</w:t>
            </w:r>
          </w:p>
        </w:tc>
        <w:tc>
          <w:tcPr>
            <w:tcW w:w="2310" w:type="dxa"/>
            <w:tcBorders>
              <w:top w:val="single" w:color="auto" w:sz="4" w:space="0"/>
              <w:left w:val="single" w:color="auto" w:sz="4" w:space="0"/>
              <w:bottom w:val="single" w:color="auto" w:sz="4" w:space="0"/>
              <w:right w:val="single" w:color="auto" w:sz="4" w:space="0"/>
            </w:tcBorders>
            <w:vAlign w:val="center"/>
          </w:tcPr>
          <w:p w14:paraId="671E09A6">
            <w:pPr>
              <w:keepNext w:val="0"/>
              <w:keepLines w:val="0"/>
              <w:suppressLineNumbers w:val="0"/>
              <w:spacing w:before="0" w:beforeAutospacing="0" w:after="0" w:afterAutospacing="0"/>
              <w:ind w:left="0" w:right="0"/>
              <w:jc w:val="center"/>
              <w:rPr>
                <w:rFonts w:hint="default" w:ascii="宋体" w:hAnsi="宋体"/>
                <w:color w:val="auto"/>
                <w:szCs w:val="21"/>
                <w:highlight w:val="none"/>
              </w:rPr>
            </w:pPr>
            <w:r>
              <w:rPr>
                <w:rFonts w:hint="eastAsia" w:ascii="宋体" w:hAnsi="宋体"/>
                <w:color w:val="auto"/>
                <w:szCs w:val="21"/>
                <w:highlight w:val="none"/>
              </w:rPr>
              <w:t>服务参数</w:t>
            </w:r>
          </w:p>
        </w:tc>
        <w:tc>
          <w:tcPr>
            <w:tcW w:w="1516" w:type="dxa"/>
            <w:tcBorders>
              <w:top w:val="single" w:color="auto" w:sz="4" w:space="0"/>
              <w:left w:val="single" w:color="auto" w:sz="4" w:space="0"/>
              <w:bottom w:val="single" w:color="auto" w:sz="4" w:space="0"/>
              <w:right w:val="single" w:color="auto" w:sz="4" w:space="0"/>
            </w:tcBorders>
            <w:vAlign w:val="center"/>
          </w:tcPr>
          <w:p w14:paraId="2DDD1526">
            <w:pPr>
              <w:keepNext w:val="0"/>
              <w:keepLines w:val="0"/>
              <w:suppressLineNumbers w:val="0"/>
              <w:spacing w:before="0" w:beforeAutospacing="0" w:after="0" w:afterAutospacing="0"/>
              <w:ind w:left="0" w:right="0"/>
              <w:jc w:val="center"/>
              <w:rPr>
                <w:rFonts w:hint="default" w:ascii="宋体" w:hAnsi="宋体"/>
                <w:color w:val="auto"/>
                <w:szCs w:val="21"/>
                <w:highlight w:val="none"/>
              </w:rPr>
            </w:pPr>
            <w:r>
              <w:rPr>
                <w:rFonts w:hint="eastAsia" w:ascii="宋体" w:hAnsi="宋体"/>
                <w:color w:val="auto"/>
                <w:szCs w:val="21"/>
                <w:highlight w:val="none"/>
              </w:rPr>
              <w:t>标的名称</w:t>
            </w:r>
          </w:p>
        </w:tc>
        <w:tc>
          <w:tcPr>
            <w:tcW w:w="3297" w:type="dxa"/>
            <w:tcBorders>
              <w:top w:val="single" w:color="auto" w:sz="4" w:space="0"/>
              <w:left w:val="single" w:color="auto" w:sz="4" w:space="0"/>
              <w:bottom w:val="single" w:color="auto" w:sz="4" w:space="0"/>
              <w:right w:val="single" w:color="auto" w:sz="4" w:space="0"/>
            </w:tcBorders>
            <w:vAlign w:val="center"/>
          </w:tcPr>
          <w:p w14:paraId="5CB706DA">
            <w:pPr>
              <w:keepNext w:val="0"/>
              <w:keepLines w:val="0"/>
              <w:suppressLineNumbers w:val="0"/>
              <w:spacing w:before="0" w:beforeAutospacing="0" w:after="0" w:afterAutospacing="0"/>
              <w:ind w:left="0" w:right="0"/>
              <w:jc w:val="center"/>
              <w:rPr>
                <w:rFonts w:hint="default" w:ascii="宋体" w:hAnsi="宋体"/>
                <w:color w:val="auto"/>
                <w:szCs w:val="21"/>
                <w:highlight w:val="none"/>
              </w:rPr>
            </w:pPr>
            <w:r>
              <w:rPr>
                <w:rFonts w:hint="eastAsia" w:ascii="宋体" w:hAnsi="宋体"/>
                <w:color w:val="auto"/>
                <w:szCs w:val="21"/>
                <w:highlight w:val="none"/>
              </w:rPr>
              <w:t>所提供服务的内容</w:t>
            </w:r>
          </w:p>
        </w:tc>
        <w:tc>
          <w:tcPr>
            <w:tcW w:w="1168" w:type="dxa"/>
            <w:vMerge w:val="continue"/>
            <w:tcBorders>
              <w:top w:val="single" w:color="auto" w:sz="4" w:space="0"/>
              <w:left w:val="single" w:color="auto" w:sz="4" w:space="0"/>
              <w:bottom w:val="single" w:color="auto" w:sz="4" w:space="0"/>
              <w:right w:val="single" w:color="auto" w:sz="4" w:space="0"/>
            </w:tcBorders>
            <w:vAlign w:val="center"/>
          </w:tcPr>
          <w:p w14:paraId="6CD0F2CE">
            <w:pPr>
              <w:keepNext w:val="0"/>
              <w:keepLines w:val="0"/>
              <w:widowControl/>
              <w:suppressLineNumbers w:val="0"/>
              <w:spacing w:before="0" w:beforeAutospacing="0" w:after="0" w:afterAutospacing="0"/>
              <w:ind w:left="0" w:right="0"/>
              <w:jc w:val="left"/>
              <w:rPr>
                <w:rFonts w:hint="default" w:ascii="宋体" w:hAnsi="宋体"/>
                <w:color w:val="auto"/>
                <w:szCs w:val="21"/>
                <w:highlight w:val="none"/>
              </w:rPr>
            </w:pPr>
          </w:p>
        </w:tc>
      </w:tr>
      <w:tr w14:paraId="526BBA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34" w:type="dxa"/>
            <w:tcBorders>
              <w:top w:val="single" w:color="auto" w:sz="4" w:space="0"/>
              <w:left w:val="single" w:color="auto" w:sz="4" w:space="0"/>
              <w:bottom w:val="single" w:color="auto" w:sz="4" w:space="0"/>
              <w:right w:val="single" w:color="auto" w:sz="4" w:space="0"/>
            </w:tcBorders>
            <w:vAlign w:val="center"/>
          </w:tcPr>
          <w:p w14:paraId="4CDA527A">
            <w:pPr>
              <w:keepNext w:val="0"/>
              <w:keepLines w:val="0"/>
              <w:suppressLineNumbers w:val="0"/>
              <w:spacing w:before="0" w:beforeAutospacing="0" w:after="0" w:afterAutospacing="0"/>
              <w:ind w:left="0" w:right="0"/>
              <w:rPr>
                <w:rFonts w:hint="default" w:ascii="宋体" w:hAnsi="宋体"/>
                <w:color w:val="auto"/>
                <w:szCs w:val="21"/>
                <w:highlight w:val="none"/>
              </w:rPr>
            </w:pPr>
            <w:r>
              <w:rPr>
                <w:rFonts w:hint="eastAsia" w:ascii="宋体" w:hAnsi="宋体"/>
                <w:color w:val="auto"/>
                <w:szCs w:val="21"/>
                <w:highlight w:val="none"/>
              </w:rPr>
              <w:t>1</w:t>
            </w:r>
          </w:p>
        </w:tc>
        <w:tc>
          <w:tcPr>
            <w:tcW w:w="1260" w:type="dxa"/>
            <w:tcBorders>
              <w:top w:val="single" w:color="auto" w:sz="4" w:space="0"/>
              <w:left w:val="single" w:color="auto" w:sz="4" w:space="0"/>
              <w:bottom w:val="single" w:color="auto" w:sz="4" w:space="0"/>
              <w:right w:val="single" w:color="auto" w:sz="4" w:space="0"/>
            </w:tcBorders>
            <w:vAlign w:val="center"/>
          </w:tcPr>
          <w:p w14:paraId="4B00B7B2">
            <w:pPr>
              <w:keepNext w:val="0"/>
              <w:keepLines w:val="0"/>
              <w:suppressLineNumbers w:val="0"/>
              <w:spacing w:before="0" w:beforeAutospacing="0" w:after="0" w:afterAutospacing="0"/>
              <w:ind w:left="0" w:right="0"/>
              <w:rPr>
                <w:rFonts w:hint="default" w:ascii="宋体" w:hAnsi="宋体"/>
                <w:color w:val="auto"/>
                <w:szCs w:val="21"/>
                <w:highlight w:val="none"/>
              </w:rPr>
            </w:pPr>
            <w:r>
              <w:rPr>
                <w:rFonts w:hint="eastAsia" w:ascii="宋体" w:hAnsi="宋体"/>
                <w:color w:val="auto"/>
                <w:szCs w:val="21"/>
                <w:highlight w:val="none"/>
              </w:rPr>
              <w:t>……</w:t>
            </w:r>
          </w:p>
        </w:tc>
        <w:tc>
          <w:tcPr>
            <w:tcW w:w="2310" w:type="dxa"/>
            <w:tcBorders>
              <w:top w:val="single" w:color="auto" w:sz="4" w:space="0"/>
              <w:left w:val="single" w:color="auto" w:sz="4" w:space="0"/>
              <w:bottom w:val="single" w:color="auto" w:sz="4" w:space="0"/>
              <w:right w:val="single" w:color="auto" w:sz="4" w:space="0"/>
            </w:tcBorders>
            <w:vAlign w:val="center"/>
          </w:tcPr>
          <w:p w14:paraId="300A9CC8">
            <w:pPr>
              <w:keepNext w:val="0"/>
              <w:keepLines w:val="0"/>
              <w:suppressLineNumbers w:val="0"/>
              <w:spacing w:before="0" w:beforeAutospacing="0" w:after="0" w:afterAutospacing="0"/>
              <w:ind w:left="0" w:right="0"/>
              <w:rPr>
                <w:rFonts w:hint="default" w:ascii="宋体" w:hAnsi="宋体"/>
                <w:color w:val="auto"/>
                <w:szCs w:val="21"/>
                <w:highlight w:val="none"/>
              </w:rPr>
            </w:pPr>
            <w:r>
              <w:rPr>
                <w:rFonts w:hint="eastAsia" w:ascii="宋体" w:hAnsi="宋体"/>
                <w:color w:val="auto"/>
                <w:szCs w:val="21"/>
                <w:highlight w:val="none"/>
              </w:rPr>
              <w:t>1  ……</w:t>
            </w:r>
          </w:p>
          <w:p w14:paraId="727F1909">
            <w:pPr>
              <w:keepNext w:val="0"/>
              <w:keepLines w:val="0"/>
              <w:suppressLineNumbers w:val="0"/>
              <w:spacing w:before="0" w:beforeAutospacing="0" w:after="0" w:afterAutospacing="0"/>
              <w:ind w:left="0" w:right="0"/>
              <w:rPr>
                <w:rFonts w:hint="default" w:ascii="宋体" w:hAnsi="宋体"/>
                <w:color w:val="auto"/>
                <w:szCs w:val="21"/>
                <w:highlight w:val="none"/>
              </w:rPr>
            </w:pPr>
            <w:r>
              <w:rPr>
                <w:rFonts w:hint="eastAsia" w:ascii="宋体" w:hAnsi="宋体"/>
                <w:color w:val="auto"/>
                <w:szCs w:val="21"/>
                <w:highlight w:val="none"/>
              </w:rPr>
              <w:t>2  ……</w:t>
            </w:r>
          </w:p>
          <w:p w14:paraId="12D52520">
            <w:pPr>
              <w:keepNext w:val="0"/>
              <w:keepLines w:val="0"/>
              <w:suppressLineNumbers w:val="0"/>
              <w:spacing w:before="0" w:beforeAutospacing="0" w:after="0" w:afterAutospacing="0"/>
              <w:ind w:left="0" w:right="0"/>
              <w:rPr>
                <w:rFonts w:hint="default" w:ascii="宋体" w:hAnsi="宋体"/>
                <w:color w:val="auto"/>
                <w:szCs w:val="21"/>
                <w:highlight w:val="none"/>
              </w:rPr>
            </w:pPr>
            <w:r>
              <w:rPr>
                <w:rFonts w:hint="eastAsia" w:ascii="宋体" w:hAnsi="宋体"/>
                <w:color w:val="auto"/>
                <w:szCs w:val="21"/>
                <w:highlight w:val="none"/>
              </w:rPr>
              <w:t>3  ……</w:t>
            </w:r>
          </w:p>
          <w:p w14:paraId="179CD6F8">
            <w:pPr>
              <w:keepNext w:val="0"/>
              <w:keepLines w:val="0"/>
              <w:suppressLineNumbers w:val="0"/>
              <w:spacing w:before="0" w:beforeAutospacing="0" w:after="0" w:afterAutospacing="0"/>
              <w:ind w:left="0" w:right="0"/>
              <w:rPr>
                <w:rFonts w:hint="default" w:ascii="宋体" w:hAnsi="宋体"/>
                <w:color w:val="auto"/>
                <w:szCs w:val="21"/>
                <w:highlight w:val="none"/>
              </w:rPr>
            </w:pPr>
            <w:r>
              <w:rPr>
                <w:rFonts w:hint="eastAsia" w:ascii="宋体" w:hAnsi="宋体"/>
                <w:color w:val="auto"/>
                <w:szCs w:val="21"/>
                <w:highlight w:val="none"/>
              </w:rPr>
              <w:t>……</w:t>
            </w:r>
          </w:p>
        </w:tc>
        <w:tc>
          <w:tcPr>
            <w:tcW w:w="1516" w:type="dxa"/>
            <w:tcBorders>
              <w:top w:val="single" w:color="auto" w:sz="4" w:space="0"/>
              <w:left w:val="single" w:color="auto" w:sz="4" w:space="0"/>
              <w:bottom w:val="single" w:color="auto" w:sz="4" w:space="0"/>
              <w:right w:val="single" w:color="auto" w:sz="4" w:space="0"/>
            </w:tcBorders>
            <w:vAlign w:val="center"/>
          </w:tcPr>
          <w:p w14:paraId="2DBE6C68">
            <w:pPr>
              <w:keepNext w:val="0"/>
              <w:keepLines w:val="0"/>
              <w:suppressLineNumbers w:val="0"/>
              <w:spacing w:before="0" w:beforeAutospacing="0" w:after="0" w:afterAutospacing="0"/>
              <w:ind w:left="0" w:right="0"/>
              <w:rPr>
                <w:rFonts w:hint="default" w:ascii="宋体" w:hAnsi="宋体"/>
                <w:color w:val="auto"/>
                <w:szCs w:val="21"/>
                <w:highlight w:val="none"/>
              </w:rPr>
            </w:pPr>
            <w:r>
              <w:rPr>
                <w:rFonts w:hint="eastAsia" w:ascii="宋体" w:hAnsi="宋体"/>
                <w:color w:val="auto"/>
                <w:szCs w:val="21"/>
                <w:highlight w:val="none"/>
              </w:rPr>
              <w:t>……</w:t>
            </w:r>
          </w:p>
        </w:tc>
        <w:tc>
          <w:tcPr>
            <w:tcW w:w="3297" w:type="dxa"/>
            <w:tcBorders>
              <w:top w:val="single" w:color="auto" w:sz="4" w:space="0"/>
              <w:left w:val="single" w:color="auto" w:sz="4" w:space="0"/>
              <w:bottom w:val="single" w:color="auto" w:sz="4" w:space="0"/>
              <w:right w:val="single" w:color="auto" w:sz="4" w:space="0"/>
            </w:tcBorders>
            <w:vAlign w:val="center"/>
          </w:tcPr>
          <w:p w14:paraId="29C1914E">
            <w:pPr>
              <w:keepNext w:val="0"/>
              <w:keepLines w:val="0"/>
              <w:suppressLineNumbers w:val="0"/>
              <w:spacing w:before="0" w:beforeAutospacing="0" w:after="0" w:afterAutospacing="0"/>
              <w:ind w:left="0" w:right="0"/>
              <w:rPr>
                <w:rFonts w:hint="default" w:ascii="宋体" w:hAnsi="宋体"/>
                <w:color w:val="auto"/>
                <w:szCs w:val="21"/>
                <w:highlight w:val="none"/>
              </w:rPr>
            </w:pPr>
            <w:r>
              <w:rPr>
                <w:rFonts w:hint="eastAsia" w:ascii="宋体" w:hAnsi="宋体"/>
                <w:color w:val="auto"/>
                <w:szCs w:val="21"/>
                <w:highlight w:val="none"/>
              </w:rPr>
              <w:t>1  ……</w:t>
            </w:r>
          </w:p>
          <w:p w14:paraId="4BAEB8D8">
            <w:pPr>
              <w:keepNext w:val="0"/>
              <w:keepLines w:val="0"/>
              <w:suppressLineNumbers w:val="0"/>
              <w:spacing w:before="0" w:beforeAutospacing="0" w:after="0" w:afterAutospacing="0"/>
              <w:ind w:left="0" w:right="0"/>
              <w:rPr>
                <w:rFonts w:hint="default" w:ascii="宋体" w:hAnsi="宋体"/>
                <w:color w:val="auto"/>
                <w:szCs w:val="21"/>
                <w:highlight w:val="none"/>
              </w:rPr>
            </w:pPr>
            <w:r>
              <w:rPr>
                <w:rFonts w:hint="eastAsia" w:ascii="宋体" w:hAnsi="宋体"/>
                <w:color w:val="auto"/>
                <w:szCs w:val="21"/>
                <w:highlight w:val="none"/>
              </w:rPr>
              <w:t>2  ……</w:t>
            </w:r>
          </w:p>
          <w:p w14:paraId="57784122">
            <w:pPr>
              <w:keepNext w:val="0"/>
              <w:keepLines w:val="0"/>
              <w:suppressLineNumbers w:val="0"/>
              <w:spacing w:before="0" w:beforeAutospacing="0" w:after="0" w:afterAutospacing="0"/>
              <w:ind w:left="0" w:right="0"/>
              <w:rPr>
                <w:rFonts w:hint="default" w:ascii="宋体" w:hAnsi="宋体"/>
                <w:color w:val="auto"/>
                <w:szCs w:val="21"/>
                <w:highlight w:val="none"/>
              </w:rPr>
            </w:pPr>
            <w:r>
              <w:rPr>
                <w:rFonts w:hint="eastAsia" w:ascii="宋体" w:hAnsi="宋体"/>
                <w:color w:val="auto"/>
                <w:szCs w:val="21"/>
                <w:highlight w:val="none"/>
              </w:rPr>
              <w:t>3  ……</w:t>
            </w:r>
          </w:p>
          <w:p w14:paraId="709E2FA2">
            <w:pPr>
              <w:keepNext w:val="0"/>
              <w:keepLines w:val="0"/>
              <w:suppressLineNumbers w:val="0"/>
              <w:spacing w:before="0" w:beforeAutospacing="0" w:after="0" w:afterAutospacing="0"/>
              <w:ind w:left="0" w:right="0"/>
              <w:rPr>
                <w:rFonts w:hint="default" w:ascii="宋体" w:hAnsi="宋体"/>
                <w:color w:val="auto"/>
                <w:szCs w:val="21"/>
                <w:highlight w:val="none"/>
              </w:rPr>
            </w:pPr>
            <w:r>
              <w:rPr>
                <w:rFonts w:hint="eastAsia" w:ascii="宋体" w:hAnsi="宋体"/>
                <w:color w:val="auto"/>
                <w:szCs w:val="21"/>
                <w:highlight w:val="none"/>
              </w:rPr>
              <w:t>……</w:t>
            </w:r>
          </w:p>
        </w:tc>
        <w:tc>
          <w:tcPr>
            <w:tcW w:w="1168" w:type="dxa"/>
            <w:tcBorders>
              <w:top w:val="single" w:color="auto" w:sz="4" w:space="0"/>
              <w:left w:val="single" w:color="auto" w:sz="4" w:space="0"/>
              <w:bottom w:val="single" w:color="auto" w:sz="4" w:space="0"/>
              <w:right w:val="single" w:color="auto" w:sz="4" w:space="0"/>
            </w:tcBorders>
            <w:vAlign w:val="center"/>
          </w:tcPr>
          <w:p w14:paraId="15C64267">
            <w:pPr>
              <w:keepNext w:val="0"/>
              <w:keepLines w:val="0"/>
              <w:suppressLineNumbers w:val="0"/>
              <w:spacing w:before="0" w:beforeAutospacing="0" w:after="0" w:afterAutospacing="0"/>
              <w:ind w:left="0" w:right="0"/>
              <w:rPr>
                <w:rFonts w:hint="default" w:ascii="宋体" w:hAnsi="宋体"/>
                <w:color w:val="auto"/>
                <w:szCs w:val="21"/>
                <w:highlight w:val="none"/>
              </w:rPr>
            </w:pPr>
            <w:r>
              <w:rPr>
                <w:rFonts w:hint="eastAsia" w:ascii="宋体" w:hAnsi="宋体"/>
                <w:color w:val="auto"/>
                <w:szCs w:val="21"/>
                <w:highlight w:val="none"/>
              </w:rPr>
              <w:t>正偏离（负偏离或无偏离）</w:t>
            </w:r>
          </w:p>
        </w:tc>
      </w:tr>
      <w:tr w14:paraId="15213D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34" w:type="dxa"/>
            <w:tcBorders>
              <w:top w:val="single" w:color="auto" w:sz="4" w:space="0"/>
              <w:left w:val="single" w:color="auto" w:sz="4" w:space="0"/>
              <w:bottom w:val="single" w:color="auto" w:sz="4" w:space="0"/>
              <w:right w:val="single" w:color="auto" w:sz="4" w:space="0"/>
            </w:tcBorders>
            <w:vAlign w:val="center"/>
          </w:tcPr>
          <w:p w14:paraId="58588B99">
            <w:pPr>
              <w:keepNext w:val="0"/>
              <w:keepLines w:val="0"/>
              <w:suppressLineNumbers w:val="0"/>
              <w:spacing w:before="0" w:beforeAutospacing="0" w:after="0" w:afterAutospacing="0"/>
              <w:ind w:left="0" w:right="0"/>
              <w:rPr>
                <w:rFonts w:hint="default" w:ascii="宋体" w:hAnsi="宋体"/>
                <w:color w:val="auto"/>
                <w:szCs w:val="21"/>
                <w:highlight w:val="none"/>
              </w:rPr>
            </w:pPr>
            <w:r>
              <w:rPr>
                <w:rFonts w:hint="eastAsia" w:ascii="宋体" w:hAnsi="宋体"/>
                <w:color w:val="auto"/>
                <w:szCs w:val="21"/>
                <w:highlight w:val="none"/>
              </w:rPr>
              <w:t>2</w:t>
            </w:r>
          </w:p>
        </w:tc>
        <w:tc>
          <w:tcPr>
            <w:tcW w:w="1260" w:type="dxa"/>
            <w:tcBorders>
              <w:top w:val="single" w:color="auto" w:sz="4" w:space="0"/>
              <w:left w:val="single" w:color="auto" w:sz="4" w:space="0"/>
              <w:bottom w:val="single" w:color="auto" w:sz="4" w:space="0"/>
              <w:right w:val="single" w:color="auto" w:sz="4" w:space="0"/>
            </w:tcBorders>
            <w:vAlign w:val="center"/>
          </w:tcPr>
          <w:p w14:paraId="6D0576F2">
            <w:pPr>
              <w:keepNext w:val="0"/>
              <w:keepLines w:val="0"/>
              <w:suppressLineNumbers w:val="0"/>
              <w:spacing w:before="0" w:beforeAutospacing="0" w:after="0" w:afterAutospacing="0"/>
              <w:ind w:left="0" w:right="0"/>
              <w:rPr>
                <w:rFonts w:hint="default" w:ascii="宋体" w:hAnsi="宋体"/>
                <w:color w:val="auto"/>
                <w:szCs w:val="21"/>
                <w:highlight w:val="none"/>
              </w:rPr>
            </w:pPr>
            <w:r>
              <w:rPr>
                <w:rFonts w:hint="eastAsia" w:ascii="宋体" w:hAnsi="宋体"/>
                <w:color w:val="auto"/>
                <w:szCs w:val="21"/>
                <w:highlight w:val="none"/>
              </w:rPr>
              <w:t>……</w:t>
            </w:r>
          </w:p>
        </w:tc>
        <w:tc>
          <w:tcPr>
            <w:tcW w:w="2310" w:type="dxa"/>
            <w:tcBorders>
              <w:top w:val="single" w:color="auto" w:sz="4" w:space="0"/>
              <w:left w:val="single" w:color="auto" w:sz="4" w:space="0"/>
              <w:bottom w:val="single" w:color="auto" w:sz="4" w:space="0"/>
              <w:right w:val="single" w:color="auto" w:sz="4" w:space="0"/>
            </w:tcBorders>
            <w:vAlign w:val="center"/>
          </w:tcPr>
          <w:p w14:paraId="09879484">
            <w:pPr>
              <w:keepNext w:val="0"/>
              <w:keepLines w:val="0"/>
              <w:suppressLineNumbers w:val="0"/>
              <w:spacing w:before="0" w:beforeAutospacing="0" w:after="0" w:afterAutospacing="0"/>
              <w:ind w:left="0" w:right="0"/>
              <w:rPr>
                <w:rFonts w:hint="default" w:ascii="宋体" w:hAnsi="宋体"/>
                <w:color w:val="auto"/>
                <w:szCs w:val="21"/>
                <w:highlight w:val="none"/>
              </w:rPr>
            </w:pPr>
            <w:r>
              <w:rPr>
                <w:rFonts w:hint="eastAsia" w:ascii="宋体" w:hAnsi="宋体"/>
                <w:color w:val="auto"/>
                <w:szCs w:val="21"/>
                <w:highlight w:val="none"/>
              </w:rPr>
              <w:t>1  ……</w:t>
            </w:r>
          </w:p>
          <w:p w14:paraId="6B712A68">
            <w:pPr>
              <w:keepNext w:val="0"/>
              <w:keepLines w:val="0"/>
              <w:suppressLineNumbers w:val="0"/>
              <w:spacing w:before="0" w:beforeAutospacing="0" w:after="0" w:afterAutospacing="0"/>
              <w:ind w:left="0" w:right="0"/>
              <w:rPr>
                <w:rFonts w:hint="default" w:ascii="宋体" w:hAnsi="宋体"/>
                <w:color w:val="auto"/>
                <w:szCs w:val="21"/>
                <w:highlight w:val="none"/>
              </w:rPr>
            </w:pPr>
            <w:r>
              <w:rPr>
                <w:rFonts w:hint="eastAsia" w:ascii="宋体" w:hAnsi="宋体"/>
                <w:color w:val="auto"/>
                <w:szCs w:val="21"/>
                <w:highlight w:val="none"/>
              </w:rPr>
              <w:t>2  ……</w:t>
            </w:r>
          </w:p>
          <w:p w14:paraId="5D85B019">
            <w:pPr>
              <w:keepNext w:val="0"/>
              <w:keepLines w:val="0"/>
              <w:suppressLineNumbers w:val="0"/>
              <w:spacing w:before="0" w:beforeAutospacing="0" w:after="0" w:afterAutospacing="0"/>
              <w:ind w:left="0" w:right="0"/>
              <w:rPr>
                <w:rFonts w:hint="default" w:ascii="宋体" w:hAnsi="宋体"/>
                <w:color w:val="auto"/>
                <w:szCs w:val="21"/>
                <w:highlight w:val="none"/>
              </w:rPr>
            </w:pPr>
            <w:r>
              <w:rPr>
                <w:rFonts w:hint="eastAsia" w:ascii="宋体" w:hAnsi="宋体"/>
                <w:color w:val="auto"/>
                <w:szCs w:val="21"/>
                <w:highlight w:val="none"/>
              </w:rPr>
              <w:t>3  ……</w:t>
            </w:r>
          </w:p>
          <w:p w14:paraId="1564C182">
            <w:pPr>
              <w:keepNext w:val="0"/>
              <w:keepLines w:val="0"/>
              <w:suppressLineNumbers w:val="0"/>
              <w:spacing w:before="0" w:beforeAutospacing="0" w:after="0" w:afterAutospacing="0"/>
              <w:ind w:left="0" w:right="0"/>
              <w:rPr>
                <w:rFonts w:hint="default" w:ascii="宋体" w:hAnsi="宋体"/>
                <w:color w:val="auto"/>
                <w:szCs w:val="21"/>
                <w:highlight w:val="none"/>
              </w:rPr>
            </w:pPr>
            <w:r>
              <w:rPr>
                <w:rFonts w:hint="eastAsia" w:ascii="宋体" w:hAnsi="宋体"/>
                <w:color w:val="auto"/>
                <w:szCs w:val="21"/>
                <w:highlight w:val="none"/>
              </w:rPr>
              <w:t>……</w:t>
            </w:r>
          </w:p>
        </w:tc>
        <w:tc>
          <w:tcPr>
            <w:tcW w:w="1516" w:type="dxa"/>
            <w:tcBorders>
              <w:top w:val="single" w:color="auto" w:sz="4" w:space="0"/>
              <w:left w:val="single" w:color="auto" w:sz="4" w:space="0"/>
              <w:bottom w:val="single" w:color="auto" w:sz="4" w:space="0"/>
              <w:right w:val="single" w:color="auto" w:sz="4" w:space="0"/>
            </w:tcBorders>
            <w:vAlign w:val="center"/>
          </w:tcPr>
          <w:p w14:paraId="297E9817">
            <w:pPr>
              <w:keepNext w:val="0"/>
              <w:keepLines w:val="0"/>
              <w:suppressLineNumbers w:val="0"/>
              <w:spacing w:before="0" w:beforeAutospacing="0" w:after="0" w:afterAutospacing="0"/>
              <w:ind w:left="0" w:right="0"/>
              <w:rPr>
                <w:rFonts w:hint="default" w:ascii="宋体" w:hAnsi="宋体"/>
                <w:color w:val="auto"/>
                <w:szCs w:val="21"/>
                <w:highlight w:val="none"/>
              </w:rPr>
            </w:pPr>
            <w:r>
              <w:rPr>
                <w:rFonts w:hint="eastAsia" w:ascii="宋体" w:hAnsi="宋体"/>
                <w:color w:val="auto"/>
                <w:szCs w:val="21"/>
                <w:highlight w:val="none"/>
              </w:rPr>
              <w:t>……</w:t>
            </w:r>
          </w:p>
        </w:tc>
        <w:tc>
          <w:tcPr>
            <w:tcW w:w="3297" w:type="dxa"/>
            <w:tcBorders>
              <w:top w:val="single" w:color="auto" w:sz="4" w:space="0"/>
              <w:left w:val="single" w:color="auto" w:sz="4" w:space="0"/>
              <w:bottom w:val="single" w:color="auto" w:sz="4" w:space="0"/>
              <w:right w:val="single" w:color="auto" w:sz="4" w:space="0"/>
            </w:tcBorders>
            <w:vAlign w:val="center"/>
          </w:tcPr>
          <w:p w14:paraId="134760DD">
            <w:pPr>
              <w:keepNext w:val="0"/>
              <w:keepLines w:val="0"/>
              <w:suppressLineNumbers w:val="0"/>
              <w:spacing w:before="0" w:beforeAutospacing="0" w:after="0" w:afterAutospacing="0"/>
              <w:ind w:left="0" w:right="0"/>
              <w:rPr>
                <w:rFonts w:hint="default" w:ascii="宋体" w:hAnsi="宋体"/>
                <w:color w:val="auto"/>
                <w:szCs w:val="21"/>
                <w:highlight w:val="none"/>
              </w:rPr>
            </w:pPr>
            <w:r>
              <w:rPr>
                <w:rFonts w:hint="eastAsia" w:ascii="宋体" w:hAnsi="宋体"/>
                <w:color w:val="auto"/>
                <w:szCs w:val="21"/>
                <w:highlight w:val="none"/>
              </w:rPr>
              <w:t>1  ……</w:t>
            </w:r>
          </w:p>
          <w:p w14:paraId="0EDFB22D">
            <w:pPr>
              <w:keepNext w:val="0"/>
              <w:keepLines w:val="0"/>
              <w:suppressLineNumbers w:val="0"/>
              <w:spacing w:before="0" w:beforeAutospacing="0" w:after="0" w:afterAutospacing="0"/>
              <w:ind w:left="0" w:right="0"/>
              <w:rPr>
                <w:rFonts w:hint="default" w:ascii="宋体" w:hAnsi="宋体"/>
                <w:color w:val="auto"/>
                <w:szCs w:val="21"/>
                <w:highlight w:val="none"/>
              </w:rPr>
            </w:pPr>
            <w:r>
              <w:rPr>
                <w:rFonts w:hint="eastAsia" w:ascii="宋体" w:hAnsi="宋体"/>
                <w:color w:val="auto"/>
                <w:szCs w:val="21"/>
                <w:highlight w:val="none"/>
              </w:rPr>
              <w:t>2  ……</w:t>
            </w:r>
          </w:p>
          <w:p w14:paraId="6C5E1817">
            <w:pPr>
              <w:keepNext w:val="0"/>
              <w:keepLines w:val="0"/>
              <w:suppressLineNumbers w:val="0"/>
              <w:spacing w:before="0" w:beforeAutospacing="0" w:after="0" w:afterAutospacing="0"/>
              <w:ind w:left="0" w:right="0"/>
              <w:rPr>
                <w:rFonts w:hint="default" w:ascii="宋体" w:hAnsi="宋体"/>
                <w:color w:val="auto"/>
                <w:szCs w:val="21"/>
                <w:highlight w:val="none"/>
              </w:rPr>
            </w:pPr>
            <w:r>
              <w:rPr>
                <w:rFonts w:hint="eastAsia" w:ascii="宋体" w:hAnsi="宋体"/>
                <w:color w:val="auto"/>
                <w:szCs w:val="21"/>
                <w:highlight w:val="none"/>
              </w:rPr>
              <w:t>3  ……</w:t>
            </w:r>
          </w:p>
          <w:p w14:paraId="6DA99D87">
            <w:pPr>
              <w:keepNext w:val="0"/>
              <w:keepLines w:val="0"/>
              <w:suppressLineNumbers w:val="0"/>
              <w:spacing w:before="0" w:beforeAutospacing="0" w:after="0" w:afterAutospacing="0"/>
              <w:ind w:left="0" w:right="0"/>
              <w:rPr>
                <w:rFonts w:hint="default" w:ascii="宋体" w:hAnsi="宋体"/>
                <w:color w:val="auto"/>
                <w:szCs w:val="21"/>
                <w:highlight w:val="none"/>
              </w:rPr>
            </w:pPr>
            <w:r>
              <w:rPr>
                <w:rFonts w:hint="eastAsia" w:ascii="宋体" w:hAnsi="宋体"/>
                <w:color w:val="auto"/>
                <w:szCs w:val="21"/>
                <w:highlight w:val="none"/>
              </w:rPr>
              <w:t>……</w:t>
            </w:r>
          </w:p>
        </w:tc>
        <w:tc>
          <w:tcPr>
            <w:tcW w:w="1168" w:type="dxa"/>
            <w:tcBorders>
              <w:top w:val="single" w:color="auto" w:sz="4" w:space="0"/>
              <w:left w:val="single" w:color="auto" w:sz="4" w:space="0"/>
              <w:bottom w:val="single" w:color="auto" w:sz="4" w:space="0"/>
              <w:right w:val="single" w:color="auto" w:sz="4" w:space="0"/>
            </w:tcBorders>
            <w:vAlign w:val="center"/>
          </w:tcPr>
          <w:p w14:paraId="57809B74">
            <w:pPr>
              <w:keepNext w:val="0"/>
              <w:keepLines w:val="0"/>
              <w:suppressLineNumbers w:val="0"/>
              <w:spacing w:before="0" w:beforeAutospacing="0" w:after="0" w:afterAutospacing="0"/>
              <w:ind w:left="0" w:right="0"/>
              <w:rPr>
                <w:rFonts w:hint="default" w:ascii="宋体" w:hAnsi="宋体"/>
                <w:color w:val="auto"/>
                <w:szCs w:val="21"/>
                <w:highlight w:val="none"/>
              </w:rPr>
            </w:pPr>
            <w:r>
              <w:rPr>
                <w:rFonts w:hint="eastAsia" w:ascii="宋体" w:hAnsi="宋体"/>
                <w:color w:val="auto"/>
                <w:szCs w:val="21"/>
                <w:highlight w:val="none"/>
              </w:rPr>
              <w:t>正偏离（负偏离或无偏离）</w:t>
            </w:r>
          </w:p>
        </w:tc>
      </w:tr>
      <w:tr w14:paraId="15A3C3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34" w:type="dxa"/>
            <w:tcBorders>
              <w:top w:val="single" w:color="auto" w:sz="4" w:space="0"/>
              <w:left w:val="single" w:color="auto" w:sz="4" w:space="0"/>
              <w:bottom w:val="single" w:color="auto" w:sz="4" w:space="0"/>
              <w:right w:val="single" w:color="auto" w:sz="4" w:space="0"/>
            </w:tcBorders>
            <w:vAlign w:val="center"/>
          </w:tcPr>
          <w:p w14:paraId="19786D44">
            <w:pPr>
              <w:keepNext w:val="0"/>
              <w:keepLines w:val="0"/>
              <w:suppressLineNumbers w:val="0"/>
              <w:spacing w:before="0" w:beforeAutospacing="0" w:after="0" w:afterAutospacing="0"/>
              <w:ind w:left="0" w:right="0"/>
              <w:rPr>
                <w:rFonts w:hint="default" w:ascii="宋体" w:hAnsi="宋体"/>
                <w:color w:val="auto"/>
                <w:szCs w:val="21"/>
                <w:highlight w:val="none"/>
              </w:rPr>
            </w:pPr>
            <w:r>
              <w:rPr>
                <w:rFonts w:hint="eastAsia" w:ascii="宋体" w:hAnsi="宋体"/>
                <w:color w:val="auto"/>
                <w:szCs w:val="21"/>
                <w:highlight w:val="none"/>
              </w:rPr>
              <w:t>...</w:t>
            </w:r>
          </w:p>
        </w:tc>
        <w:tc>
          <w:tcPr>
            <w:tcW w:w="1260" w:type="dxa"/>
            <w:tcBorders>
              <w:top w:val="single" w:color="auto" w:sz="4" w:space="0"/>
              <w:left w:val="single" w:color="auto" w:sz="4" w:space="0"/>
              <w:bottom w:val="single" w:color="auto" w:sz="4" w:space="0"/>
              <w:right w:val="single" w:color="auto" w:sz="4" w:space="0"/>
            </w:tcBorders>
            <w:vAlign w:val="center"/>
          </w:tcPr>
          <w:p w14:paraId="7D82FB8A">
            <w:pPr>
              <w:keepNext w:val="0"/>
              <w:keepLines w:val="0"/>
              <w:suppressLineNumbers w:val="0"/>
              <w:spacing w:before="0" w:beforeAutospacing="0" w:after="0" w:afterAutospacing="0"/>
              <w:ind w:left="0" w:right="0"/>
              <w:rPr>
                <w:rFonts w:hint="default" w:ascii="宋体" w:hAnsi="宋体"/>
                <w:color w:val="auto"/>
                <w:szCs w:val="21"/>
                <w:highlight w:val="none"/>
              </w:rPr>
            </w:pPr>
          </w:p>
        </w:tc>
        <w:tc>
          <w:tcPr>
            <w:tcW w:w="2310" w:type="dxa"/>
            <w:tcBorders>
              <w:top w:val="single" w:color="auto" w:sz="4" w:space="0"/>
              <w:left w:val="single" w:color="auto" w:sz="4" w:space="0"/>
              <w:bottom w:val="single" w:color="auto" w:sz="4" w:space="0"/>
              <w:right w:val="single" w:color="auto" w:sz="4" w:space="0"/>
            </w:tcBorders>
            <w:vAlign w:val="center"/>
          </w:tcPr>
          <w:p w14:paraId="07C0415B">
            <w:pPr>
              <w:keepNext w:val="0"/>
              <w:keepLines w:val="0"/>
              <w:suppressLineNumbers w:val="0"/>
              <w:spacing w:before="0" w:beforeAutospacing="0" w:after="0" w:afterAutospacing="0"/>
              <w:ind w:left="0" w:right="0"/>
              <w:rPr>
                <w:rFonts w:hint="default" w:ascii="宋体" w:hAnsi="宋体"/>
                <w:color w:val="auto"/>
                <w:szCs w:val="21"/>
                <w:highlight w:val="none"/>
              </w:rPr>
            </w:pPr>
          </w:p>
        </w:tc>
        <w:tc>
          <w:tcPr>
            <w:tcW w:w="1516" w:type="dxa"/>
            <w:tcBorders>
              <w:top w:val="single" w:color="auto" w:sz="4" w:space="0"/>
              <w:left w:val="single" w:color="auto" w:sz="4" w:space="0"/>
              <w:bottom w:val="single" w:color="auto" w:sz="4" w:space="0"/>
              <w:right w:val="single" w:color="auto" w:sz="4" w:space="0"/>
            </w:tcBorders>
            <w:vAlign w:val="center"/>
          </w:tcPr>
          <w:p w14:paraId="3D91E969">
            <w:pPr>
              <w:keepNext w:val="0"/>
              <w:keepLines w:val="0"/>
              <w:suppressLineNumbers w:val="0"/>
              <w:spacing w:before="0" w:beforeAutospacing="0" w:after="0" w:afterAutospacing="0"/>
              <w:ind w:left="0" w:right="0"/>
              <w:rPr>
                <w:rFonts w:hint="default" w:ascii="宋体" w:hAnsi="宋体"/>
                <w:color w:val="auto"/>
                <w:szCs w:val="21"/>
                <w:highlight w:val="none"/>
              </w:rPr>
            </w:pPr>
          </w:p>
        </w:tc>
        <w:tc>
          <w:tcPr>
            <w:tcW w:w="3297" w:type="dxa"/>
            <w:tcBorders>
              <w:top w:val="single" w:color="auto" w:sz="4" w:space="0"/>
              <w:left w:val="single" w:color="auto" w:sz="4" w:space="0"/>
              <w:bottom w:val="single" w:color="auto" w:sz="4" w:space="0"/>
              <w:right w:val="single" w:color="auto" w:sz="4" w:space="0"/>
            </w:tcBorders>
            <w:vAlign w:val="center"/>
          </w:tcPr>
          <w:p w14:paraId="2170251E">
            <w:pPr>
              <w:keepNext w:val="0"/>
              <w:keepLines w:val="0"/>
              <w:suppressLineNumbers w:val="0"/>
              <w:spacing w:before="0" w:beforeAutospacing="0" w:after="0" w:afterAutospacing="0"/>
              <w:ind w:left="0" w:right="0"/>
              <w:rPr>
                <w:rFonts w:hint="default" w:ascii="宋体" w:hAnsi="宋体"/>
                <w:color w:val="auto"/>
                <w:szCs w:val="21"/>
                <w:highlight w:val="none"/>
              </w:rPr>
            </w:pPr>
          </w:p>
        </w:tc>
        <w:tc>
          <w:tcPr>
            <w:tcW w:w="1168" w:type="dxa"/>
            <w:tcBorders>
              <w:top w:val="single" w:color="auto" w:sz="4" w:space="0"/>
              <w:left w:val="single" w:color="auto" w:sz="4" w:space="0"/>
              <w:bottom w:val="single" w:color="auto" w:sz="4" w:space="0"/>
              <w:right w:val="single" w:color="auto" w:sz="4" w:space="0"/>
            </w:tcBorders>
            <w:vAlign w:val="center"/>
          </w:tcPr>
          <w:p w14:paraId="6C17CF08">
            <w:pPr>
              <w:keepNext w:val="0"/>
              <w:keepLines w:val="0"/>
              <w:suppressLineNumbers w:val="0"/>
              <w:spacing w:before="0" w:beforeAutospacing="0" w:after="0" w:afterAutospacing="0"/>
              <w:ind w:left="0" w:right="0"/>
              <w:rPr>
                <w:rFonts w:hint="default" w:ascii="宋体" w:hAnsi="宋体"/>
                <w:color w:val="auto"/>
                <w:szCs w:val="21"/>
                <w:highlight w:val="none"/>
              </w:rPr>
            </w:pPr>
          </w:p>
        </w:tc>
      </w:tr>
      <w:tr w14:paraId="0CC772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8" w:hRule="atLeast"/>
          <w:jc w:val="center"/>
        </w:trPr>
        <w:tc>
          <w:tcPr>
            <w:tcW w:w="10185" w:type="dxa"/>
            <w:gridSpan w:val="6"/>
            <w:tcBorders>
              <w:top w:val="single" w:color="auto" w:sz="4" w:space="0"/>
              <w:left w:val="single" w:color="auto" w:sz="4" w:space="0"/>
              <w:bottom w:val="single" w:color="auto" w:sz="4" w:space="0"/>
              <w:right w:val="single" w:color="auto" w:sz="4" w:space="0"/>
            </w:tcBorders>
            <w:vAlign w:val="center"/>
          </w:tcPr>
          <w:p w14:paraId="4F4A1E1E">
            <w:pPr>
              <w:keepNext w:val="0"/>
              <w:keepLines w:val="0"/>
              <w:suppressLineNumbers w:val="0"/>
              <w:spacing w:before="0" w:beforeAutospacing="0" w:after="0" w:afterAutospacing="0"/>
              <w:ind w:left="0" w:right="0"/>
              <w:rPr>
                <w:rFonts w:hint="default" w:ascii="宋体" w:hAnsi="宋体"/>
                <w:color w:val="auto"/>
                <w:szCs w:val="21"/>
                <w:highlight w:val="none"/>
              </w:rPr>
            </w:pPr>
            <w:r>
              <w:rPr>
                <w:rFonts w:hint="eastAsia" w:ascii="宋体" w:hAnsi="宋体"/>
                <w:color w:val="auto"/>
                <w:szCs w:val="21"/>
                <w:highlight w:val="none"/>
                <w:u w:val="single"/>
              </w:rPr>
              <w:t>　　</w:t>
            </w:r>
            <w:r>
              <w:rPr>
                <w:rFonts w:hint="eastAsia" w:ascii="宋体" w:hAnsi="宋体"/>
                <w:color w:val="auto"/>
                <w:szCs w:val="21"/>
                <w:highlight w:val="none"/>
              </w:rPr>
              <w:t>分标（此处有分标时填写具体分标号，无分标时填写“无”）</w:t>
            </w:r>
          </w:p>
        </w:tc>
      </w:tr>
    </w:tbl>
    <w:p w14:paraId="03ED5719">
      <w:pPr>
        <w:pStyle w:val="7"/>
        <w:spacing w:line="360" w:lineRule="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注：</w:t>
      </w:r>
    </w:p>
    <w:p w14:paraId="4E51E99B">
      <w:pPr>
        <w:snapToGrid w:val="0"/>
        <w:spacing w:line="360" w:lineRule="auto"/>
        <w:rPr>
          <w:rFonts w:hint="eastAsia" w:ascii="宋体" w:hAnsi="宋体" w:eastAsia="宋体" w:cs="宋体"/>
          <w:color w:val="auto"/>
          <w:kern w:val="0"/>
          <w:sz w:val="21"/>
          <w:szCs w:val="21"/>
          <w:highlight w:val="none"/>
          <w:lang w:val="zh-CN"/>
        </w:rPr>
      </w:pPr>
      <w:r>
        <w:rPr>
          <w:rFonts w:hint="eastAsia" w:ascii="宋体" w:hAnsi="宋体" w:eastAsia="宋体" w:cs="宋体"/>
          <w:color w:val="auto"/>
          <w:kern w:val="0"/>
          <w:sz w:val="21"/>
          <w:szCs w:val="21"/>
          <w:highlight w:val="none"/>
          <w:lang w:val="zh-CN" w:eastAsia="zh-CN"/>
        </w:rPr>
        <w:t>1. 说明：应对照招标文件“第二章 采购需求”中的技术要求逐条作明确的投标响应，并作出偏离说明。</w:t>
      </w:r>
    </w:p>
    <w:p w14:paraId="0B052E09">
      <w:pPr>
        <w:snapToGrid w:val="0"/>
        <w:spacing w:line="360" w:lineRule="auto"/>
        <w:rPr>
          <w:rFonts w:hint="eastAsia" w:ascii="宋体" w:hAnsi="宋体" w:eastAsia="宋体" w:cs="宋体"/>
          <w:color w:val="auto"/>
          <w:kern w:val="0"/>
          <w:sz w:val="21"/>
          <w:szCs w:val="21"/>
          <w:highlight w:val="none"/>
          <w:lang w:val="zh-CN"/>
        </w:rPr>
      </w:pPr>
      <w:r>
        <w:rPr>
          <w:rFonts w:hint="eastAsia" w:ascii="宋体" w:hAnsi="宋体" w:eastAsia="宋体" w:cs="宋体"/>
          <w:color w:val="auto"/>
          <w:kern w:val="0"/>
          <w:sz w:val="21"/>
          <w:szCs w:val="21"/>
          <w:highlight w:val="none"/>
          <w:lang w:val="zh-CN" w:eastAsia="zh-CN"/>
        </w:rPr>
        <w:t>2.投标人应根据自身的承诺，对照招标文件要求，在“偏离说明”中注明“正偏离”“负偏离”或者“无偏离”。既不属于“正偏离”也不属于“负偏离”即为“无偏离”。</w:t>
      </w:r>
    </w:p>
    <w:p w14:paraId="5C65ED7C">
      <w:pPr>
        <w:snapToGrid w:val="0"/>
        <w:spacing w:line="360" w:lineRule="auto"/>
        <w:ind w:firstLine="5640" w:firstLineChars="2350"/>
        <w:rPr>
          <w:rFonts w:ascii="方正仿宋_GB2312" w:hAnsi="仿宋" w:eastAsia="方正仿宋_GB2312" w:cs="方正仿宋_GB2312"/>
          <w:color w:val="auto"/>
          <w:kern w:val="0"/>
          <w:sz w:val="24"/>
          <w:highlight w:val="none"/>
          <w:lang w:val="zh-CN"/>
        </w:rPr>
      </w:pPr>
    </w:p>
    <w:p w14:paraId="2C9AD321">
      <w:pPr>
        <w:snapToGrid w:val="0"/>
        <w:spacing w:line="360" w:lineRule="auto"/>
        <w:ind w:firstLine="5040" w:firstLineChars="2100"/>
        <w:rPr>
          <w:rFonts w:ascii="方正仿宋_GB2312" w:hAnsi="仿宋" w:eastAsia="方正仿宋_GB2312" w:cs="方正仿宋_GB2312"/>
          <w:color w:val="auto"/>
          <w:kern w:val="0"/>
          <w:sz w:val="24"/>
          <w:highlight w:val="none"/>
        </w:rPr>
      </w:pPr>
      <w:r>
        <w:rPr>
          <w:rFonts w:hint="eastAsia" w:ascii="方正仿宋_GB2312" w:hAnsi="仿宋" w:eastAsia="方正仿宋_GB2312" w:cs="方正仿宋_GB2312"/>
          <w:color w:val="auto"/>
          <w:kern w:val="0"/>
          <w:sz w:val="24"/>
          <w:highlight w:val="none"/>
          <w:lang w:val="zh-CN"/>
        </w:rPr>
        <w:t>投标人名称(电子签章)：</w:t>
      </w:r>
    </w:p>
    <w:p w14:paraId="3AA22FDC">
      <w:pPr>
        <w:snapToGrid w:val="0"/>
        <w:spacing w:line="360" w:lineRule="auto"/>
        <w:ind w:firstLine="5160" w:firstLineChars="2150"/>
        <w:rPr>
          <w:rFonts w:ascii="方正仿宋_GB2312" w:hAnsi="仿宋" w:eastAsia="方正仿宋_GB2312" w:cs="方正仿宋_GB2312"/>
          <w:color w:val="auto"/>
          <w:kern w:val="0"/>
          <w:sz w:val="24"/>
          <w:highlight w:val="none"/>
          <w:lang w:val="zh-CN"/>
        </w:rPr>
      </w:pPr>
      <w:r>
        <w:rPr>
          <w:rFonts w:hint="eastAsia" w:ascii="方正仿宋_GB2312" w:hAnsi="仿宋" w:eastAsia="方正仿宋_GB2312" w:cs="方正仿宋_GB2312"/>
          <w:color w:val="auto"/>
          <w:kern w:val="0"/>
          <w:sz w:val="24"/>
          <w:highlight w:val="none"/>
          <w:lang w:val="zh-CN"/>
        </w:rPr>
        <w:t>日期</w:t>
      </w:r>
      <w:r>
        <w:rPr>
          <w:rFonts w:hint="eastAsia" w:ascii="方正仿宋_GB2312" w:hAnsi="仿宋" w:eastAsia="方正仿宋_GB2312" w:cs="方正仿宋_GB2312"/>
          <w:color w:val="auto"/>
          <w:kern w:val="0"/>
          <w:sz w:val="24"/>
          <w:highlight w:val="none"/>
        </w:rPr>
        <w:t xml:space="preserve">：  年  </w:t>
      </w:r>
      <w:r>
        <w:rPr>
          <w:rFonts w:hint="eastAsia" w:ascii="方正仿宋_GB2312" w:hAnsi="仿宋" w:eastAsia="方正仿宋_GB2312" w:cs="方正仿宋_GB2312"/>
          <w:color w:val="auto"/>
          <w:kern w:val="0"/>
          <w:sz w:val="24"/>
          <w:highlight w:val="none"/>
          <w:lang w:val="zh-CN"/>
        </w:rPr>
        <w:t>月日</w:t>
      </w:r>
    </w:p>
    <w:p w14:paraId="631CED59">
      <w:pPr>
        <w:widowControl/>
        <w:jc w:val="left"/>
        <w:rPr>
          <w:rFonts w:ascii="宋体" w:hAnsi="宋体"/>
          <w:color w:val="auto"/>
          <w:sz w:val="30"/>
          <w:szCs w:val="20"/>
          <w:highlight w:val="none"/>
        </w:rPr>
        <w:sectPr>
          <w:pgSz w:w="11906" w:h="16838"/>
          <w:pgMar w:top="1134" w:right="1134" w:bottom="1134" w:left="1134" w:header="720" w:footer="720" w:gutter="0"/>
          <w:pgNumType w:fmt="decimal"/>
          <w:cols w:space="720" w:num="1"/>
          <w:docGrid w:type="lines" w:linePitch="331" w:charSpace="0"/>
        </w:sectPr>
      </w:pPr>
    </w:p>
    <w:p w14:paraId="3D832864">
      <w:pPr>
        <w:snapToGrid w:val="0"/>
        <w:spacing w:before="165" w:beforeLines="50" w:after="50"/>
        <w:jc w:val="center"/>
        <w:rPr>
          <w:b/>
          <w:bCs/>
          <w:color w:val="auto"/>
          <w:sz w:val="30"/>
          <w:szCs w:val="30"/>
          <w:highlight w:val="none"/>
        </w:rPr>
      </w:pPr>
      <w:r>
        <w:rPr>
          <w:rFonts w:hint="eastAsia"/>
          <w:b/>
          <w:bCs/>
          <w:color w:val="auto"/>
          <w:sz w:val="30"/>
          <w:szCs w:val="30"/>
          <w:highlight w:val="none"/>
        </w:rPr>
        <w:t>二、组织服务方案</w:t>
      </w:r>
    </w:p>
    <w:p w14:paraId="61189C65">
      <w:pPr>
        <w:autoSpaceDE w:val="0"/>
        <w:autoSpaceDN w:val="0"/>
        <w:spacing w:line="360" w:lineRule="auto"/>
        <w:jc w:val="center"/>
        <w:rPr>
          <w:rFonts w:ascii="方正仿宋_GB2312" w:hAnsi="仿宋" w:eastAsia="方正仿宋_GB2312" w:cs="方正仿宋_GB2312"/>
          <w:b/>
          <w:bCs/>
          <w:color w:val="auto"/>
          <w:kern w:val="0"/>
          <w:sz w:val="24"/>
          <w:highlight w:val="none"/>
          <w:lang w:val="zh-CN"/>
        </w:rPr>
      </w:pPr>
      <w:r>
        <w:rPr>
          <w:rFonts w:hint="eastAsia" w:ascii="方正仿宋_GB2312" w:hAnsi="仿宋" w:eastAsia="方正仿宋_GB2312" w:cs="方正仿宋_GB2312"/>
          <w:color w:val="auto"/>
          <w:sz w:val="24"/>
          <w:highlight w:val="none"/>
        </w:rPr>
        <w:t>（由投标人根据采购需求及招标文件要求编制）</w:t>
      </w:r>
    </w:p>
    <w:p w14:paraId="56A298D5">
      <w:pPr>
        <w:rPr>
          <w:rFonts w:ascii="方正仿宋_GB2312" w:hAnsi="仿宋" w:eastAsia="方正仿宋_GB2312" w:cs="方正仿宋_GB2312"/>
          <w:b/>
          <w:bCs/>
          <w:color w:val="auto"/>
          <w:kern w:val="0"/>
          <w:sz w:val="24"/>
          <w:highlight w:val="none"/>
          <w:lang w:val="zh-CN"/>
        </w:rPr>
      </w:pPr>
    </w:p>
    <w:p w14:paraId="5E642E0C">
      <w:pPr>
        <w:rPr>
          <w:rFonts w:ascii="方正仿宋_GB2312" w:hAnsi="仿宋" w:eastAsia="方正仿宋_GB2312" w:cs="方正仿宋_GB2312"/>
          <w:b/>
          <w:bCs/>
          <w:color w:val="auto"/>
          <w:kern w:val="0"/>
          <w:sz w:val="24"/>
          <w:highlight w:val="none"/>
          <w:lang w:val="zh-CN"/>
        </w:rPr>
      </w:pPr>
      <w:bookmarkStart w:id="328" w:name="_Toc78473822"/>
      <w:r>
        <w:rPr>
          <w:rFonts w:hint="eastAsia" w:ascii="方正仿宋_GB2312" w:hAnsi="仿宋" w:eastAsia="方正仿宋_GB2312" w:cs="方正仿宋_GB2312"/>
          <w:b/>
          <w:bCs/>
          <w:color w:val="auto"/>
          <w:kern w:val="0"/>
          <w:sz w:val="24"/>
          <w:highlight w:val="none"/>
          <w:lang w:val="zh-CN"/>
        </w:rPr>
        <w:t>附表:项目实施进度计划表</w:t>
      </w:r>
      <w:r>
        <w:rPr>
          <w:rFonts w:hint="eastAsia" w:ascii="方正仿宋_GB2312" w:hAnsi="仿宋" w:eastAsia="方正仿宋_GB2312" w:cs="方正仿宋_GB2312"/>
          <w:b/>
          <w:color w:val="auto"/>
          <w:sz w:val="24"/>
          <w:highlight w:val="none"/>
        </w:rPr>
        <w:t>(以生效日算起)</w:t>
      </w:r>
      <w:bookmarkEnd w:id="328"/>
    </w:p>
    <w:tbl>
      <w:tblPr>
        <w:tblStyle w:val="37"/>
        <w:tblW w:w="0" w:type="auto"/>
        <w:tblInd w:w="-252"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188"/>
        <w:gridCol w:w="552"/>
        <w:gridCol w:w="552"/>
        <w:gridCol w:w="552"/>
        <w:gridCol w:w="552"/>
        <w:gridCol w:w="552"/>
        <w:gridCol w:w="552"/>
        <w:gridCol w:w="553"/>
        <w:gridCol w:w="553"/>
        <w:gridCol w:w="553"/>
        <w:gridCol w:w="553"/>
        <w:gridCol w:w="553"/>
        <w:gridCol w:w="553"/>
        <w:gridCol w:w="553"/>
        <w:gridCol w:w="553"/>
        <w:gridCol w:w="553"/>
        <w:gridCol w:w="553"/>
      </w:tblGrid>
      <w:tr w14:paraId="412585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39" w:hRule="atLeast"/>
        </w:trPr>
        <w:tc>
          <w:tcPr>
            <w:tcW w:w="1188" w:type="dxa"/>
            <w:tcBorders>
              <w:top w:val="single" w:color="auto" w:sz="4" w:space="0"/>
              <w:left w:val="single" w:color="auto" w:sz="4" w:space="0"/>
              <w:bottom w:val="single" w:color="auto" w:sz="4" w:space="0"/>
              <w:right w:val="single" w:color="auto" w:sz="4" w:space="0"/>
            </w:tcBorders>
            <w:vAlign w:val="center"/>
          </w:tcPr>
          <w:p w14:paraId="06F0000A">
            <w:pPr>
              <w:keepNext w:val="0"/>
              <w:keepLines w:val="0"/>
              <w:suppressLineNumbers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r>
              <w:rPr>
                <w:rFonts w:hint="default"/>
                <w:color w:val="auto"/>
                <w:highlight w:val="none"/>
              </w:rPr>
              <mc:AlternateContent>
                <mc:Choice Requires="wpg">
                  <w:drawing>
                    <wp:anchor distT="0" distB="0" distL="114300" distR="114300" simplePos="0" relativeHeight="251659264" behindDoc="0" locked="0" layoutInCell="1" allowOverlap="1">
                      <wp:simplePos x="0" y="0"/>
                      <wp:positionH relativeFrom="column">
                        <wp:posOffset>-65405</wp:posOffset>
                      </wp:positionH>
                      <wp:positionV relativeFrom="paragraph">
                        <wp:posOffset>0</wp:posOffset>
                      </wp:positionV>
                      <wp:extent cx="748030" cy="1181100"/>
                      <wp:effectExtent l="3810" t="2540" r="10160" b="16510"/>
                      <wp:wrapNone/>
                      <wp:docPr id="10" name="组合 3"/>
                      <wp:cNvGraphicFramePr/>
                      <a:graphic xmlns:a="http://schemas.openxmlformats.org/drawingml/2006/main">
                        <a:graphicData uri="http://schemas.microsoft.com/office/word/2010/wordprocessingGroup">
                          <wpg:wgp>
                            <wpg:cNvGrpSpPr/>
                            <wpg:grpSpPr>
                              <a:xfrm>
                                <a:off x="0" y="0"/>
                                <a:ext cx="748030" cy="1181100"/>
                                <a:chOff x="0" y="0"/>
                                <a:chExt cx="1178" cy="1860"/>
                              </a:xfrm>
                              <a:effectLst/>
                            </wpg:grpSpPr>
                            <wps:wsp>
                              <wps:cNvPr id="11" name="__TH_L2"/>
                              <wps:cNvCnPr/>
                              <wps:spPr bwMode="auto">
                                <a:xfrm>
                                  <a:off x="0" y="0"/>
                                  <a:ext cx="1178" cy="1860"/>
                                </a:xfrm>
                                <a:prstGeom prst="line">
                                  <a:avLst/>
                                </a:prstGeom>
                                <a:noFill/>
                                <a:ln w="6350">
                                  <a:solidFill>
                                    <a:srgbClr val="000000"/>
                                  </a:solidFill>
                                  <a:round/>
                                </a:ln>
                                <a:effectLst/>
                              </wps:spPr>
                              <wps:bodyPr/>
                            </wps:wsp>
                            <wps:wsp>
                              <wps:cNvPr id="12" name="__TH_B113"/>
                              <wps:cNvSpPr txBox="1">
                                <a:spLocks noChangeArrowheads="1"/>
                              </wps:cNvSpPr>
                              <wps:spPr bwMode="auto">
                                <a:xfrm>
                                  <a:off x="455" y="122"/>
                                  <a:ext cx="253" cy="263"/>
                                </a:xfrm>
                                <a:prstGeom prst="rect">
                                  <a:avLst/>
                                </a:prstGeom>
                                <a:noFill/>
                                <a:ln>
                                  <a:noFill/>
                                </a:ln>
                                <a:effectLst/>
                              </wps:spPr>
                              <wps:txbx>
                                <w:txbxContent>
                                  <w:p w14:paraId="01396891">
                                    <w:pPr>
                                      <w:snapToGrid w:val="0"/>
                                    </w:pPr>
                                    <w:r>
                                      <w:rPr>
                                        <w:rFonts w:hint="eastAsia"/>
                                      </w:rPr>
                                      <w:t>工</w:t>
                                    </w:r>
                                  </w:p>
                                </w:txbxContent>
                              </wps:txbx>
                              <wps:bodyPr rot="0" vert="horz" wrap="square" lIns="0" tIns="0" rIns="0" bIns="0" anchor="t" anchorCtr="0" upright="1">
                                <a:noAutofit/>
                              </wps:bodyPr>
                            </wps:wsp>
                            <wps:wsp>
                              <wps:cNvPr id="13" name="__TH_B124"/>
                              <wps:cNvSpPr txBox="1">
                                <a:spLocks noChangeArrowheads="1"/>
                              </wps:cNvSpPr>
                              <wps:spPr bwMode="auto">
                                <a:xfrm>
                                  <a:off x="643" y="419"/>
                                  <a:ext cx="253" cy="263"/>
                                </a:xfrm>
                                <a:prstGeom prst="rect">
                                  <a:avLst/>
                                </a:prstGeom>
                                <a:noFill/>
                                <a:ln>
                                  <a:noFill/>
                                </a:ln>
                                <a:effectLst/>
                              </wps:spPr>
                              <wps:txbx>
                                <w:txbxContent>
                                  <w:p w14:paraId="4DA727F6">
                                    <w:pPr>
                                      <w:snapToGrid w:val="0"/>
                                    </w:pPr>
                                    <w:r>
                                      <w:rPr>
                                        <w:rFonts w:hint="eastAsia"/>
                                      </w:rPr>
                                      <w:t>作</w:t>
                                    </w:r>
                                  </w:p>
                                </w:txbxContent>
                              </wps:txbx>
                              <wps:bodyPr rot="0" vert="horz" wrap="square" lIns="0" tIns="0" rIns="0" bIns="0" anchor="t" anchorCtr="0" upright="1">
                                <a:noAutofit/>
                              </wps:bodyPr>
                            </wps:wsp>
                            <wps:wsp>
                              <wps:cNvPr id="14" name="__TH_B135"/>
                              <wps:cNvSpPr txBox="1">
                                <a:spLocks noChangeArrowheads="1"/>
                              </wps:cNvSpPr>
                              <wps:spPr bwMode="auto">
                                <a:xfrm>
                                  <a:off x="831" y="717"/>
                                  <a:ext cx="253" cy="262"/>
                                </a:xfrm>
                                <a:prstGeom prst="rect">
                                  <a:avLst/>
                                </a:prstGeom>
                                <a:noFill/>
                                <a:ln>
                                  <a:noFill/>
                                </a:ln>
                                <a:effectLst/>
                              </wps:spPr>
                              <wps:txbx>
                                <w:txbxContent>
                                  <w:p w14:paraId="46E59244">
                                    <w:pPr>
                                      <w:snapToGrid w:val="0"/>
                                    </w:pPr>
                                    <w:r>
                                      <w:rPr>
                                        <w:rFonts w:hint="eastAsia"/>
                                      </w:rPr>
                                      <w:t>日</w:t>
                                    </w:r>
                                  </w:p>
                                </w:txbxContent>
                              </wps:txbx>
                              <wps:bodyPr rot="0" vert="horz" wrap="square" lIns="0" tIns="0" rIns="0" bIns="0" anchor="t" anchorCtr="0" upright="1">
                                <a:noAutofit/>
                              </wps:bodyPr>
                            </wps:wsp>
                          </wpg:wgp>
                        </a:graphicData>
                      </a:graphic>
                    </wp:anchor>
                  </w:drawing>
                </mc:Choice>
                <mc:Fallback>
                  <w:pict>
                    <v:group id="组合 3" o:spid="_x0000_s1026" o:spt="203" style="position:absolute;left:0pt;margin-left:-5.15pt;margin-top:0pt;height:93pt;width:58.9pt;z-index:251659264;mso-width-relative:page;mso-height-relative:page;" coordsize="1178,1860" o:gfxdata="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">
                      <o:lock v:ext="edit" aspectratio="f"/>
                      <v:line id="__TH_L2" o:spid="_x0000_s1026" o:spt="20" style="position:absolute;left:0;top:0;height:1860;width:1178;" filled="f" stroked="t" coordsize="21600,21600" o:gfxdata="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">
                        <v:fill on="f" focussize="0,0"/>
                        <v:stroke weight="0.5pt" color="#000000" joinstyle="round"/>
                        <v:imagedata o:title=""/>
                        <o:lock v:ext="edit" aspectratio="f"/>
                      </v:line>
                      <v:shape id="__TH_B113" o:spid="_x0000_s1026" o:spt="202" type="#_x0000_t202" style="position:absolute;left:455;top:122;height:263;width:253;" filled="f" stroked="f" coordsize="21600,21600" o:gfxdata="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JWUylS8AAAA&#10;2wAAAA8AAAAAAAAAAQAgAAAAIgAAAGRycy9kb3ducmV2LnhtbFBLAQIUABQAAAAIAIdO4kAzLwWe&#10;OwAAADkAAAAQAAAAAAAAAAEAIAAAAAsBAABkcnMvc2hhcGV4bWwueG1sUEsFBgAAAAAGAAYAWwEA&#10;ALUDAAAAAA==&#10;">
                        <v:fill on="f" focussize="0,0"/>
                        <v:stroke on="f"/>
                        <v:imagedata o:title=""/>
                        <o:lock v:ext="edit" aspectratio="f"/>
                        <v:textbox inset="0mm,0mm,0mm,0mm">
                          <w:txbxContent>
                            <w:p w14:paraId="01396891">
                              <w:pPr>
                                <w:snapToGrid w:val="0"/>
                              </w:pPr>
                              <w:r>
                                <w:rPr>
                                  <w:rFonts w:hint="eastAsia"/>
                                </w:rPr>
                                <w:t>工</w:t>
                              </w:r>
                            </w:p>
                          </w:txbxContent>
                        </v:textbox>
                      </v:shape>
                      <v:shape id="__TH_B124" o:spid="_x0000_s1026" o:spt="202" type="#_x0000_t202" style="position:absolute;left:643;top:419;height:263;width:253;" filled="f" stroked="f" coordsize="21600,21600" o:gfxdata="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PrYb8+8AAAA&#10;2wAAAA8AAAAAAAAAAQAgAAAAIgAAAGRycy9kb3ducmV2LnhtbFBLAQIUABQAAAAIAIdO4kAzLwWe&#10;OwAAADkAAAAQAAAAAAAAAAEAIAAAAAsBAABkcnMvc2hhcGV4bWwueG1sUEsFBgAAAAAGAAYAWwEA&#10;ALUDAAAAAA==&#10;">
                        <v:fill on="f" focussize="0,0"/>
                        <v:stroke on="f"/>
                        <v:imagedata o:title=""/>
                        <o:lock v:ext="edit" aspectratio="f"/>
                        <v:textbox inset="0mm,0mm,0mm,0mm">
                          <w:txbxContent>
                            <w:p w14:paraId="4DA727F6">
                              <w:pPr>
                                <w:snapToGrid w:val="0"/>
                              </w:pPr>
                              <w:r>
                                <w:rPr>
                                  <w:rFonts w:hint="eastAsia"/>
                                </w:rPr>
                                <w:t>作</w:t>
                              </w:r>
                            </w:p>
                          </w:txbxContent>
                        </v:textbox>
                      </v:shape>
                      <v:shape id="__TH_B135" o:spid="_x0000_s1026" o:spt="202" type="#_x0000_t202" style="position:absolute;left:831;top:717;height:262;width:253;" filled="f" stroked="f" coordsize="21600,21600" o:gfxdata="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HUx97u8AAAA&#10;2wAAAA8AAAAAAAAAAQAgAAAAIgAAAGRycy9kb3ducmV2LnhtbFBLAQIUABQAAAAIAIdO4kAzLwWe&#10;OwAAADkAAAAQAAAAAAAAAAEAIAAAAAsBAABkcnMvc2hhcGV4bWwueG1sUEsFBgAAAAAGAAYAWwEA&#10;ALUDAAAAAA==&#10;">
                        <v:fill on="f" focussize="0,0"/>
                        <v:stroke on="f"/>
                        <v:imagedata o:title=""/>
                        <o:lock v:ext="edit" aspectratio="f"/>
                        <v:textbox inset="0mm,0mm,0mm,0mm">
                          <w:txbxContent>
                            <w:p w14:paraId="46E59244">
                              <w:pPr>
                                <w:snapToGrid w:val="0"/>
                              </w:pPr>
                              <w:r>
                                <w:rPr>
                                  <w:rFonts w:hint="eastAsia"/>
                                </w:rPr>
                                <w:t>日</w:t>
                              </w:r>
                            </w:p>
                          </w:txbxContent>
                        </v:textbox>
                      </v:shape>
                    </v:group>
                  </w:pict>
                </mc:Fallback>
              </mc:AlternateContent>
            </w:r>
          </w:p>
          <w:p w14:paraId="3EA6ADD4">
            <w:pPr>
              <w:keepNext w:val="0"/>
              <w:keepLines w:val="0"/>
              <w:suppressLineNumbers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p>
          <w:p w14:paraId="706CB612">
            <w:pPr>
              <w:keepNext w:val="0"/>
              <w:keepLines w:val="0"/>
              <w:suppressLineNumbers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p>
          <w:p w14:paraId="08426782">
            <w:pPr>
              <w:keepNext w:val="0"/>
              <w:keepLines w:val="0"/>
              <w:suppressLineNumbers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r>
              <w:rPr>
                <w:rFonts w:hint="eastAsia" w:ascii="方正仿宋_GB2312" w:hAnsi="仿宋" w:eastAsia="方正仿宋_GB2312" w:cs="方正仿宋_GB2312"/>
                <w:color w:val="auto"/>
                <w:sz w:val="24"/>
                <w:highlight w:val="none"/>
              </w:rPr>
              <w:t>内容</w:t>
            </w:r>
          </w:p>
        </w:tc>
        <w:tc>
          <w:tcPr>
            <w:tcW w:w="552" w:type="dxa"/>
            <w:tcBorders>
              <w:top w:val="single" w:color="auto" w:sz="4" w:space="0"/>
              <w:left w:val="single" w:color="auto" w:sz="4" w:space="0"/>
              <w:bottom w:val="single" w:color="auto" w:sz="4" w:space="0"/>
              <w:right w:val="single" w:color="auto" w:sz="4" w:space="0"/>
            </w:tcBorders>
            <w:vAlign w:val="center"/>
          </w:tcPr>
          <w:p w14:paraId="7EC7437E">
            <w:pPr>
              <w:keepNext w:val="0"/>
              <w:keepLines w:val="0"/>
              <w:suppressLineNumbers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r>
              <w:rPr>
                <w:rFonts w:hint="eastAsia" w:ascii="方正仿宋_GB2312" w:hAnsi="仿宋" w:eastAsia="方正仿宋_GB2312" w:cs="方正仿宋_GB2312"/>
                <w:color w:val="auto"/>
                <w:sz w:val="24"/>
                <w:highlight w:val="none"/>
              </w:rPr>
              <w:t>1</w:t>
            </w:r>
          </w:p>
        </w:tc>
        <w:tc>
          <w:tcPr>
            <w:tcW w:w="552" w:type="dxa"/>
            <w:tcBorders>
              <w:top w:val="single" w:color="auto" w:sz="4" w:space="0"/>
              <w:left w:val="single" w:color="auto" w:sz="4" w:space="0"/>
              <w:bottom w:val="single" w:color="auto" w:sz="4" w:space="0"/>
              <w:right w:val="single" w:color="auto" w:sz="4" w:space="0"/>
            </w:tcBorders>
            <w:vAlign w:val="center"/>
          </w:tcPr>
          <w:p w14:paraId="1FC01084">
            <w:pPr>
              <w:keepNext w:val="0"/>
              <w:keepLines w:val="0"/>
              <w:suppressLineNumbers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r>
              <w:rPr>
                <w:rFonts w:hint="eastAsia" w:ascii="方正仿宋_GB2312" w:hAnsi="仿宋" w:eastAsia="方正仿宋_GB2312" w:cs="方正仿宋_GB2312"/>
                <w:color w:val="auto"/>
                <w:sz w:val="24"/>
                <w:highlight w:val="none"/>
              </w:rPr>
              <w:t>2</w:t>
            </w:r>
          </w:p>
        </w:tc>
        <w:tc>
          <w:tcPr>
            <w:tcW w:w="552" w:type="dxa"/>
            <w:tcBorders>
              <w:top w:val="single" w:color="auto" w:sz="4" w:space="0"/>
              <w:left w:val="single" w:color="auto" w:sz="4" w:space="0"/>
              <w:bottom w:val="single" w:color="auto" w:sz="4" w:space="0"/>
              <w:right w:val="single" w:color="auto" w:sz="4" w:space="0"/>
            </w:tcBorders>
            <w:vAlign w:val="center"/>
          </w:tcPr>
          <w:p w14:paraId="40351FA0">
            <w:pPr>
              <w:keepNext w:val="0"/>
              <w:keepLines w:val="0"/>
              <w:suppressLineNumbers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r>
              <w:rPr>
                <w:rFonts w:hint="eastAsia" w:ascii="方正仿宋_GB2312" w:hAnsi="仿宋" w:eastAsia="方正仿宋_GB2312" w:cs="方正仿宋_GB2312"/>
                <w:color w:val="auto"/>
                <w:sz w:val="24"/>
                <w:highlight w:val="none"/>
              </w:rPr>
              <w:t>3</w:t>
            </w:r>
          </w:p>
        </w:tc>
        <w:tc>
          <w:tcPr>
            <w:tcW w:w="552" w:type="dxa"/>
            <w:tcBorders>
              <w:top w:val="single" w:color="auto" w:sz="4" w:space="0"/>
              <w:left w:val="single" w:color="auto" w:sz="4" w:space="0"/>
              <w:bottom w:val="single" w:color="auto" w:sz="4" w:space="0"/>
              <w:right w:val="single" w:color="auto" w:sz="4" w:space="0"/>
            </w:tcBorders>
            <w:vAlign w:val="center"/>
          </w:tcPr>
          <w:p w14:paraId="412B0DFB">
            <w:pPr>
              <w:keepNext w:val="0"/>
              <w:keepLines w:val="0"/>
              <w:suppressLineNumbers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r>
              <w:rPr>
                <w:rFonts w:hint="eastAsia" w:ascii="方正仿宋_GB2312" w:hAnsi="仿宋" w:eastAsia="方正仿宋_GB2312" w:cs="方正仿宋_GB2312"/>
                <w:color w:val="auto"/>
                <w:sz w:val="24"/>
                <w:highlight w:val="none"/>
              </w:rPr>
              <w:t>4</w:t>
            </w:r>
          </w:p>
        </w:tc>
        <w:tc>
          <w:tcPr>
            <w:tcW w:w="552" w:type="dxa"/>
            <w:tcBorders>
              <w:top w:val="single" w:color="auto" w:sz="4" w:space="0"/>
              <w:left w:val="single" w:color="auto" w:sz="4" w:space="0"/>
              <w:bottom w:val="single" w:color="auto" w:sz="4" w:space="0"/>
              <w:right w:val="single" w:color="auto" w:sz="4" w:space="0"/>
            </w:tcBorders>
            <w:vAlign w:val="center"/>
          </w:tcPr>
          <w:p w14:paraId="29CFCBED">
            <w:pPr>
              <w:keepNext w:val="0"/>
              <w:keepLines w:val="0"/>
              <w:suppressLineNumbers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r>
              <w:rPr>
                <w:rFonts w:hint="eastAsia" w:ascii="方正仿宋_GB2312" w:hAnsi="仿宋" w:eastAsia="方正仿宋_GB2312" w:cs="方正仿宋_GB2312"/>
                <w:color w:val="auto"/>
                <w:sz w:val="24"/>
                <w:highlight w:val="none"/>
              </w:rPr>
              <w:t>5</w:t>
            </w:r>
          </w:p>
        </w:tc>
        <w:tc>
          <w:tcPr>
            <w:tcW w:w="552" w:type="dxa"/>
            <w:tcBorders>
              <w:top w:val="single" w:color="auto" w:sz="4" w:space="0"/>
              <w:left w:val="single" w:color="auto" w:sz="4" w:space="0"/>
              <w:bottom w:val="single" w:color="auto" w:sz="4" w:space="0"/>
              <w:right w:val="single" w:color="auto" w:sz="4" w:space="0"/>
            </w:tcBorders>
            <w:vAlign w:val="center"/>
          </w:tcPr>
          <w:p w14:paraId="5B6BB485">
            <w:pPr>
              <w:keepNext w:val="0"/>
              <w:keepLines w:val="0"/>
              <w:suppressLineNumbers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r>
              <w:rPr>
                <w:rFonts w:hint="eastAsia" w:ascii="方正仿宋_GB2312" w:hAnsi="仿宋" w:eastAsia="方正仿宋_GB2312" w:cs="方正仿宋_GB2312"/>
                <w:color w:val="auto"/>
                <w:sz w:val="24"/>
                <w:highlight w:val="none"/>
              </w:rPr>
              <w:t>6</w:t>
            </w:r>
          </w:p>
        </w:tc>
        <w:tc>
          <w:tcPr>
            <w:tcW w:w="553" w:type="dxa"/>
            <w:tcBorders>
              <w:top w:val="single" w:color="auto" w:sz="4" w:space="0"/>
              <w:left w:val="single" w:color="auto" w:sz="4" w:space="0"/>
              <w:bottom w:val="single" w:color="auto" w:sz="4" w:space="0"/>
              <w:right w:val="single" w:color="auto" w:sz="4" w:space="0"/>
            </w:tcBorders>
            <w:vAlign w:val="center"/>
          </w:tcPr>
          <w:p w14:paraId="79168F64">
            <w:pPr>
              <w:keepNext w:val="0"/>
              <w:keepLines w:val="0"/>
              <w:suppressLineNumbers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r>
              <w:rPr>
                <w:rFonts w:hint="eastAsia" w:ascii="方正仿宋_GB2312" w:hAnsi="仿宋" w:eastAsia="方正仿宋_GB2312" w:cs="方正仿宋_GB2312"/>
                <w:color w:val="auto"/>
                <w:sz w:val="24"/>
                <w:highlight w:val="none"/>
              </w:rPr>
              <w:t>7</w:t>
            </w:r>
          </w:p>
        </w:tc>
        <w:tc>
          <w:tcPr>
            <w:tcW w:w="553" w:type="dxa"/>
            <w:tcBorders>
              <w:top w:val="single" w:color="auto" w:sz="4" w:space="0"/>
              <w:left w:val="single" w:color="auto" w:sz="4" w:space="0"/>
              <w:bottom w:val="single" w:color="auto" w:sz="4" w:space="0"/>
              <w:right w:val="single" w:color="auto" w:sz="4" w:space="0"/>
            </w:tcBorders>
            <w:vAlign w:val="center"/>
          </w:tcPr>
          <w:p w14:paraId="20DC1C52">
            <w:pPr>
              <w:keepNext w:val="0"/>
              <w:keepLines w:val="0"/>
              <w:suppressLineNumbers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r>
              <w:rPr>
                <w:rFonts w:hint="eastAsia" w:ascii="方正仿宋_GB2312" w:hAnsi="仿宋" w:eastAsia="方正仿宋_GB2312" w:cs="方正仿宋_GB2312"/>
                <w:color w:val="auto"/>
                <w:sz w:val="24"/>
                <w:highlight w:val="none"/>
              </w:rPr>
              <w:t>8</w:t>
            </w:r>
          </w:p>
        </w:tc>
        <w:tc>
          <w:tcPr>
            <w:tcW w:w="553" w:type="dxa"/>
            <w:tcBorders>
              <w:top w:val="single" w:color="auto" w:sz="4" w:space="0"/>
              <w:left w:val="single" w:color="auto" w:sz="4" w:space="0"/>
              <w:bottom w:val="single" w:color="auto" w:sz="4" w:space="0"/>
              <w:right w:val="single" w:color="auto" w:sz="4" w:space="0"/>
            </w:tcBorders>
            <w:vAlign w:val="center"/>
          </w:tcPr>
          <w:p w14:paraId="406B6233">
            <w:pPr>
              <w:keepNext w:val="0"/>
              <w:keepLines w:val="0"/>
              <w:suppressLineNumbers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r>
              <w:rPr>
                <w:rFonts w:hint="eastAsia" w:ascii="方正仿宋_GB2312" w:hAnsi="仿宋" w:eastAsia="方正仿宋_GB2312" w:cs="方正仿宋_GB2312"/>
                <w:color w:val="auto"/>
                <w:sz w:val="24"/>
                <w:highlight w:val="none"/>
              </w:rPr>
              <w:t>9</w:t>
            </w:r>
          </w:p>
        </w:tc>
        <w:tc>
          <w:tcPr>
            <w:tcW w:w="553" w:type="dxa"/>
            <w:tcBorders>
              <w:top w:val="single" w:color="auto" w:sz="4" w:space="0"/>
              <w:left w:val="single" w:color="auto" w:sz="4" w:space="0"/>
              <w:bottom w:val="single" w:color="auto" w:sz="4" w:space="0"/>
              <w:right w:val="single" w:color="auto" w:sz="4" w:space="0"/>
            </w:tcBorders>
            <w:vAlign w:val="center"/>
          </w:tcPr>
          <w:p w14:paraId="1B3DB29C">
            <w:pPr>
              <w:keepNext w:val="0"/>
              <w:keepLines w:val="0"/>
              <w:suppressLineNumbers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r>
              <w:rPr>
                <w:rFonts w:hint="eastAsia" w:ascii="方正仿宋_GB2312" w:hAnsi="仿宋" w:eastAsia="方正仿宋_GB2312" w:cs="方正仿宋_GB2312"/>
                <w:color w:val="auto"/>
                <w:sz w:val="24"/>
                <w:highlight w:val="none"/>
              </w:rPr>
              <w:t>10</w:t>
            </w:r>
          </w:p>
        </w:tc>
        <w:tc>
          <w:tcPr>
            <w:tcW w:w="553" w:type="dxa"/>
            <w:tcBorders>
              <w:top w:val="single" w:color="auto" w:sz="4" w:space="0"/>
              <w:left w:val="single" w:color="auto" w:sz="4" w:space="0"/>
              <w:bottom w:val="single" w:color="auto" w:sz="4" w:space="0"/>
              <w:right w:val="single" w:color="auto" w:sz="4" w:space="0"/>
            </w:tcBorders>
            <w:vAlign w:val="center"/>
          </w:tcPr>
          <w:p w14:paraId="28D9D0D9">
            <w:pPr>
              <w:keepNext w:val="0"/>
              <w:keepLines w:val="0"/>
              <w:suppressLineNumbers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r>
              <w:rPr>
                <w:rFonts w:hint="eastAsia" w:ascii="方正仿宋_GB2312" w:hAnsi="仿宋" w:eastAsia="方正仿宋_GB2312" w:cs="方正仿宋_GB2312"/>
                <w:color w:val="auto"/>
                <w:sz w:val="24"/>
                <w:highlight w:val="none"/>
              </w:rPr>
              <w:t>11</w:t>
            </w:r>
          </w:p>
        </w:tc>
        <w:tc>
          <w:tcPr>
            <w:tcW w:w="553" w:type="dxa"/>
            <w:tcBorders>
              <w:top w:val="single" w:color="auto" w:sz="4" w:space="0"/>
              <w:left w:val="single" w:color="auto" w:sz="4" w:space="0"/>
              <w:bottom w:val="single" w:color="auto" w:sz="4" w:space="0"/>
              <w:right w:val="single" w:color="auto" w:sz="4" w:space="0"/>
            </w:tcBorders>
            <w:vAlign w:val="center"/>
          </w:tcPr>
          <w:p w14:paraId="0AC35A1C">
            <w:pPr>
              <w:keepNext w:val="0"/>
              <w:keepLines w:val="0"/>
              <w:suppressLineNumbers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r>
              <w:rPr>
                <w:rFonts w:hint="eastAsia" w:ascii="方正仿宋_GB2312" w:hAnsi="仿宋" w:eastAsia="方正仿宋_GB2312" w:cs="方正仿宋_GB2312"/>
                <w:color w:val="auto"/>
                <w:sz w:val="24"/>
                <w:highlight w:val="none"/>
              </w:rPr>
              <w:t>12</w:t>
            </w:r>
          </w:p>
        </w:tc>
        <w:tc>
          <w:tcPr>
            <w:tcW w:w="553" w:type="dxa"/>
            <w:tcBorders>
              <w:top w:val="single" w:color="auto" w:sz="4" w:space="0"/>
              <w:left w:val="single" w:color="auto" w:sz="4" w:space="0"/>
              <w:bottom w:val="single" w:color="auto" w:sz="4" w:space="0"/>
              <w:right w:val="single" w:color="auto" w:sz="4" w:space="0"/>
            </w:tcBorders>
            <w:vAlign w:val="center"/>
          </w:tcPr>
          <w:p w14:paraId="4B2A1873">
            <w:pPr>
              <w:keepNext w:val="0"/>
              <w:keepLines w:val="0"/>
              <w:suppressLineNumbers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r>
              <w:rPr>
                <w:rFonts w:hint="eastAsia" w:ascii="方正仿宋_GB2312" w:hAnsi="仿宋" w:eastAsia="方正仿宋_GB2312" w:cs="方正仿宋_GB2312"/>
                <w:color w:val="auto"/>
                <w:sz w:val="24"/>
                <w:highlight w:val="none"/>
              </w:rPr>
              <w:t>13</w:t>
            </w:r>
          </w:p>
        </w:tc>
        <w:tc>
          <w:tcPr>
            <w:tcW w:w="553" w:type="dxa"/>
            <w:tcBorders>
              <w:top w:val="single" w:color="auto" w:sz="4" w:space="0"/>
              <w:left w:val="single" w:color="auto" w:sz="4" w:space="0"/>
              <w:bottom w:val="single" w:color="auto" w:sz="4" w:space="0"/>
              <w:right w:val="single" w:color="auto" w:sz="4" w:space="0"/>
            </w:tcBorders>
            <w:vAlign w:val="center"/>
          </w:tcPr>
          <w:p w14:paraId="3CEB705D">
            <w:pPr>
              <w:keepNext w:val="0"/>
              <w:keepLines w:val="0"/>
              <w:suppressLineNumbers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r>
              <w:rPr>
                <w:rFonts w:hint="eastAsia" w:ascii="方正仿宋_GB2312" w:hAnsi="仿宋" w:eastAsia="方正仿宋_GB2312" w:cs="方正仿宋_GB2312"/>
                <w:color w:val="auto"/>
                <w:sz w:val="24"/>
                <w:highlight w:val="none"/>
              </w:rPr>
              <w:t>14</w:t>
            </w:r>
          </w:p>
        </w:tc>
        <w:tc>
          <w:tcPr>
            <w:tcW w:w="553" w:type="dxa"/>
            <w:tcBorders>
              <w:top w:val="single" w:color="auto" w:sz="4" w:space="0"/>
              <w:left w:val="single" w:color="auto" w:sz="4" w:space="0"/>
              <w:bottom w:val="single" w:color="auto" w:sz="4" w:space="0"/>
              <w:right w:val="single" w:color="auto" w:sz="4" w:space="0"/>
            </w:tcBorders>
            <w:vAlign w:val="center"/>
          </w:tcPr>
          <w:p w14:paraId="7F98AECC">
            <w:pPr>
              <w:keepNext w:val="0"/>
              <w:keepLines w:val="0"/>
              <w:suppressLineNumbers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r>
              <w:rPr>
                <w:rFonts w:hint="eastAsia" w:ascii="方正仿宋_GB2312" w:hAnsi="仿宋" w:eastAsia="方正仿宋_GB2312" w:cs="方正仿宋_GB2312"/>
                <w:color w:val="auto"/>
                <w:sz w:val="24"/>
                <w:highlight w:val="none"/>
              </w:rPr>
              <w:t>15</w:t>
            </w:r>
          </w:p>
        </w:tc>
        <w:tc>
          <w:tcPr>
            <w:tcW w:w="553" w:type="dxa"/>
            <w:tcBorders>
              <w:top w:val="single" w:color="auto" w:sz="4" w:space="0"/>
              <w:left w:val="single" w:color="auto" w:sz="4" w:space="0"/>
              <w:bottom w:val="single" w:color="auto" w:sz="4" w:space="0"/>
              <w:right w:val="single" w:color="auto" w:sz="4" w:space="0"/>
            </w:tcBorders>
            <w:vAlign w:val="center"/>
          </w:tcPr>
          <w:p w14:paraId="60DCFADF">
            <w:pPr>
              <w:keepNext w:val="0"/>
              <w:keepLines w:val="0"/>
              <w:suppressLineNumbers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r>
              <w:rPr>
                <w:rFonts w:hint="eastAsia" w:ascii="方正仿宋_GB2312" w:hAnsi="仿宋" w:eastAsia="方正仿宋_GB2312" w:cs="方正仿宋_GB2312"/>
                <w:color w:val="auto"/>
                <w:sz w:val="24"/>
                <w:highlight w:val="none"/>
              </w:rPr>
              <w:t>…</w:t>
            </w:r>
          </w:p>
        </w:tc>
      </w:tr>
      <w:tr w14:paraId="2A7775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8" w:type="dxa"/>
            <w:tcBorders>
              <w:top w:val="single" w:color="auto" w:sz="4" w:space="0"/>
              <w:left w:val="single" w:color="auto" w:sz="4" w:space="0"/>
              <w:bottom w:val="single" w:color="auto" w:sz="4" w:space="0"/>
              <w:right w:val="single" w:color="auto" w:sz="4" w:space="0"/>
            </w:tcBorders>
            <w:vAlign w:val="center"/>
          </w:tcPr>
          <w:p w14:paraId="24F06F6F">
            <w:pPr>
              <w:keepNext w:val="0"/>
              <w:keepLines w:val="0"/>
              <w:suppressLineNumbers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p>
        </w:tc>
        <w:tc>
          <w:tcPr>
            <w:tcW w:w="552" w:type="dxa"/>
            <w:tcBorders>
              <w:top w:val="single" w:color="auto" w:sz="4" w:space="0"/>
              <w:left w:val="single" w:color="auto" w:sz="4" w:space="0"/>
              <w:bottom w:val="single" w:color="auto" w:sz="4" w:space="0"/>
              <w:right w:val="single" w:color="auto" w:sz="4" w:space="0"/>
            </w:tcBorders>
          </w:tcPr>
          <w:p w14:paraId="4F64F40A">
            <w:pPr>
              <w:keepNext w:val="0"/>
              <w:keepLines w:val="0"/>
              <w:suppressLineNumbers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p>
        </w:tc>
        <w:tc>
          <w:tcPr>
            <w:tcW w:w="552" w:type="dxa"/>
            <w:tcBorders>
              <w:top w:val="single" w:color="auto" w:sz="4" w:space="0"/>
              <w:left w:val="single" w:color="auto" w:sz="4" w:space="0"/>
              <w:bottom w:val="single" w:color="auto" w:sz="4" w:space="0"/>
              <w:right w:val="single" w:color="auto" w:sz="4" w:space="0"/>
            </w:tcBorders>
          </w:tcPr>
          <w:p w14:paraId="065BCDC7">
            <w:pPr>
              <w:keepNext w:val="0"/>
              <w:keepLines w:val="0"/>
              <w:suppressLineNumbers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p>
        </w:tc>
        <w:tc>
          <w:tcPr>
            <w:tcW w:w="552" w:type="dxa"/>
            <w:tcBorders>
              <w:top w:val="single" w:color="auto" w:sz="4" w:space="0"/>
              <w:left w:val="single" w:color="auto" w:sz="4" w:space="0"/>
              <w:bottom w:val="single" w:color="auto" w:sz="4" w:space="0"/>
              <w:right w:val="single" w:color="auto" w:sz="4" w:space="0"/>
            </w:tcBorders>
          </w:tcPr>
          <w:p w14:paraId="62200C42">
            <w:pPr>
              <w:keepNext w:val="0"/>
              <w:keepLines w:val="0"/>
              <w:suppressLineNumbers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p>
        </w:tc>
        <w:tc>
          <w:tcPr>
            <w:tcW w:w="552" w:type="dxa"/>
            <w:tcBorders>
              <w:top w:val="single" w:color="auto" w:sz="4" w:space="0"/>
              <w:left w:val="single" w:color="auto" w:sz="4" w:space="0"/>
              <w:bottom w:val="single" w:color="auto" w:sz="4" w:space="0"/>
              <w:right w:val="single" w:color="auto" w:sz="4" w:space="0"/>
            </w:tcBorders>
          </w:tcPr>
          <w:p w14:paraId="37BA830D">
            <w:pPr>
              <w:keepNext w:val="0"/>
              <w:keepLines w:val="0"/>
              <w:suppressLineNumbers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p>
        </w:tc>
        <w:tc>
          <w:tcPr>
            <w:tcW w:w="552" w:type="dxa"/>
            <w:tcBorders>
              <w:top w:val="single" w:color="auto" w:sz="4" w:space="0"/>
              <w:left w:val="single" w:color="auto" w:sz="4" w:space="0"/>
              <w:bottom w:val="single" w:color="auto" w:sz="4" w:space="0"/>
              <w:right w:val="single" w:color="auto" w:sz="4" w:space="0"/>
            </w:tcBorders>
          </w:tcPr>
          <w:p w14:paraId="2FEA5BE9">
            <w:pPr>
              <w:keepNext w:val="0"/>
              <w:keepLines w:val="0"/>
              <w:suppressLineNumbers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p>
        </w:tc>
        <w:tc>
          <w:tcPr>
            <w:tcW w:w="552" w:type="dxa"/>
            <w:tcBorders>
              <w:top w:val="single" w:color="auto" w:sz="4" w:space="0"/>
              <w:left w:val="single" w:color="auto" w:sz="4" w:space="0"/>
              <w:bottom w:val="single" w:color="auto" w:sz="4" w:space="0"/>
              <w:right w:val="single" w:color="auto" w:sz="4" w:space="0"/>
            </w:tcBorders>
          </w:tcPr>
          <w:p w14:paraId="74953F94">
            <w:pPr>
              <w:keepNext w:val="0"/>
              <w:keepLines w:val="0"/>
              <w:suppressLineNumbers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p>
        </w:tc>
        <w:tc>
          <w:tcPr>
            <w:tcW w:w="553" w:type="dxa"/>
            <w:tcBorders>
              <w:top w:val="single" w:color="auto" w:sz="4" w:space="0"/>
              <w:left w:val="single" w:color="auto" w:sz="4" w:space="0"/>
              <w:bottom w:val="single" w:color="auto" w:sz="4" w:space="0"/>
              <w:right w:val="single" w:color="auto" w:sz="4" w:space="0"/>
            </w:tcBorders>
          </w:tcPr>
          <w:p w14:paraId="23526D7F">
            <w:pPr>
              <w:keepNext w:val="0"/>
              <w:keepLines w:val="0"/>
              <w:suppressLineNumbers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p>
        </w:tc>
        <w:tc>
          <w:tcPr>
            <w:tcW w:w="553" w:type="dxa"/>
            <w:tcBorders>
              <w:top w:val="single" w:color="auto" w:sz="4" w:space="0"/>
              <w:left w:val="single" w:color="auto" w:sz="4" w:space="0"/>
              <w:bottom w:val="single" w:color="auto" w:sz="4" w:space="0"/>
              <w:right w:val="single" w:color="auto" w:sz="4" w:space="0"/>
            </w:tcBorders>
          </w:tcPr>
          <w:p w14:paraId="0FE7E60C">
            <w:pPr>
              <w:keepNext w:val="0"/>
              <w:keepLines w:val="0"/>
              <w:suppressLineNumbers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p>
        </w:tc>
        <w:tc>
          <w:tcPr>
            <w:tcW w:w="553" w:type="dxa"/>
            <w:tcBorders>
              <w:top w:val="single" w:color="auto" w:sz="4" w:space="0"/>
              <w:left w:val="single" w:color="auto" w:sz="4" w:space="0"/>
              <w:bottom w:val="single" w:color="auto" w:sz="4" w:space="0"/>
              <w:right w:val="single" w:color="auto" w:sz="4" w:space="0"/>
            </w:tcBorders>
          </w:tcPr>
          <w:p w14:paraId="4D2399D4">
            <w:pPr>
              <w:keepNext w:val="0"/>
              <w:keepLines w:val="0"/>
              <w:suppressLineNumbers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p>
        </w:tc>
        <w:tc>
          <w:tcPr>
            <w:tcW w:w="553" w:type="dxa"/>
            <w:tcBorders>
              <w:top w:val="single" w:color="auto" w:sz="4" w:space="0"/>
              <w:left w:val="single" w:color="auto" w:sz="4" w:space="0"/>
              <w:bottom w:val="single" w:color="auto" w:sz="4" w:space="0"/>
              <w:right w:val="single" w:color="auto" w:sz="4" w:space="0"/>
            </w:tcBorders>
          </w:tcPr>
          <w:p w14:paraId="3E6CFC81">
            <w:pPr>
              <w:keepNext w:val="0"/>
              <w:keepLines w:val="0"/>
              <w:suppressLineNumbers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p>
        </w:tc>
        <w:tc>
          <w:tcPr>
            <w:tcW w:w="553" w:type="dxa"/>
            <w:tcBorders>
              <w:top w:val="single" w:color="auto" w:sz="4" w:space="0"/>
              <w:left w:val="single" w:color="auto" w:sz="4" w:space="0"/>
              <w:bottom w:val="single" w:color="auto" w:sz="4" w:space="0"/>
              <w:right w:val="single" w:color="auto" w:sz="4" w:space="0"/>
            </w:tcBorders>
          </w:tcPr>
          <w:p w14:paraId="7EE8BE38">
            <w:pPr>
              <w:keepNext w:val="0"/>
              <w:keepLines w:val="0"/>
              <w:suppressLineNumbers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p>
        </w:tc>
        <w:tc>
          <w:tcPr>
            <w:tcW w:w="553" w:type="dxa"/>
            <w:tcBorders>
              <w:top w:val="single" w:color="auto" w:sz="4" w:space="0"/>
              <w:left w:val="single" w:color="auto" w:sz="4" w:space="0"/>
              <w:bottom w:val="single" w:color="auto" w:sz="4" w:space="0"/>
              <w:right w:val="single" w:color="auto" w:sz="4" w:space="0"/>
            </w:tcBorders>
          </w:tcPr>
          <w:p w14:paraId="796E6D5F">
            <w:pPr>
              <w:keepNext w:val="0"/>
              <w:keepLines w:val="0"/>
              <w:suppressLineNumbers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p>
        </w:tc>
        <w:tc>
          <w:tcPr>
            <w:tcW w:w="553" w:type="dxa"/>
            <w:tcBorders>
              <w:top w:val="single" w:color="auto" w:sz="4" w:space="0"/>
              <w:left w:val="single" w:color="auto" w:sz="4" w:space="0"/>
              <w:bottom w:val="single" w:color="auto" w:sz="4" w:space="0"/>
              <w:right w:val="single" w:color="auto" w:sz="4" w:space="0"/>
            </w:tcBorders>
          </w:tcPr>
          <w:p w14:paraId="0976CBAA">
            <w:pPr>
              <w:keepNext w:val="0"/>
              <w:keepLines w:val="0"/>
              <w:suppressLineNumbers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p>
        </w:tc>
        <w:tc>
          <w:tcPr>
            <w:tcW w:w="553" w:type="dxa"/>
            <w:tcBorders>
              <w:top w:val="single" w:color="auto" w:sz="4" w:space="0"/>
              <w:left w:val="single" w:color="auto" w:sz="4" w:space="0"/>
              <w:bottom w:val="single" w:color="auto" w:sz="4" w:space="0"/>
              <w:right w:val="single" w:color="auto" w:sz="4" w:space="0"/>
            </w:tcBorders>
          </w:tcPr>
          <w:p w14:paraId="39214183">
            <w:pPr>
              <w:keepNext w:val="0"/>
              <w:keepLines w:val="0"/>
              <w:suppressLineNumbers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p>
        </w:tc>
        <w:tc>
          <w:tcPr>
            <w:tcW w:w="553" w:type="dxa"/>
            <w:tcBorders>
              <w:top w:val="single" w:color="auto" w:sz="4" w:space="0"/>
              <w:left w:val="single" w:color="auto" w:sz="4" w:space="0"/>
              <w:bottom w:val="single" w:color="auto" w:sz="4" w:space="0"/>
              <w:right w:val="single" w:color="auto" w:sz="4" w:space="0"/>
            </w:tcBorders>
          </w:tcPr>
          <w:p w14:paraId="3D5DD55A">
            <w:pPr>
              <w:keepNext w:val="0"/>
              <w:keepLines w:val="0"/>
              <w:suppressLineNumbers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p>
        </w:tc>
        <w:tc>
          <w:tcPr>
            <w:tcW w:w="553" w:type="dxa"/>
            <w:tcBorders>
              <w:top w:val="single" w:color="auto" w:sz="4" w:space="0"/>
              <w:left w:val="single" w:color="auto" w:sz="4" w:space="0"/>
              <w:bottom w:val="single" w:color="auto" w:sz="4" w:space="0"/>
              <w:right w:val="single" w:color="auto" w:sz="4" w:space="0"/>
            </w:tcBorders>
          </w:tcPr>
          <w:p w14:paraId="159214AF">
            <w:pPr>
              <w:keepNext w:val="0"/>
              <w:keepLines w:val="0"/>
              <w:suppressLineNumbers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p>
        </w:tc>
      </w:tr>
      <w:tr w14:paraId="7F8DAE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8" w:type="dxa"/>
            <w:tcBorders>
              <w:top w:val="single" w:color="auto" w:sz="4" w:space="0"/>
              <w:left w:val="single" w:color="auto" w:sz="4" w:space="0"/>
              <w:bottom w:val="single" w:color="auto" w:sz="4" w:space="0"/>
              <w:right w:val="single" w:color="auto" w:sz="4" w:space="0"/>
            </w:tcBorders>
            <w:vAlign w:val="center"/>
          </w:tcPr>
          <w:p w14:paraId="266C1341">
            <w:pPr>
              <w:keepNext w:val="0"/>
              <w:keepLines w:val="0"/>
              <w:suppressLineNumbers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p>
        </w:tc>
        <w:tc>
          <w:tcPr>
            <w:tcW w:w="552" w:type="dxa"/>
            <w:tcBorders>
              <w:top w:val="single" w:color="auto" w:sz="4" w:space="0"/>
              <w:left w:val="single" w:color="auto" w:sz="4" w:space="0"/>
              <w:bottom w:val="single" w:color="auto" w:sz="4" w:space="0"/>
              <w:right w:val="single" w:color="auto" w:sz="4" w:space="0"/>
            </w:tcBorders>
          </w:tcPr>
          <w:p w14:paraId="18F05D9F">
            <w:pPr>
              <w:keepNext w:val="0"/>
              <w:keepLines w:val="0"/>
              <w:suppressLineNumbers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p>
        </w:tc>
        <w:tc>
          <w:tcPr>
            <w:tcW w:w="552" w:type="dxa"/>
            <w:tcBorders>
              <w:top w:val="single" w:color="auto" w:sz="4" w:space="0"/>
              <w:left w:val="single" w:color="auto" w:sz="4" w:space="0"/>
              <w:bottom w:val="single" w:color="auto" w:sz="4" w:space="0"/>
              <w:right w:val="single" w:color="auto" w:sz="4" w:space="0"/>
            </w:tcBorders>
          </w:tcPr>
          <w:p w14:paraId="68150744">
            <w:pPr>
              <w:keepNext w:val="0"/>
              <w:keepLines w:val="0"/>
              <w:suppressLineNumbers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p>
        </w:tc>
        <w:tc>
          <w:tcPr>
            <w:tcW w:w="552" w:type="dxa"/>
            <w:tcBorders>
              <w:top w:val="single" w:color="auto" w:sz="4" w:space="0"/>
              <w:left w:val="single" w:color="auto" w:sz="4" w:space="0"/>
              <w:bottom w:val="single" w:color="auto" w:sz="4" w:space="0"/>
              <w:right w:val="single" w:color="auto" w:sz="4" w:space="0"/>
            </w:tcBorders>
          </w:tcPr>
          <w:p w14:paraId="2888EAAA">
            <w:pPr>
              <w:keepNext w:val="0"/>
              <w:keepLines w:val="0"/>
              <w:suppressLineNumbers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p>
        </w:tc>
        <w:tc>
          <w:tcPr>
            <w:tcW w:w="552" w:type="dxa"/>
            <w:tcBorders>
              <w:top w:val="single" w:color="auto" w:sz="4" w:space="0"/>
              <w:left w:val="single" w:color="auto" w:sz="4" w:space="0"/>
              <w:bottom w:val="single" w:color="auto" w:sz="4" w:space="0"/>
              <w:right w:val="single" w:color="auto" w:sz="4" w:space="0"/>
            </w:tcBorders>
          </w:tcPr>
          <w:p w14:paraId="0C15A043">
            <w:pPr>
              <w:keepNext w:val="0"/>
              <w:keepLines w:val="0"/>
              <w:suppressLineNumbers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p>
        </w:tc>
        <w:tc>
          <w:tcPr>
            <w:tcW w:w="552" w:type="dxa"/>
            <w:tcBorders>
              <w:top w:val="single" w:color="auto" w:sz="4" w:space="0"/>
              <w:left w:val="single" w:color="auto" w:sz="4" w:space="0"/>
              <w:bottom w:val="single" w:color="auto" w:sz="4" w:space="0"/>
              <w:right w:val="single" w:color="auto" w:sz="4" w:space="0"/>
            </w:tcBorders>
          </w:tcPr>
          <w:p w14:paraId="595F7F4D">
            <w:pPr>
              <w:keepNext w:val="0"/>
              <w:keepLines w:val="0"/>
              <w:suppressLineNumbers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p>
        </w:tc>
        <w:tc>
          <w:tcPr>
            <w:tcW w:w="552" w:type="dxa"/>
            <w:tcBorders>
              <w:top w:val="single" w:color="auto" w:sz="4" w:space="0"/>
              <w:left w:val="single" w:color="auto" w:sz="4" w:space="0"/>
              <w:bottom w:val="single" w:color="auto" w:sz="4" w:space="0"/>
              <w:right w:val="single" w:color="auto" w:sz="4" w:space="0"/>
            </w:tcBorders>
          </w:tcPr>
          <w:p w14:paraId="301C38CC">
            <w:pPr>
              <w:keepNext w:val="0"/>
              <w:keepLines w:val="0"/>
              <w:suppressLineNumbers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p>
        </w:tc>
        <w:tc>
          <w:tcPr>
            <w:tcW w:w="553" w:type="dxa"/>
            <w:tcBorders>
              <w:top w:val="single" w:color="auto" w:sz="4" w:space="0"/>
              <w:left w:val="single" w:color="auto" w:sz="4" w:space="0"/>
              <w:bottom w:val="single" w:color="auto" w:sz="4" w:space="0"/>
              <w:right w:val="single" w:color="auto" w:sz="4" w:space="0"/>
            </w:tcBorders>
          </w:tcPr>
          <w:p w14:paraId="56053E63">
            <w:pPr>
              <w:keepNext w:val="0"/>
              <w:keepLines w:val="0"/>
              <w:suppressLineNumbers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p>
        </w:tc>
        <w:tc>
          <w:tcPr>
            <w:tcW w:w="553" w:type="dxa"/>
            <w:tcBorders>
              <w:top w:val="single" w:color="auto" w:sz="4" w:space="0"/>
              <w:left w:val="single" w:color="auto" w:sz="4" w:space="0"/>
              <w:bottom w:val="single" w:color="auto" w:sz="4" w:space="0"/>
              <w:right w:val="single" w:color="auto" w:sz="4" w:space="0"/>
            </w:tcBorders>
          </w:tcPr>
          <w:p w14:paraId="6C462C02">
            <w:pPr>
              <w:keepNext w:val="0"/>
              <w:keepLines w:val="0"/>
              <w:suppressLineNumbers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p>
        </w:tc>
        <w:tc>
          <w:tcPr>
            <w:tcW w:w="553" w:type="dxa"/>
            <w:tcBorders>
              <w:top w:val="single" w:color="auto" w:sz="4" w:space="0"/>
              <w:left w:val="single" w:color="auto" w:sz="4" w:space="0"/>
              <w:bottom w:val="single" w:color="auto" w:sz="4" w:space="0"/>
              <w:right w:val="single" w:color="auto" w:sz="4" w:space="0"/>
            </w:tcBorders>
          </w:tcPr>
          <w:p w14:paraId="68452863">
            <w:pPr>
              <w:keepNext w:val="0"/>
              <w:keepLines w:val="0"/>
              <w:suppressLineNumbers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p>
        </w:tc>
        <w:tc>
          <w:tcPr>
            <w:tcW w:w="553" w:type="dxa"/>
            <w:tcBorders>
              <w:top w:val="single" w:color="auto" w:sz="4" w:space="0"/>
              <w:left w:val="single" w:color="auto" w:sz="4" w:space="0"/>
              <w:bottom w:val="single" w:color="auto" w:sz="4" w:space="0"/>
              <w:right w:val="single" w:color="auto" w:sz="4" w:space="0"/>
            </w:tcBorders>
          </w:tcPr>
          <w:p w14:paraId="7568E9FB">
            <w:pPr>
              <w:keepNext w:val="0"/>
              <w:keepLines w:val="0"/>
              <w:suppressLineNumbers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p>
        </w:tc>
        <w:tc>
          <w:tcPr>
            <w:tcW w:w="553" w:type="dxa"/>
            <w:tcBorders>
              <w:top w:val="single" w:color="auto" w:sz="4" w:space="0"/>
              <w:left w:val="single" w:color="auto" w:sz="4" w:space="0"/>
              <w:bottom w:val="single" w:color="auto" w:sz="4" w:space="0"/>
              <w:right w:val="single" w:color="auto" w:sz="4" w:space="0"/>
            </w:tcBorders>
          </w:tcPr>
          <w:p w14:paraId="48C33AC4">
            <w:pPr>
              <w:keepNext w:val="0"/>
              <w:keepLines w:val="0"/>
              <w:suppressLineNumbers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p>
        </w:tc>
        <w:tc>
          <w:tcPr>
            <w:tcW w:w="553" w:type="dxa"/>
            <w:tcBorders>
              <w:top w:val="single" w:color="auto" w:sz="4" w:space="0"/>
              <w:left w:val="single" w:color="auto" w:sz="4" w:space="0"/>
              <w:bottom w:val="single" w:color="auto" w:sz="4" w:space="0"/>
              <w:right w:val="single" w:color="auto" w:sz="4" w:space="0"/>
            </w:tcBorders>
          </w:tcPr>
          <w:p w14:paraId="5B8260DD">
            <w:pPr>
              <w:keepNext w:val="0"/>
              <w:keepLines w:val="0"/>
              <w:suppressLineNumbers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p>
        </w:tc>
        <w:tc>
          <w:tcPr>
            <w:tcW w:w="553" w:type="dxa"/>
            <w:tcBorders>
              <w:top w:val="single" w:color="auto" w:sz="4" w:space="0"/>
              <w:left w:val="single" w:color="auto" w:sz="4" w:space="0"/>
              <w:bottom w:val="single" w:color="auto" w:sz="4" w:space="0"/>
              <w:right w:val="single" w:color="auto" w:sz="4" w:space="0"/>
            </w:tcBorders>
          </w:tcPr>
          <w:p w14:paraId="1014F811">
            <w:pPr>
              <w:keepNext w:val="0"/>
              <w:keepLines w:val="0"/>
              <w:suppressLineNumbers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p>
        </w:tc>
        <w:tc>
          <w:tcPr>
            <w:tcW w:w="553" w:type="dxa"/>
            <w:tcBorders>
              <w:top w:val="single" w:color="auto" w:sz="4" w:space="0"/>
              <w:left w:val="single" w:color="auto" w:sz="4" w:space="0"/>
              <w:bottom w:val="single" w:color="auto" w:sz="4" w:space="0"/>
              <w:right w:val="single" w:color="auto" w:sz="4" w:space="0"/>
            </w:tcBorders>
          </w:tcPr>
          <w:p w14:paraId="2EEE1EF8">
            <w:pPr>
              <w:keepNext w:val="0"/>
              <w:keepLines w:val="0"/>
              <w:suppressLineNumbers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p>
        </w:tc>
        <w:tc>
          <w:tcPr>
            <w:tcW w:w="553" w:type="dxa"/>
            <w:tcBorders>
              <w:top w:val="single" w:color="auto" w:sz="4" w:space="0"/>
              <w:left w:val="single" w:color="auto" w:sz="4" w:space="0"/>
              <w:bottom w:val="single" w:color="auto" w:sz="4" w:space="0"/>
              <w:right w:val="single" w:color="auto" w:sz="4" w:space="0"/>
            </w:tcBorders>
          </w:tcPr>
          <w:p w14:paraId="3AB2F7D2">
            <w:pPr>
              <w:keepNext w:val="0"/>
              <w:keepLines w:val="0"/>
              <w:suppressLineNumbers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p>
        </w:tc>
        <w:tc>
          <w:tcPr>
            <w:tcW w:w="553" w:type="dxa"/>
            <w:tcBorders>
              <w:top w:val="single" w:color="auto" w:sz="4" w:space="0"/>
              <w:left w:val="single" w:color="auto" w:sz="4" w:space="0"/>
              <w:bottom w:val="single" w:color="auto" w:sz="4" w:space="0"/>
              <w:right w:val="single" w:color="auto" w:sz="4" w:space="0"/>
            </w:tcBorders>
          </w:tcPr>
          <w:p w14:paraId="50DD83E9">
            <w:pPr>
              <w:keepNext w:val="0"/>
              <w:keepLines w:val="0"/>
              <w:suppressLineNumbers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p>
        </w:tc>
      </w:tr>
      <w:tr w14:paraId="30AB4B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8" w:type="dxa"/>
            <w:tcBorders>
              <w:top w:val="single" w:color="auto" w:sz="4" w:space="0"/>
              <w:left w:val="single" w:color="auto" w:sz="4" w:space="0"/>
              <w:bottom w:val="single" w:color="auto" w:sz="4" w:space="0"/>
              <w:right w:val="single" w:color="auto" w:sz="4" w:space="0"/>
            </w:tcBorders>
            <w:vAlign w:val="center"/>
          </w:tcPr>
          <w:p w14:paraId="3293E121">
            <w:pPr>
              <w:keepNext w:val="0"/>
              <w:keepLines w:val="0"/>
              <w:suppressLineNumbers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p>
        </w:tc>
        <w:tc>
          <w:tcPr>
            <w:tcW w:w="552" w:type="dxa"/>
            <w:tcBorders>
              <w:top w:val="single" w:color="auto" w:sz="4" w:space="0"/>
              <w:left w:val="single" w:color="auto" w:sz="4" w:space="0"/>
              <w:bottom w:val="single" w:color="auto" w:sz="4" w:space="0"/>
              <w:right w:val="single" w:color="auto" w:sz="4" w:space="0"/>
            </w:tcBorders>
          </w:tcPr>
          <w:p w14:paraId="4E35DB88">
            <w:pPr>
              <w:keepNext w:val="0"/>
              <w:keepLines w:val="0"/>
              <w:suppressLineNumbers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p>
        </w:tc>
        <w:tc>
          <w:tcPr>
            <w:tcW w:w="552" w:type="dxa"/>
            <w:tcBorders>
              <w:top w:val="single" w:color="auto" w:sz="4" w:space="0"/>
              <w:left w:val="single" w:color="auto" w:sz="4" w:space="0"/>
              <w:bottom w:val="single" w:color="auto" w:sz="4" w:space="0"/>
              <w:right w:val="single" w:color="auto" w:sz="4" w:space="0"/>
            </w:tcBorders>
          </w:tcPr>
          <w:p w14:paraId="1841F457">
            <w:pPr>
              <w:keepNext w:val="0"/>
              <w:keepLines w:val="0"/>
              <w:suppressLineNumbers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p>
        </w:tc>
        <w:tc>
          <w:tcPr>
            <w:tcW w:w="552" w:type="dxa"/>
            <w:tcBorders>
              <w:top w:val="single" w:color="auto" w:sz="4" w:space="0"/>
              <w:left w:val="single" w:color="auto" w:sz="4" w:space="0"/>
              <w:bottom w:val="single" w:color="auto" w:sz="4" w:space="0"/>
              <w:right w:val="single" w:color="auto" w:sz="4" w:space="0"/>
            </w:tcBorders>
          </w:tcPr>
          <w:p w14:paraId="72A3731B">
            <w:pPr>
              <w:keepNext w:val="0"/>
              <w:keepLines w:val="0"/>
              <w:suppressLineNumbers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p>
        </w:tc>
        <w:tc>
          <w:tcPr>
            <w:tcW w:w="552" w:type="dxa"/>
            <w:tcBorders>
              <w:top w:val="single" w:color="auto" w:sz="4" w:space="0"/>
              <w:left w:val="single" w:color="auto" w:sz="4" w:space="0"/>
              <w:bottom w:val="single" w:color="auto" w:sz="4" w:space="0"/>
              <w:right w:val="single" w:color="auto" w:sz="4" w:space="0"/>
            </w:tcBorders>
          </w:tcPr>
          <w:p w14:paraId="24382059">
            <w:pPr>
              <w:keepNext w:val="0"/>
              <w:keepLines w:val="0"/>
              <w:suppressLineNumbers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p>
        </w:tc>
        <w:tc>
          <w:tcPr>
            <w:tcW w:w="552" w:type="dxa"/>
            <w:tcBorders>
              <w:top w:val="single" w:color="auto" w:sz="4" w:space="0"/>
              <w:left w:val="single" w:color="auto" w:sz="4" w:space="0"/>
              <w:bottom w:val="single" w:color="auto" w:sz="4" w:space="0"/>
              <w:right w:val="single" w:color="auto" w:sz="4" w:space="0"/>
            </w:tcBorders>
          </w:tcPr>
          <w:p w14:paraId="49353062">
            <w:pPr>
              <w:keepNext w:val="0"/>
              <w:keepLines w:val="0"/>
              <w:suppressLineNumbers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p>
        </w:tc>
        <w:tc>
          <w:tcPr>
            <w:tcW w:w="552" w:type="dxa"/>
            <w:tcBorders>
              <w:top w:val="single" w:color="auto" w:sz="4" w:space="0"/>
              <w:left w:val="single" w:color="auto" w:sz="4" w:space="0"/>
              <w:bottom w:val="single" w:color="auto" w:sz="4" w:space="0"/>
              <w:right w:val="single" w:color="auto" w:sz="4" w:space="0"/>
            </w:tcBorders>
          </w:tcPr>
          <w:p w14:paraId="5C9F2AE0">
            <w:pPr>
              <w:keepNext w:val="0"/>
              <w:keepLines w:val="0"/>
              <w:suppressLineNumbers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p>
        </w:tc>
        <w:tc>
          <w:tcPr>
            <w:tcW w:w="553" w:type="dxa"/>
            <w:tcBorders>
              <w:top w:val="single" w:color="auto" w:sz="4" w:space="0"/>
              <w:left w:val="single" w:color="auto" w:sz="4" w:space="0"/>
              <w:bottom w:val="single" w:color="auto" w:sz="4" w:space="0"/>
              <w:right w:val="single" w:color="auto" w:sz="4" w:space="0"/>
            </w:tcBorders>
          </w:tcPr>
          <w:p w14:paraId="7A5BDF00">
            <w:pPr>
              <w:keepNext w:val="0"/>
              <w:keepLines w:val="0"/>
              <w:suppressLineNumbers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p>
        </w:tc>
        <w:tc>
          <w:tcPr>
            <w:tcW w:w="553" w:type="dxa"/>
            <w:tcBorders>
              <w:top w:val="single" w:color="auto" w:sz="4" w:space="0"/>
              <w:left w:val="single" w:color="auto" w:sz="4" w:space="0"/>
              <w:bottom w:val="single" w:color="auto" w:sz="4" w:space="0"/>
              <w:right w:val="single" w:color="auto" w:sz="4" w:space="0"/>
            </w:tcBorders>
          </w:tcPr>
          <w:p w14:paraId="647371BB">
            <w:pPr>
              <w:keepNext w:val="0"/>
              <w:keepLines w:val="0"/>
              <w:suppressLineNumbers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p>
        </w:tc>
        <w:tc>
          <w:tcPr>
            <w:tcW w:w="553" w:type="dxa"/>
            <w:tcBorders>
              <w:top w:val="single" w:color="auto" w:sz="4" w:space="0"/>
              <w:left w:val="single" w:color="auto" w:sz="4" w:space="0"/>
              <w:bottom w:val="single" w:color="auto" w:sz="4" w:space="0"/>
              <w:right w:val="single" w:color="auto" w:sz="4" w:space="0"/>
            </w:tcBorders>
          </w:tcPr>
          <w:p w14:paraId="5E4D9BEE">
            <w:pPr>
              <w:keepNext w:val="0"/>
              <w:keepLines w:val="0"/>
              <w:suppressLineNumbers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p>
        </w:tc>
        <w:tc>
          <w:tcPr>
            <w:tcW w:w="553" w:type="dxa"/>
            <w:tcBorders>
              <w:top w:val="single" w:color="auto" w:sz="4" w:space="0"/>
              <w:left w:val="single" w:color="auto" w:sz="4" w:space="0"/>
              <w:bottom w:val="single" w:color="auto" w:sz="4" w:space="0"/>
              <w:right w:val="single" w:color="auto" w:sz="4" w:space="0"/>
            </w:tcBorders>
          </w:tcPr>
          <w:p w14:paraId="3D158328">
            <w:pPr>
              <w:keepNext w:val="0"/>
              <w:keepLines w:val="0"/>
              <w:suppressLineNumbers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p>
        </w:tc>
        <w:tc>
          <w:tcPr>
            <w:tcW w:w="553" w:type="dxa"/>
            <w:tcBorders>
              <w:top w:val="single" w:color="auto" w:sz="4" w:space="0"/>
              <w:left w:val="single" w:color="auto" w:sz="4" w:space="0"/>
              <w:bottom w:val="single" w:color="auto" w:sz="4" w:space="0"/>
              <w:right w:val="single" w:color="auto" w:sz="4" w:space="0"/>
            </w:tcBorders>
          </w:tcPr>
          <w:p w14:paraId="7D805D29">
            <w:pPr>
              <w:keepNext w:val="0"/>
              <w:keepLines w:val="0"/>
              <w:suppressLineNumbers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p>
        </w:tc>
        <w:tc>
          <w:tcPr>
            <w:tcW w:w="553" w:type="dxa"/>
            <w:tcBorders>
              <w:top w:val="single" w:color="auto" w:sz="4" w:space="0"/>
              <w:left w:val="single" w:color="auto" w:sz="4" w:space="0"/>
              <w:bottom w:val="single" w:color="auto" w:sz="4" w:space="0"/>
              <w:right w:val="single" w:color="auto" w:sz="4" w:space="0"/>
            </w:tcBorders>
          </w:tcPr>
          <w:p w14:paraId="73DE52C7">
            <w:pPr>
              <w:keepNext w:val="0"/>
              <w:keepLines w:val="0"/>
              <w:suppressLineNumbers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p>
        </w:tc>
        <w:tc>
          <w:tcPr>
            <w:tcW w:w="553" w:type="dxa"/>
            <w:tcBorders>
              <w:top w:val="single" w:color="auto" w:sz="4" w:space="0"/>
              <w:left w:val="single" w:color="auto" w:sz="4" w:space="0"/>
              <w:bottom w:val="single" w:color="auto" w:sz="4" w:space="0"/>
              <w:right w:val="single" w:color="auto" w:sz="4" w:space="0"/>
            </w:tcBorders>
          </w:tcPr>
          <w:p w14:paraId="13CE9092">
            <w:pPr>
              <w:keepNext w:val="0"/>
              <w:keepLines w:val="0"/>
              <w:suppressLineNumbers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p>
        </w:tc>
        <w:tc>
          <w:tcPr>
            <w:tcW w:w="553" w:type="dxa"/>
            <w:tcBorders>
              <w:top w:val="single" w:color="auto" w:sz="4" w:space="0"/>
              <w:left w:val="single" w:color="auto" w:sz="4" w:space="0"/>
              <w:bottom w:val="single" w:color="auto" w:sz="4" w:space="0"/>
              <w:right w:val="single" w:color="auto" w:sz="4" w:space="0"/>
            </w:tcBorders>
          </w:tcPr>
          <w:p w14:paraId="3D969BA0">
            <w:pPr>
              <w:keepNext w:val="0"/>
              <w:keepLines w:val="0"/>
              <w:suppressLineNumbers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p>
        </w:tc>
        <w:tc>
          <w:tcPr>
            <w:tcW w:w="553" w:type="dxa"/>
            <w:tcBorders>
              <w:top w:val="single" w:color="auto" w:sz="4" w:space="0"/>
              <w:left w:val="single" w:color="auto" w:sz="4" w:space="0"/>
              <w:bottom w:val="single" w:color="auto" w:sz="4" w:space="0"/>
              <w:right w:val="single" w:color="auto" w:sz="4" w:space="0"/>
            </w:tcBorders>
          </w:tcPr>
          <w:p w14:paraId="64B14C97">
            <w:pPr>
              <w:keepNext w:val="0"/>
              <w:keepLines w:val="0"/>
              <w:suppressLineNumbers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p>
        </w:tc>
        <w:tc>
          <w:tcPr>
            <w:tcW w:w="553" w:type="dxa"/>
            <w:tcBorders>
              <w:top w:val="single" w:color="auto" w:sz="4" w:space="0"/>
              <w:left w:val="single" w:color="auto" w:sz="4" w:space="0"/>
              <w:bottom w:val="single" w:color="auto" w:sz="4" w:space="0"/>
              <w:right w:val="single" w:color="auto" w:sz="4" w:space="0"/>
            </w:tcBorders>
          </w:tcPr>
          <w:p w14:paraId="5BD21FB8">
            <w:pPr>
              <w:keepNext w:val="0"/>
              <w:keepLines w:val="0"/>
              <w:suppressLineNumbers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p>
        </w:tc>
      </w:tr>
      <w:tr w14:paraId="585B96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8" w:type="dxa"/>
            <w:tcBorders>
              <w:top w:val="single" w:color="auto" w:sz="4" w:space="0"/>
              <w:left w:val="single" w:color="auto" w:sz="4" w:space="0"/>
              <w:bottom w:val="single" w:color="auto" w:sz="4" w:space="0"/>
              <w:right w:val="single" w:color="auto" w:sz="4" w:space="0"/>
            </w:tcBorders>
            <w:vAlign w:val="center"/>
          </w:tcPr>
          <w:p w14:paraId="2F0B39DB">
            <w:pPr>
              <w:keepNext w:val="0"/>
              <w:keepLines w:val="0"/>
              <w:suppressLineNumbers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p>
        </w:tc>
        <w:tc>
          <w:tcPr>
            <w:tcW w:w="552" w:type="dxa"/>
            <w:tcBorders>
              <w:top w:val="single" w:color="auto" w:sz="4" w:space="0"/>
              <w:left w:val="single" w:color="auto" w:sz="4" w:space="0"/>
              <w:bottom w:val="single" w:color="auto" w:sz="4" w:space="0"/>
              <w:right w:val="single" w:color="auto" w:sz="4" w:space="0"/>
            </w:tcBorders>
          </w:tcPr>
          <w:p w14:paraId="191C7A94">
            <w:pPr>
              <w:keepNext w:val="0"/>
              <w:keepLines w:val="0"/>
              <w:suppressLineNumbers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p>
        </w:tc>
        <w:tc>
          <w:tcPr>
            <w:tcW w:w="552" w:type="dxa"/>
            <w:tcBorders>
              <w:top w:val="single" w:color="auto" w:sz="4" w:space="0"/>
              <w:left w:val="single" w:color="auto" w:sz="4" w:space="0"/>
              <w:bottom w:val="single" w:color="auto" w:sz="4" w:space="0"/>
              <w:right w:val="single" w:color="auto" w:sz="4" w:space="0"/>
            </w:tcBorders>
          </w:tcPr>
          <w:p w14:paraId="72D5FFC4">
            <w:pPr>
              <w:keepNext w:val="0"/>
              <w:keepLines w:val="0"/>
              <w:suppressLineNumbers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p>
        </w:tc>
        <w:tc>
          <w:tcPr>
            <w:tcW w:w="552" w:type="dxa"/>
            <w:tcBorders>
              <w:top w:val="single" w:color="auto" w:sz="4" w:space="0"/>
              <w:left w:val="single" w:color="auto" w:sz="4" w:space="0"/>
              <w:bottom w:val="single" w:color="auto" w:sz="4" w:space="0"/>
              <w:right w:val="single" w:color="auto" w:sz="4" w:space="0"/>
            </w:tcBorders>
          </w:tcPr>
          <w:p w14:paraId="38E03A1C">
            <w:pPr>
              <w:keepNext w:val="0"/>
              <w:keepLines w:val="0"/>
              <w:suppressLineNumbers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p>
        </w:tc>
        <w:tc>
          <w:tcPr>
            <w:tcW w:w="552" w:type="dxa"/>
            <w:tcBorders>
              <w:top w:val="single" w:color="auto" w:sz="4" w:space="0"/>
              <w:left w:val="single" w:color="auto" w:sz="4" w:space="0"/>
              <w:bottom w:val="single" w:color="auto" w:sz="4" w:space="0"/>
              <w:right w:val="single" w:color="auto" w:sz="4" w:space="0"/>
            </w:tcBorders>
          </w:tcPr>
          <w:p w14:paraId="3F6D8B69">
            <w:pPr>
              <w:keepNext w:val="0"/>
              <w:keepLines w:val="0"/>
              <w:suppressLineNumbers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p>
        </w:tc>
        <w:tc>
          <w:tcPr>
            <w:tcW w:w="552" w:type="dxa"/>
            <w:tcBorders>
              <w:top w:val="single" w:color="auto" w:sz="4" w:space="0"/>
              <w:left w:val="single" w:color="auto" w:sz="4" w:space="0"/>
              <w:bottom w:val="single" w:color="auto" w:sz="4" w:space="0"/>
              <w:right w:val="single" w:color="auto" w:sz="4" w:space="0"/>
            </w:tcBorders>
          </w:tcPr>
          <w:p w14:paraId="37F38FD3">
            <w:pPr>
              <w:keepNext w:val="0"/>
              <w:keepLines w:val="0"/>
              <w:suppressLineNumbers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p>
        </w:tc>
        <w:tc>
          <w:tcPr>
            <w:tcW w:w="552" w:type="dxa"/>
            <w:tcBorders>
              <w:top w:val="single" w:color="auto" w:sz="4" w:space="0"/>
              <w:left w:val="single" w:color="auto" w:sz="4" w:space="0"/>
              <w:bottom w:val="single" w:color="auto" w:sz="4" w:space="0"/>
              <w:right w:val="single" w:color="auto" w:sz="4" w:space="0"/>
            </w:tcBorders>
          </w:tcPr>
          <w:p w14:paraId="0EA02C51">
            <w:pPr>
              <w:keepNext w:val="0"/>
              <w:keepLines w:val="0"/>
              <w:suppressLineNumbers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p>
        </w:tc>
        <w:tc>
          <w:tcPr>
            <w:tcW w:w="553" w:type="dxa"/>
            <w:tcBorders>
              <w:top w:val="single" w:color="auto" w:sz="4" w:space="0"/>
              <w:left w:val="single" w:color="auto" w:sz="4" w:space="0"/>
              <w:bottom w:val="single" w:color="auto" w:sz="4" w:space="0"/>
              <w:right w:val="single" w:color="auto" w:sz="4" w:space="0"/>
            </w:tcBorders>
          </w:tcPr>
          <w:p w14:paraId="4E449A29">
            <w:pPr>
              <w:keepNext w:val="0"/>
              <w:keepLines w:val="0"/>
              <w:suppressLineNumbers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p>
        </w:tc>
        <w:tc>
          <w:tcPr>
            <w:tcW w:w="553" w:type="dxa"/>
            <w:tcBorders>
              <w:top w:val="single" w:color="auto" w:sz="4" w:space="0"/>
              <w:left w:val="single" w:color="auto" w:sz="4" w:space="0"/>
              <w:bottom w:val="single" w:color="auto" w:sz="4" w:space="0"/>
              <w:right w:val="single" w:color="auto" w:sz="4" w:space="0"/>
            </w:tcBorders>
          </w:tcPr>
          <w:p w14:paraId="625C35AD">
            <w:pPr>
              <w:keepNext w:val="0"/>
              <w:keepLines w:val="0"/>
              <w:suppressLineNumbers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p>
        </w:tc>
        <w:tc>
          <w:tcPr>
            <w:tcW w:w="553" w:type="dxa"/>
            <w:tcBorders>
              <w:top w:val="single" w:color="auto" w:sz="4" w:space="0"/>
              <w:left w:val="single" w:color="auto" w:sz="4" w:space="0"/>
              <w:bottom w:val="single" w:color="auto" w:sz="4" w:space="0"/>
              <w:right w:val="single" w:color="auto" w:sz="4" w:space="0"/>
            </w:tcBorders>
          </w:tcPr>
          <w:p w14:paraId="2B67EFBB">
            <w:pPr>
              <w:keepNext w:val="0"/>
              <w:keepLines w:val="0"/>
              <w:suppressLineNumbers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p>
        </w:tc>
        <w:tc>
          <w:tcPr>
            <w:tcW w:w="553" w:type="dxa"/>
            <w:tcBorders>
              <w:top w:val="single" w:color="auto" w:sz="4" w:space="0"/>
              <w:left w:val="single" w:color="auto" w:sz="4" w:space="0"/>
              <w:bottom w:val="single" w:color="auto" w:sz="4" w:space="0"/>
              <w:right w:val="single" w:color="auto" w:sz="4" w:space="0"/>
            </w:tcBorders>
          </w:tcPr>
          <w:p w14:paraId="467ABAD5">
            <w:pPr>
              <w:keepNext w:val="0"/>
              <w:keepLines w:val="0"/>
              <w:suppressLineNumbers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p>
        </w:tc>
        <w:tc>
          <w:tcPr>
            <w:tcW w:w="553" w:type="dxa"/>
            <w:tcBorders>
              <w:top w:val="single" w:color="auto" w:sz="4" w:space="0"/>
              <w:left w:val="single" w:color="auto" w:sz="4" w:space="0"/>
              <w:bottom w:val="single" w:color="auto" w:sz="4" w:space="0"/>
              <w:right w:val="single" w:color="auto" w:sz="4" w:space="0"/>
            </w:tcBorders>
          </w:tcPr>
          <w:p w14:paraId="39719035">
            <w:pPr>
              <w:keepNext w:val="0"/>
              <w:keepLines w:val="0"/>
              <w:suppressLineNumbers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p>
        </w:tc>
        <w:tc>
          <w:tcPr>
            <w:tcW w:w="553" w:type="dxa"/>
            <w:tcBorders>
              <w:top w:val="single" w:color="auto" w:sz="4" w:space="0"/>
              <w:left w:val="single" w:color="auto" w:sz="4" w:space="0"/>
              <w:bottom w:val="single" w:color="auto" w:sz="4" w:space="0"/>
              <w:right w:val="single" w:color="auto" w:sz="4" w:space="0"/>
            </w:tcBorders>
          </w:tcPr>
          <w:p w14:paraId="226EC270">
            <w:pPr>
              <w:keepNext w:val="0"/>
              <w:keepLines w:val="0"/>
              <w:suppressLineNumbers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p>
        </w:tc>
        <w:tc>
          <w:tcPr>
            <w:tcW w:w="553" w:type="dxa"/>
            <w:tcBorders>
              <w:top w:val="single" w:color="auto" w:sz="4" w:space="0"/>
              <w:left w:val="single" w:color="auto" w:sz="4" w:space="0"/>
              <w:bottom w:val="single" w:color="auto" w:sz="4" w:space="0"/>
              <w:right w:val="single" w:color="auto" w:sz="4" w:space="0"/>
            </w:tcBorders>
          </w:tcPr>
          <w:p w14:paraId="5625D768">
            <w:pPr>
              <w:keepNext w:val="0"/>
              <w:keepLines w:val="0"/>
              <w:suppressLineNumbers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p>
        </w:tc>
        <w:tc>
          <w:tcPr>
            <w:tcW w:w="553" w:type="dxa"/>
            <w:tcBorders>
              <w:top w:val="single" w:color="auto" w:sz="4" w:space="0"/>
              <w:left w:val="single" w:color="auto" w:sz="4" w:space="0"/>
              <w:bottom w:val="single" w:color="auto" w:sz="4" w:space="0"/>
              <w:right w:val="single" w:color="auto" w:sz="4" w:space="0"/>
            </w:tcBorders>
          </w:tcPr>
          <w:p w14:paraId="5707D264">
            <w:pPr>
              <w:keepNext w:val="0"/>
              <w:keepLines w:val="0"/>
              <w:suppressLineNumbers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p>
        </w:tc>
        <w:tc>
          <w:tcPr>
            <w:tcW w:w="553" w:type="dxa"/>
            <w:tcBorders>
              <w:top w:val="single" w:color="auto" w:sz="4" w:space="0"/>
              <w:left w:val="single" w:color="auto" w:sz="4" w:space="0"/>
              <w:bottom w:val="single" w:color="auto" w:sz="4" w:space="0"/>
              <w:right w:val="single" w:color="auto" w:sz="4" w:space="0"/>
            </w:tcBorders>
          </w:tcPr>
          <w:p w14:paraId="216C26D4">
            <w:pPr>
              <w:keepNext w:val="0"/>
              <w:keepLines w:val="0"/>
              <w:suppressLineNumbers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p>
        </w:tc>
        <w:tc>
          <w:tcPr>
            <w:tcW w:w="553" w:type="dxa"/>
            <w:tcBorders>
              <w:top w:val="single" w:color="auto" w:sz="4" w:space="0"/>
              <w:left w:val="single" w:color="auto" w:sz="4" w:space="0"/>
              <w:bottom w:val="single" w:color="auto" w:sz="4" w:space="0"/>
              <w:right w:val="single" w:color="auto" w:sz="4" w:space="0"/>
            </w:tcBorders>
          </w:tcPr>
          <w:p w14:paraId="52B6F508">
            <w:pPr>
              <w:keepNext w:val="0"/>
              <w:keepLines w:val="0"/>
              <w:suppressLineNumbers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p>
        </w:tc>
      </w:tr>
      <w:tr w14:paraId="375403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8" w:type="dxa"/>
            <w:tcBorders>
              <w:top w:val="single" w:color="auto" w:sz="4" w:space="0"/>
              <w:left w:val="single" w:color="auto" w:sz="4" w:space="0"/>
              <w:bottom w:val="single" w:color="auto" w:sz="4" w:space="0"/>
              <w:right w:val="single" w:color="auto" w:sz="4" w:space="0"/>
            </w:tcBorders>
            <w:vAlign w:val="center"/>
          </w:tcPr>
          <w:p w14:paraId="5F69FC8A">
            <w:pPr>
              <w:keepNext w:val="0"/>
              <w:keepLines w:val="0"/>
              <w:suppressLineNumbers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p>
        </w:tc>
        <w:tc>
          <w:tcPr>
            <w:tcW w:w="552" w:type="dxa"/>
            <w:tcBorders>
              <w:top w:val="single" w:color="auto" w:sz="4" w:space="0"/>
              <w:left w:val="single" w:color="auto" w:sz="4" w:space="0"/>
              <w:bottom w:val="single" w:color="auto" w:sz="4" w:space="0"/>
              <w:right w:val="single" w:color="auto" w:sz="4" w:space="0"/>
            </w:tcBorders>
          </w:tcPr>
          <w:p w14:paraId="5346B74E">
            <w:pPr>
              <w:keepNext w:val="0"/>
              <w:keepLines w:val="0"/>
              <w:suppressLineNumbers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p>
        </w:tc>
        <w:tc>
          <w:tcPr>
            <w:tcW w:w="552" w:type="dxa"/>
            <w:tcBorders>
              <w:top w:val="single" w:color="auto" w:sz="4" w:space="0"/>
              <w:left w:val="single" w:color="auto" w:sz="4" w:space="0"/>
              <w:bottom w:val="single" w:color="auto" w:sz="4" w:space="0"/>
              <w:right w:val="single" w:color="auto" w:sz="4" w:space="0"/>
            </w:tcBorders>
          </w:tcPr>
          <w:p w14:paraId="30AEBDA2">
            <w:pPr>
              <w:keepNext w:val="0"/>
              <w:keepLines w:val="0"/>
              <w:suppressLineNumbers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p>
        </w:tc>
        <w:tc>
          <w:tcPr>
            <w:tcW w:w="552" w:type="dxa"/>
            <w:tcBorders>
              <w:top w:val="single" w:color="auto" w:sz="4" w:space="0"/>
              <w:left w:val="single" w:color="auto" w:sz="4" w:space="0"/>
              <w:bottom w:val="single" w:color="auto" w:sz="4" w:space="0"/>
              <w:right w:val="single" w:color="auto" w:sz="4" w:space="0"/>
            </w:tcBorders>
          </w:tcPr>
          <w:p w14:paraId="52FAC5AC">
            <w:pPr>
              <w:keepNext w:val="0"/>
              <w:keepLines w:val="0"/>
              <w:suppressLineNumbers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p>
        </w:tc>
        <w:tc>
          <w:tcPr>
            <w:tcW w:w="552" w:type="dxa"/>
            <w:tcBorders>
              <w:top w:val="single" w:color="auto" w:sz="4" w:space="0"/>
              <w:left w:val="single" w:color="auto" w:sz="4" w:space="0"/>
              <w:bottom w:val="single" w:color="auto" w:sz="4" w:space="0"/>
              <w:right w:val="single" w:color="auto" w:sz="4" w:space="0"/>
            </w:tcBorders>
          </w:tcPr>
          <w:p w14:paraId="16ADD8B7">
            <w:pPr>
              <w:keepNext w:val="0"/>
              <w:keepLines w:val="0"/>
              <w:suppressLineNumbers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p>
        </w:tc>
        <w:tc>
          <w:tcPr>
            <w:tcW w:w="552" w:type="dxa"/>
            <w:tcBorders>
              <w:top w:val="single" w:color="auto" w:sz="4" w:space="0"/>
              <w:left w:val="single" w:color="auto" w:sz="4" w:space="0"/>
              <w:bottom w:val="single" w:color="auto" w:sz="4" w:space="0"/>
              <w:right w:val="single" w:color="auto" w:sz="4" w:space="0"/>
            </w:tcBorders>
          </w:tcPr>
          <w:p w14:paraId="7D689666">
            <w:pPr>
              <w:keepNext w:val="0"/>
              <w:keepLines w:val="0"/>
              <w:suppressLineNumbers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p>
        </w:tc>
        <w:tc>
          <w:tcPr>
            <w:tcW w:w="552" w:type="dxa"/>
            <w:tcBorders>
              <w:top w:val="single" w:color="auto" w:sz="4" w:space="0"/>
              <w:left w:val="single" w:color="auto" w:sz="4" w:space="0"/>
              <w:bottom w:val="single" w:color="auto" w:sz="4" w:space="0"/>
              <w:right w:val="single" w:color="auto" w:sz="4" w:space="0"/>
            </w:tcBorders>
          </w:tcPr>
          <w:p w14:paraId="43285CFF">
            <w:pPr>
              <w:keepNext w:val="0"/>
              <w:keepLines w:val="0"/>
              <w:suppressLineNumbers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p>
        </w:tc>
        <w:tc>
          <w:tcPr>
            <w:tcW w:w="553" w:type="dxa"/>
            <w:tcBorders>
              <w:top w:val="single" w:color="auto" w:sz="4" w:space="0"/>
              <w:left w:val="single" w:color="auto" w:sz="4" w:space="0"/>
              <w:bottom w:val="single" w:color="auto" w:sz="4" w:space="0"/>
              <w:right w:val="single" w:color="auto" w:sz="4" w:space="0"/>
            </w:tcBorders>
          </w:tcPr>
          <w:p w14:paraId="550CFC4C">
            <w:pPr>
              <w:keepNext w:val="0"/>
              <w:keepLines w:val="0"/>
              <w:suppressLineNumbers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p>
        </w:tc>
        <w:tc>
          <w:tcPr>
            <w:tcW w:w="553" w:type="dxa"/>
            <w:tcBorders>
              <w:top w:val="single" w:color="auto" w:sz="4" w:space="0"/>
              <w:left w:val="single" w:color="auto" w:sz="4" w:space="0"/>
              <w:bottom w:val="single" w:color="auto" w:sz="4" w:space="0"/>
              <w:right w:val="single" w:color="auto" w:sz="4" w:space="0"/>
            </w:tcBorders>
          </w:tcPr>
          <w:p w14:paraId="2FC64587">
            <w:pPr>
              <w:keepNext w:val="0"/>
              <w:keepLines w:val="0"/>
              <w:suppressLineNumbers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p>
        </w:tc>
        <w:tc>
          <w:tcPr>
            <w:tcW w:w="553" w:type="dxa"/>
            <w:tcBorders>
              <w:top w:val="single" w:color="auto" w:sz="4" w:space="0"/>
              <w:left w:val="single" w:color="auto" w:sz="4" w:space="0"/>
              <w:bottom w:val="single" w:color="auto" w:sz="4" w:space="0"/>
              <w:right w:val="single" w:color="auto" w:sz="4" w:space="0"/>
            </w:tcBorders>
          </w:tcPr>
          <w:p w14:paraId="2F458BC2">
            <w:pPr>
              <w:keepNext w:val="0"/>
              <w:keepLines w:val="0"/>
              <w:suppressLineNumbers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p>
        </w:tc>
        <w:tc>
          <w:tcPr>
            <w:tcW w:w="553" w:type="dxa"/>
            <w:tcBorders>
              <w:top w:val="single" w:color="auto" w:sz="4" w:space="0"/>
              <w:left w:val="single" w:color="auto" w:sz="4" w:space="0"/>
              <w:bottom w:val="single" w:color="auto" w:sz="4" w:space="0"/>
              <w:right w:val="single" w:color="auto" w:sz="4" w:space="0"/>
            </w:tcBorders>
          </w:tcPr>
          <w:p w14:paraId="76DAD6F5">
            <w:pPr>
              <w:keepNext w:val="0"/>
              <w:keepLines w:val="0"/>
              <w:suppressLineNumbers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p>
        </w:tc>
        <w:tc>
          <w:tcPr>
            <w:tcW w:w="553" w:type="dxa"/>
            <w:tcBorders>
              <w:top w:val="single" w:color="auto" w:sz="4" w:space="0"/>
              <w:left w:val="single" w:color="auto" w:sz="4" w:space="0"/>
              <w:bottom w:val="single" w:color="auto" w:sz="4" w:space="0"/>
              <w:right w:val="single" w:color="auto" w:sz="4" w:space="0"/>
            </w:tcBorders>
          </w:tcPr>
          <w:p w14:paraId="289DBE97">
            <w:pPr>
              <w:keepNext w:val="0"/>
              <w:keepLines w:val="0"/>
              <w:suppressLineNumbers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p>
        </w:tc>
        <w:tc>
          <w:tcPr>
            <w:tcW w:w="553" w:type="dxa"/>
            <w:tcBorders>
              <w:top w:val="single" w:color="auto" w:sz="4" w:space="0"/>
              <w:left w:val="single" w:color="auto" w:sz="4" w:space="0"/>
              <w:bottom w:val="single" w:color="auto" w:sz="4" w:space="0"/>
              <w:right w:val="single" w:color="auto" w:sz="4" w:space="0"/>
            </w:tcBorders>
          </w:tcPr>
          <w:p w14:paraId="3E864281">
            <w:pPr>
              <w:keepNext w:val="0"/>
              <w:keepLines w:val="0"/>
              <w:suppressLineNumbers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p>
        </w:tc>
        <w:tc>
          <w:tcPr>
            <w:tcW w:w="553" w:type="dxa"/>
            <w:tcBorders>
              <w:top w:val="single" w:color="auto" w:sz="4" w:space="0"/>
              <w:left w:val="single" w:color="auto" w:sz="4" w:space="0"/>
              <w:bottom w:val="single" w:color="auto" w:sz="4" w:space="0"/>
              <w:right w:val="single" w:color="auto" w:sz="4" w:space="0"/>
            </w:tcBorders>
          </w:tcPr>
          <w:p w14:paraId="4159AF04">
            <w:pPr>
              <w:keepNext w:val="0"/>
              <w:keepLines w:val="0"/>
              <w:suppressLineNumbers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p>
        </w:tc>
        <w:tc>
          <w:tcPr>
            <w:tcW w:w="553" w:type="dxa"/>
            <w:tcBorders>
              <w:top w:val="single" w:color="auto" w:sz="4" w:space="0"/>
              <w:left w:val="single" w:color="auto" w:sz="4" w:space="0"/>
              <w:bottom w:val="single" w:color="auto" w:sz="4" w:space="0"/>
              <w:right w:val="single" w:color="auto" w:sz="4" w:space="0"/>
            </w:tcBorders>
          </w:tcPr>
          <w:p w14:paraId="22DC3E06">
            <w:pPr>
              <w:keepNext w:val="0"/>
              <w:keepLines w:val="0"/>
              <w:suppressLineNumbers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p>
        </w:tc>
        <w:tc>
          <w:tcPr>
            <w:tcW w:w="553" w:type="dxa"/>
            <w:tcBorders>
              <w:top w:val="single" w:color="auto" w:sz="4" w:space="0"/>
              <w:left w:val="single" w:color="auto" w:sz="4" w:space="0"/>
              <w:bottom w:val="single" w:color="auto" w:sz="4" w:space="0"/>
              <w:right w:val="single" w:color="auto" w:sz="4" w:space="0"/>
            </w:tcBorders>
          </w:tcPr>
          <w:p w14:paraId="70A28021">
            <w:pPr>
              <w:keepNext w:val="0"/>
              <w:keepLines w:val="0"/>
              <w:suppressLineNumbers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p>
        </w:tc>
        <w:tc>
          <w:tcPr>
            <w:tcW w:w="553" w:type="dxa"/>
            <w:tcBorders>
              <w:top w:val="single" w:color="auto" w:sz="4" w:space="0"/>
              <w:left w:val="single" w:color="auto" w:sz="4" w:space="0"/>
              <w:bottom w:val="single" w:color="auto" w:sz="4" w:space="0"/>
              <w:right w:val="single" w:color="auto" w:sz="4" w:space="0"/>
            </w:tcBorders>
          </w:tcPr>
          <w:p w14:paraId="0B6002D1">
            <w:pPr>
              <w:keepNext w:val="0"/>
              <w:keepLines w:val="0"/>
              <w:suppressLineNumbers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p>
        </w:tc>
      </w:tr>
      <w:tr w14:paraId="2A0061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8" w:type="dxa"/>
            <w:tcBorders>
              <w:top w:val="single" w:color="auto" w:sz="4" w:space="0"/>
              <w:left w:val="single" w:color="auto" w:sz="4" w:space="0"/>
              <w:bottom w:val="single" w:color="auto" w:sz="4" w:space="0"/>
              <w:right w:val="single" w:color="auto" w:sz="4" w:space="0"/>
            </w:tcBorders>
            <w:vAlign w:val="center"/>
          </w:tcPr>
          <w:p w14:paraId="6C1BE685">
            <w:pPr>
              <w:keepNext w:val="0"/>
              <w:keepLines w:val="0"/>
              <w:suppressLineNumbers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p>
        </w:tc>
        <w:tc>
          <w:tcPr>
            <w:tcW w:w="552" w:type="dxa"/>
            <w:tcBorders>
              <w:top w:val="single" w:color="auto" w:sz="4" w:space="0"/>
              <w:left w:val="single" w:color="auto" w:sz="4" w:space="0"/>
              <w:bottom w:val="single" w:color="auto" w:sz="4" w:space="0"/>
              <w:right w:val="single" w:color="auto" w:sz="4" w:space="0"/>
            </w:tcBorders>
          </w:tcPr>
          <w:p w14:paraId="4F83A04E">
            <w:pPr>
              <w:keepNext w:val="0"/>
              <w:keepLines w:val="0"/>
              <w:suppressLineNumbers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p>
        </w:tc>
        <w:tc>
          <w:tcPr>
            <w:tcW w:w="552" w:type="dxa"/>
            <w:tcBorders>
              <w:top w:val="single" w:color="auto" w:sz="4" w:space="0"/>
              <w:left w:val="single" w:color="auto" w:sz="4" w:space="0"/>
              <w:bottom w:val="single" w:color="auto" w:sz="4" w:space="0"/>
              <w:right w:val="single" w:color="auto" w:sz="4" w:space="0"/>
            </w:tcBorders>
          </w:tcPr>
          <w:p w14:paraId="5F31F5A9">
            <w:pPr>
              <w:keepNext w:val="0"/>
              <w:keepLines w:val="0"/>
              <w:suppressLineNumbers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p>
        </w:tc>
        <w:tc>
          <w:tcPr>
            <w:tcW w:w="552" w:type="dxa"/>
            <w:tcBorders>
              <w:top w:val="single" w:color="auto" w:sz="4" w:space="0"/>
              <w:left w:val="single" w:color="auto" w:sz="4" w:space="0"/>
              <w:bottom w:val="single" w:color="auto" w:sz="4" w:space="0"/>
              <w:right w:val="single" w:color="auto" w:sz="4" w:space="0"/>
            </w:tcBorders>
          </w:tcPr>
          <w:p w14:paraId="494CC0E6">
            <w:pPr>
              <w:keepNext w:val="0"/>
              <w:keepLines w:val="0"/>
              <w:suppressLineNumbers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p>
        </w:tc>
        <w:tc>
          <w:tcPr>
            <w:tcW w:w="552" w:type="dxa"/>
            <w:tcBorders>
              <w:top w:val="single" w:color="auto" w:sz="4" w:space="0"/>
              <w:left w:val="single" w:color="auto" w:sz="4" w:space="0"/>
              <w:bottom w:val="single" w:color="auto" w:sz="4" w:space="0"/>
              <w:right w:val="single" w:color="auto" w:sz="4" w:space="0"/>
            </w:tcBorders>
          </w:tcPr>
          <w:p w14:paraId="74796038">
            <w:pPr>
              <w:keepNext w:val="0"/>
              <w:keepLines w:val="0"/>
              <w:suppressLineNumbers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p>
        </w:tc>
        <w:tc>
          <w:tcPr>
            <w:tcW w:w="552" w:type="dxa"/>
            <w:tcBorders>
              <w:top w:val="single" w:color="auto" w:sz="4" w:space="0"/>
              <w:left w:val="single" w:color="auto" w:sz="4" w:space="0"/>
              <w:bottom w:val="single" w:color="auto" w:sz="4" w:space="0"/>
              <w:right w:val="single" w:color="auto" w:sz="4" w:space="0"/>
            </w:tcBorders>
          </w:tcPr>
          <w:p w14:paraId="679E8C33">
            <w:pPr>
              <w:keepNext w:val="0"/>
              <w:keepLines w:val="0"/>
              <w:suppressLineNumbers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p>
        </w:tc>
        <w:tc>
          <w:tcPr>
            <w:tcW w:w="552" w:type="dxa"/>
            <w:tcBorders>
              <w:top w:val="single" w:color="auto" w:sz="4" w:space="0"/>
              <w:left w:val="single" w:color="auto" w:sz="4" w:space="0"/>
              <w:bottom w:val="single" w:color="auto" w:sz="4" w:space="0"/>
              <w:right w:val="single" w:color="auto" w:sz="4" w:space="0"/>
            </w:tcBorders>
          </w:tcPr>
          <w:p w14:paraId="24088DFD">
            <w:pPr>
              <w:keepNext w:val="0"/>
              <w:keepLines w:val="0"/>
              <w:suppressLineNumbers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p>
        </w:tc>
        <w:tc>
          <w:tcPr>
            <w:tcW w:w="553" w:type="dxa"/>
            <w:tcBorders>
              <w:top w:val="single" w:color="auto" w:sz="4" w:space="0"/>
              <w:left w:val="single" w:color="auto" w:sz="4" w:space="0"/>
              <w:bottom w:val="single" w:color="auto" w:sz="4" w:space="0"/>
              <w:right w:val="single" w:color="auto" w:sz="4" w:space="0"/>
            </w:tcBorders>
          </w:tcPr>
          <w:p w14:paraId="7BB2CBF9">
            <w:pPr>
              <w:keepNext w:val="0"/>
              <w:keepLines w:val="0"/>
              <w:suppressLineNumbers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p>
        </w:tc>
        <w:tc>
          <w:tcPr>
            <w:tcW w:w="553" w:type="dxa"/>
            <w:tcBorders>
              <w:top w:val="single" w:color="auto" w:sz="4" w:space="0"/>
              <w:left w:val="single" w:color="auto" w:sz="4" w:space="0"/>
              <w:bottom w:val="single" w:color="auto" w:sz="4" w:space="0"/>
              <w:right w:val="single" w:color="auto" w:sz="4" w:space="0"/>
            </w:tcBorders>
          </w:tcPr>
          <w:p w14:paraId="5F8E07FC">
            <w:pPr>
              <w:keepNext w:val="0"/>
              <w:keepLines w:val="0"/>
              <w:suppressLineNumbers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p>
        </w:tc>
        <w:tc>
          <w:tcPr>
            <w:tcW w:w="553" w:type="dxa"/>
            <w:tcBorders>
              <w:top w:val="single" w:color="auto" w:sz="4" w:space="0"/>
              <w:left w:val="single" w:color="auto" w:sz="4" w:space="0"/>
              <w:bottom w:val="single" w:color="auto" w:sz="4" w:space="0"/>
              <w:right w:val="single" w:color="auto" w:sz="4" w:space="0"/>
            </w:tcBorders>
          </w:tcPr>
          <w:p w14:paraId="2908A436">
            <w:pPr>
              <w:keepNext w:val="0"/>
              <w:keepLines w:val="0"/>
              <w:suppressLineNumbers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p>
        </w:tc>
        <w:tc>
          <w:tcPr>
            <w:tcW w:w="553" w:type="dxa"/>
            <w:tcBorders>
              <w:top w:val="single" w:color="auto" w:sz="4" w:space="0"/>
              <w:left w:val="single" w:color="auto" w:sz="4" w:space="0"/>
              <w:bottom w:val="single" w:color="auto" w:sz="4" w:space="0"/>
              <w:right w:val="single" w:color="auto" w:sz="4" w:space="0"/>
            </w:tcBorders>
          </w:tcPr>
          <w:p w14:paraId="6A7607BF">
            <w:pPr>
              <w:keepNext w:val="0"/>
              <w:keepLines w:val="0"/>
              <w:suppressLineNumbers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p>
        </w:tc>
        <w:tc>
          <w:tcPr>
            <w:tcW w:w="553" w:type="dxa"/>
            <w:tcBorders>
              <w:top w:val="single" w:color="auto" w:sz="4" w:space="0"/>
              <w:left w:val="single" w:color="auto" w:sz="4" w:space="0"/>
              <w:bottom w:val="single" w:color="auto" w:sz="4" w:space="0"/>
              <w:right w:val="single" w:color="auto" w:sz="4" w:space="0"/>
            </w:tcBorders>
          </w:tcPr>
          <w:p w14:paraId="7889D3F1">
            <w:pPr>
              <w:keepNext w:val="0"/>
              <w:keepLines w:val="0"/>
              <w:suppressLineNumbers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p>
        </w:tc>
        <w:tc>
          <w:tcPr>
            <w:tcW w:w="553" w:type="dxa"/>
            <w:tcBorders>
              <w:top w:val="single" w:color="auto" w:sz="4" w:space="0"/>
              <w:left w:val="single" w:color="auto" w:sz="4" w:space="0"/>
              <w:bottom w:val="single" w:color="auto" w:sz="4" w:space="0"/>
              <w:right w:val="single" w:color="auto" w:sz="4" w:space="0"/>
            </w:tcBorders>
          </w:tcPr>
          <w:p w14:paraId="0CFE533E">
            <w:pPr>
              <w:keepNext w:val="0"/>
              <w:keepLines w:val="0"/>
              <w:suppressLineNumbers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p>
        </w:tc>
        <w:tc>
          <w:tcPr>
            <w:tcW w:w="553" w:type="dxa"/>
            <w:tcBorders>
              <w:top w:val="single" w:color="auto" w:sz="4" w:space="0"/>
              <w:left w:val="single" w:color="auto" w:sz="4" w:space="0"/>
              <w:bottom w:val="single" w:color="auto" w:sz="4" w:space="0"/>
              <w:right w:val="single" w:color="auto" w:sz="4" w:space="0"/>
            </w:tcBorders>
          </w:tcPr>
          <w:p w14:paraId="14D4B919">
            <w:pPr>
              <w:keepNext w:val="0"/>
              <w:keepLines w:val="0"/>
              <w:suppressLineNumbers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p>
        </w:tc>
        <w:tc>
          <w:tcPr>
            <w:tcW w:w="553" w:type="dxa"/>
            <w:tcBorders>
              <w:top w:val="single" w:color="auto" w:sz="4" w:space="0"/>
              <w:left w:val="single" w:color="auto" w:sz="4" w:space="0"/>
              <w:bottom w:val="single" w:color="auto" w:sz="4" w:space="0"/>
              <w:right w:val="single" w:color="auto" w:sz="4" w:space="0"/>
            </w:tcBorders>
          </w:tcPr>
          <w:p w14:paraId="2D74897A">
            <w:pPr>
              <w:keepNext w:val="0"/>
              <w:keepLines w:val="0"/>
              <w:suppressLineNumbers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p>
        </w:tc>
        <w:tc>
          <w:tcPr>
            <w:tcW w:w="553" w:type="dxa"/>
            <w:tcBorders>
              <w:top w:val="single" w:color="auto" w:sz="4" w:space="0"/>
              <w:left w:val="single" w:color="auto" w:sz="4" w:space="0"/>
              <w:bottom w:val="single" w:color="auto" w:sz="4" w:space="0"/>
              <w:right w:val="single" w:color="auto" w:sz="4" w:space="0"/>
            </w:tcBorders>
          </w:tcPr>
          <w:p w14:paraId="05C3B067">
            <w:pPr>
              <w:keepNext w:val="0"/>
              <w:keepLines w:val="0"/>
              <w:suppressLineNumbers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p>
        </w:tc>
        <w:tc>
          <w:tcPr>
            <w:tcW w:w="553" w:type="dxa"/>
            <w:tcBorders>
              <w:top w:val="single" w:color="auto" w:sz="4" w:space="0"/>
              <w:left w:val="single" w:color="auto" w:sz="4" w:space="0"/>
              <w:bottom w:val="single" w:color="auto" w:sz="4" w:space="0"/>
              <w:right w:val="single" w:color="auto" w:sz="4" w:space="0"/>
            </w:tcBorders>
          </w:tcPr>
          <w:p w14:paraId="7F8A4129">
            <w:pPr>
              <w:keepNext w:val="0"/>
              <w:keepLines w:val="0"/>
              <w:suppressLineNumbers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p>
        </w:tc>
      </w:tr>
      <w:tr w14:paraId="14B3BB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8" w:type="dxa"/>
            <w:tcBorders>
              <w:top w:val="single" w:color="auto" w:sz="4" w:space="0"/>
              <w:left w:val="single" w:color="auto" w:sz="4" w:space="0"/>
              <w:bottom w:val="single" w:color="auto" w:sz="4" w:space="0"/>
              <w:right w:val="single" w:color="auto" w:sz="4" w:space="0"/>
            </w:tcBorders>
            <w:vAlign w:val="center"/>
          </w:tcPr>
          <w:p w14:paraId="05E64902">
            <w:pPr>
              <w:keepNext w:val="0"/>
              <w:keepLines w:val="0"/>
              <w:suppressLineNumbers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p>
        </w:tc>
        <w:tc>
          <w:tcPr>
            <w:tcW w:w="552" w:type="dxa"/>
            <w:tcBorders>
              <w:top w:val="single" w:color="auto" w:sz="4" w:space="0"/>
              <w:left w:val="single" w:color="auto" w:sz="4" w:space="0"/>
              <w:bottom w:val="single" w:color="auto" w:sz="4" w:space="0"/>
              <w:right w:val="single" w:color="auto" w:sz="4" w:space="0"/>
            </w:tcBorders>
          </w:tcPr>
          <w:p w14:paraId="4F637BF9">
            <w:pPr>
              <w:keepNext w:val="0"/>
              <w:keepLines w:val="0"/>
              <w:suppressLineNumbers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p>
        </w:tc>
        <w:tc>
          <w:tcPr>
            <w:tcW w:w="552" w:type="dxa"/>
            <w:tcBorders>
              <w:top w:val="single" w:color="auto" w:sz="4" w:space="0"/>
              <w:left w:val="single" w:color="auto" w:sz="4" w:space="0"/>
              <w:bottom w:val="single" w:color="auto" w:sz="4" w:space="0"/>
              <w:right w:val="single" w:color="auto" w:sz="4" w:space="0"/>
            </w:tcBorders>
          </w:tcPr>
          <w:p w14:paraId="58F3A8C3">
            <w:pPr>
              <w:keepNext w:val="0"/>
              <w:keepLines w:val="0"/>
              <w:suppressLineNumbers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p>
        </w:tc>
        <w:tc>
          <w:tcPr>
            <w:tcW w:w="552" w:type="dxa"/>
            <w:tcBorders>
              <w:top w:val="single" w:color="auto" w:sz="4" w:space="0"/>
              <w:left w:val="single" w:color="auto" w:sz="4" w:space="0"/>
              <w:bottom w:val="single" w:color="auto" w:sz="4" w:space="0"/>
              <w:right w:val="single" w:color="auto" w:sz="4" w:space="0"/>
            </w:tcBorders>
          </w:tcPr>
          <w:p w14:paraId="0D0FC49B">
            <w:pPr>
              <w:keepNext w:val="0"/>
              <w:keepLines w:val="0"/>
              <w:suppressLineNumbers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p>
        </w:tc>
        <w:tc>
          <w:tcPr>
            <w:tcW w:w="552" w:type="dxa"/>
            <w:tcBorders>
              <w:top w:val="single" w:color="auto" w:sz="4" w:space="0"/>
              <w:left w:val="single" w:color="auto" w:sz="4" w:space="0"/>
              <w:bottom w:val="single" w:color="auto" w:sz="4" w:space="0"/>
              <w:right w:val="single" w:color="auto" w:sz="4" w:space="0"/>
            </w:tcBorders>
          </w:tcPr>
          <w:p w14:paraId="6E3DC8B8">
            <w:pPr>
              <w:keepNext w:val="0"/>
              <w:keepLines w:val="0"/>
              <w:suppressLineNumbers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p>
        </w:tc>
        <w:tc>
          <w:tcPr>
            <w:tcW w:w="552" w:type="dxa"/>
            <w:tcBorders>
              <w:top w:val="single" w:color="auto" w:sz="4" w:space="0"/>
              <w:left w:val="single" w:color="auto" w:sz="4" w:space="0"/>
              <w:bottom w:val="single" w:color="auto" w:sz="4" w:space="0"/>
              <w:right w:val="single" w:color="auto" w:sz="4" w:space="0"/>
            </w:tcBorders>
          </w:tcPr>
          <w:p w14:paraId="43F6A891">
            <w:pPr>
              <w:keepNext w:val="0"/>
              <w:keepLines w:val="0"/>
              <w:suppressLineNumbers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p>
        </w:tc>
        <w:tc>
          <w:tcPr>
            <w:tcW w:w="552" w:type="dxa"/>
            <w:tcBorders>
              <w:top w:val="single" w:color="auto" w:sz="4" w:space="0"/>
              <w:left w:val="single" w:color="auto" w:sz="4" w:space="0"/>
              <w:bottom w:val="single" w:color="auto" w:sz="4" w:space="0"/>
              <w:right w:val="single" w:color="auto" w:sz="4" w:space="0"/>
            </w:tcBorders>
          </w:tcPr>
          <w:p w14:paraId="4DB69101">
            <w:pPr>
              <w:keepNext w:val="0"/>
              <w:keepLines w:val="0"/>
              <w:suppressLineNumbers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p>
        </w:tc>
        <w:tc>
          <w:tcPr>
            <w:tcW w:w="553" w:type="dxa"/>
            <w:tcBorders>
              <w:top w:val="single" w:color="auto" w:sz="4" w:space="0"/>
              <w:left w:val="single" w:color="auto" w:sz="4" w:space="0"/>
              <w:bottom w:val="single" w:color="auto" w:sz="4" w:space="0"/>
              <w:right w:val="single" w:color="auto" w:sz="4" w:space="0"/>
            </w:tcBorders>
          </w:tcPr>
          <w:p w14:paraId="079C93A2">
            <w:pPr>
              <w:keepNext w:val="0"/>
              <w:keepLines w:val="0"/>
              <w:suppressLineNumbers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p>
        </w:tc>
        <w:tc>
          <w:tcPr>
            <w:tcW w:w="553" w:type="dxa"/>
            <w:tcBorders>
              <w:top w:val="single" w:color="auto" w:sz="4" w:space="0"/>
              <w:left w:val="single" w:color="auto" w:sz="4" w:space="0"/>
              <w:bottom w:val="single" w:color="auto" w:sz="4" w:space="0"/>
              <w:right w:val="single" w:color="auto" w:sz="4" w:space="0"/>
            </w:tcBorders>
          </w:tcPr>
          <w:p w14:paraId="01E3283C">
            <w:pPr>
              <w:keepNext w:val="0"/>
              <w:keepLines w:val="0"/>
              <w:suppressLineNumbers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p>
        </w:tc>
        <w:tc>
          <w:tcPr>
            <w:tcW w:w="553" w:type="dxa"/>
            <w:tcBorders>
              <w:top w:val="single" w:color="auto" w:sz="4" w:space="0"/>
              <w:left w:val="single" w:color="auto" w:sz="4" w:space="0"/>
              <w:bottom w:val="single" w:color="auto" w:sz="4" w:space="0"/>
              <w:right w:val="single" w:color="auto" w:sz="4" w:space="0"/>
            </w:tcBorders>
          </w:tcPr>
          <w:p w14:paraId="2D6CB445">
            <w:pPr>
              <w:keepNext w:val="0"/>
              <w:keepLines w:val="0"/>
              <w:suppressLineNumbers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p>
        </w:tc>
        <w:tc>
          <w:tcPr>
            <w:tcW w:w="553" w:type="dxa"/>
            <w:tcBorders>
              <w:top w:val="single" w:color="auto" w:sz="4" w:space="0"/>
              <w:left w:val="single" w:color="auto" w:sz="4" w:space="0"/>
              <w:bottom w:val="single" w:color="auto" w:sz="4" w:space="0"/>
              <w:right w:val="single" w:color="auto" w:sz="4" w:space="0"/>
            </w:tcBorders>
          </w:tcPr>
          <w:p w14:paraId="69858312">
            <w:pPr>
              <w:keepNext w:val="0"/>
              <w:keepLines w:val="0"/>
              <w:suppressLineNumbers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p>
        </w:tc>
        <w:tc>
          <w:tcPr>
            <w:tcW w:w="553" w:type="dxa"/>
            <w:tcBorders>
              <w:top w:val="single" w:color="auto" w:sz="4" w:space="0"/>
              <w:left w:val="single" w:color="auto" w:sz="4" w:space="0"/>
              <w:bottom w:val="single" w:color="auto" w:sz="4" w:space="0"/>
              <w:right w:val="single" w:color="auto" w:sz="4" w:space="0"/>
            </w:tcBorders>
          </w:tcPr>
          <w:p w14:paraId="12C413CD">
            <w:pPr>
              <w:keepNext w:val="0"/>
              <w:keepLines w:val="0"/>
              <w:suppressLineNumbers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p>
        </w:tc>
        <w:tc>
          <w:tcPr>
            <w:tcW w:w="553" w:type="dxa"/>
            <w:tcBorders>
              <w:top w:val="single" w:color="auto" w:sz="4" w:space="0"/>
              <w:left w:val="single" w:color="auto" w:sz="4" w:space="0"/>
              <w:bottom w:val="single" w:color="auto" w:sz="4" w:space="0"/>
              <w:right w:val="single" w:color="auto" w:sz="4" w:space="0"/>
            </w:tcBorders>
          </w:tcPr>
          <w:p w14:paraId="1D268AD2">
            <w:pPr>
              <w:keepNext w:val="0"/>
              <w:keepLines w:val="0"/>
              <w:suppressLineNumbers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p>
        </w:tc>
        <w:tc>
          <w:tcPr>
            <w:tcW w:w="553" w:type="dxa"/>
            <w:tcBorders>
              <w:top w:val="single" w:color="auto" w:sz="4" w:space="0"/>
              <w:left w:val="single" w:color="auto" w:sz="4" w:space="0"/>
              <w:bottom w:val="single" w:color="auto" w:sz="4" w:space="0"/>
              <w:right w:val="single" w:color="auto" w:sz="4" w:space="0"/>
            </w:tcBorders>
          </w:tcPr>
          <w:p w14:paraId="3D1ACD84">
            <w:pPr>
              <w:keepNext w:val="0"/>
              <w:keepLines w:val="0"/>
              <w:suppressLineNumbers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p>
        </w:tc>
        <w:tc>
          <w:tcPr>
            <w:tcW w:w="553" w:type="dxa"/>
            <w:tcBorders>
              <w:top w:val="single" w:color="auto" w:sz="4" w:space="0"/>
              <w:left w:val="single" w:color="auto" w:sz="4" w:space="0"/>
              <w:bottom w:val="single" w:color="auto" w:sz="4" w:space="0"/>
              <w:right w:val="single" w:color="auto" w:sz="4" w:space="0"/>
            </w:tcBorders>
          </w:tcPr>
          <w:p w14:paraId="05A13A06">
            <w:pPr>
              <w:keepNext w:val="0"/>
              <w:keepLines w:val="0"/>
              <w:suppressLineNumbers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p>
        </w:tc>
        <w:tc>
          <w:tcPr>
            <w:tcW w:w="553" w:type="dxa"/>
            <w:tcBorders>
              <w:top w:val="single" w:color="auto" w:sz="4" w:space="0"/>
              <w:left w:val="single" w:color="auto" w:sz="4" w:space="0"/>
              <w:bottom w:val="single" w:color="auto" w:sz="4" w:space="0"/>
              <w:right w:val="single" w:color="auto" w:sz="4" w:space="0"/>
            </w:tcBorders>
          </w:tcPr>
          <w:p w14:paraId="0A33D6E4">
            <w:pPr>
              <w:keepNext w:val="0"/>
              <w:keepLines w:val="0"/>
              <w:suppressLineNumbers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p>
        </w:tc>
        <w:tc>
          <w:tcPr>
            <w:tcW w:w="553" w:type="dxa"/>
            <w:tcBorders>
              <w:top w:val="single" w:color="auto" w:sz="4" w:space="0"/>
              <w:left w:val="single" w:color="auto" w:sz="4" w:space="0"/>
              <w:bottom w:val="single" w:color="auto" w:sz="4" w:space="0"/>
              <w:right w:val="single" w:color="auto" w:sz="4" w:space="0"/>
            </w:tcBorders>
          </w:tcPr>
          <w:p w14:paraId="7E680299">
            <w:pPr>
              <w:keepNext w:val="0"/>
              <w:keepLines w:val="0"/>
              <w:suppressLineNumbers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p>
        </w:tc>
      </w:tr>
      <w:tr w14:paraId="3BA623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8" w:type="dxa"/>
            <w:tcBorders>
              <w:top w:val="single" w:color="auto" w:sz="4" w:space="0"/>
              <w:left w:val="single" w:color="auto" w:sz="4" w:space="0"/>
              <w:bottom w:val="single" w:color="auto" w:sz="4" w:space="0"/>
              <w:right w:val="single" w:color="auto" w:sz="4" w:space="0"/>
            </w:tcBorders>
            <w:vAlign w:val="center"/>
          </w:tcPr>
          <w:p w14:paraId="5C1CFDA3">
            <w:pPr>
              <w:keepNext w:val="0"/>
              <w:keepLines w:val="0"/>
              <w:suppressLineNumbers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p>
        </w:tc>
        <w:tc>
          <w:tcPr>
            <w:tcW w:w="552" w:type="dxa"/>
            <w:tcBorders>
              <w:top w:val="single" w:color="auto" w:sz="4" w:space="0"/>
              <w:left w:val="single" w:color="auto" w:sz="4" w:space="0"/>
              <w:bottom w:val="single" w:color="auto" w:sz="4" w:space="0"/>
              <w:right w:val="single" w:color="auto" w:sz="4" w:space="0"/>
            </w:tcBorders>
          </w:tcPr>
          <w:p w14:paraId="0BD434A8">
            <w:pPr>
              <w:keepNext w:val="0"/>
              <w:keepLines w:val="0"/>
              <w:suppressLineNumbers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p>
        </w:tc>
        <w:tc>
          <w:tcPr>
            <w:tcW w:w="552" w:type="dxa"/>
            <w:tcBorders>
              <w:top w:val="single" w:color="auto" w:sz="4" w:space="0"/>
              <w:left w:val="single" w:color="auto" w:sz="4" w:space="0"/>
              <w:bottom w:val="single" w:color="auto" w:sz="4" w:space="0"/>
              <w:right w:val="single" w:color="auto" w:sz="4" w:space="0"/>
            </w:tcBorders>
          </w:tcPr>
          <w:p w14:paraId="3C0E2D0D">
            <w:pPr>
              <w:keepNext w:val="0"/>
              <w:keepLines w:val="0"/>
              <w:suppressLineNumbers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p>
        </w:tc>
        <w:tc>
          <w:tcPr>
            <w:tcW w:w="552" w:type="dxa"/>
            <w:tcBorders>
              <w:top w:val="single" w:color="auto" w:sz="4" w:space="0"/>
              <w:left w:val="single" w:color="auto" w:sz="4" w:space="0"/>
              <w:bottom w:val="single" w:color="auto" w:sz="4" w:space="0"/>
              <w:right w:val="single" w:color="auto" w:sz="4" w:space="0"/>
            </w:tcBorders>
          </w:tcPr>
          <w:p w14:paraId="764DE694">
            <w:pPr>
              <w:keepNext w:val="0"/>
              <w:keepLines w:val="0"/>
              <w:suppressLineNumbers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p>
        </w:tc>
        <w:tc>
          <w:tcPr>
            <w:tcW w:w="552" w:type="dxa"/>
            <w:tcBorders>
              <w:top w:val="single" w:color="auto" w:sz="4" w:space="0"/>
              <w:left w:val="single" w:color="auto" w:sz="4" w:space="0"/>
              <w:bottom w:val="single" w:color="auto" w:sz="4" w:space="0"/>
              <w:right w:val="single" w:color="auto" w:sz="4" w:space="0"/>
            </w:tcBorders>
          </w:tcPr>
          <w:p w14:paraId="6DC3E4F0">
            <w:pPr>
              <w:keepNext w:val="0"/>
              <w:keepLines w:val="0"/>
              <w:suppressLineNumbers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p>
        </w:tc>
        <w:tc>
          <w:tcPr>
            <w:tcW w:w="552" w:type="dxa"/>
            <w:tcBorders>
              <w:top w:val="single" w:color="auto" w:sz="4" w:space="0"/>
              <w:left w:val="single" w:color="auto" w:sz="4" w:space="0"/>
              <w:bottom w:val="single" w:color="auto" w:sz="4" w:space="0"/>
              <w:right w:val="single" w:color="auto" w:sz="4" w:space="0"/>
            </w:tcBorders>
          </w:tcPr>
          <w:p w14:paraId="485D9EA8">
            <w:pPr>
              <w:keepNext w:val="0"/>
              <w:keepLines w:val="0"/>
              <w:suppressLineNumbers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p>
        </w:tc>
        <w:tc>
          <w:tcPr>
            <w:tcW w:w="552" w:type="dxa"/>
            <w:tcBorders>
              <w:top w:val="single" w:color="auto" w:sz="4" w:space="0"/>
              <w:left w:val="single" w:color="auto" w:sz="4" w:space="0"/>
              <w:bottom w:val="single" w:color="auto" w:sz="4" w:space="0"/>
              <w:right w:val="single" w:color="auto" w:sz="4" w:space="0"/>
            </w:tcBorders>
          </w:tcPr>
          <w:p w14:paraId="06ABE45D">
            <w:pPr>
              <w:keepNext w:val="0"/>
              <w:keepLines w:val="0"/>
              <w:suppressLineNumbers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p>
        </w:tc>
        <w:tc>
          <w:tcPr>
            <w:tcW w:w="553" w:type="dxa"/>
            <w:tcBorders>
              <w:top w:val="single" w:color="auto" w:sz="4" w:space="0"/>
              <w:left w:val="single" w:color="auto" w:sz="4" w:space="0"/>
              <w:bottom w:val="single" w:color="auto" w:sz="4" w:space="0"/>
              <w:right w:val="single" w:color="auto" w:sz="4" w:space="0"/>
            </w:tcBorders>
          </w:tcPr>
          <w:p w14:paraId="5BD59F06">
            <w:pPr>
              <w:keepNext w:val="0"/>
              <w:keepLines w:val="0"/>
              <w:suppressLineNumbers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p>
        </w:tc>
        <w:tc>
          <w:tcPr>
            <w:tcW w:w="553" w:type="dxa"/>
            <w:tcBorders>
              <w:top w:val="single" w:color="auto" w:sz="4" w:space="0"/>
              <w:left w:val="single" w:color="auto" w:sz="4" w:space="0"/>
              <w:bottom w:val="single" w:color="auto" w:sz="4" w:space="0"/>
              <w:right w:val="single" w:color="auto" w:sz="4" w:space="0"/>
            </w:tcBorders>
          </w:tcPr>
          <w:p w14:paraId="204BA131">
            <w:pPr>
              <w:keepNext w:val="0"/>
              <w:keepLines w:val="0"/>
              <w:suppressLineNumbers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p>
        </w:tc>
        <w:tc>
          <w:tcPr>
            <w:tcW w:w="553" w:type="dxa"/>
            <w:tcBorders>
              <w:top w:val="single" w:color="auto" w:sz="4" w:space="0"/>
              <w:left w:val="single" w:color="auto" w:sz="4" w:space="0"/>
              <w:bottom w:val="single" w:color="auto" w:sz="4" w:space="0"/>
              <w:right w:val="single" w:color="auto" w:sz="4" w:space="0"/>
            </w:tcBorders>
          </w:tcPr>
          <w:p w14:paraId="02F3CCB1">
            <w:pPr>
              <w:keepNext w:val="0"/>
              <w:keepLines w:val="0"/>
              <w:suppressLineNumbers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p>
        </w:tc>
        <w:tc>
          <w:tcPr>
            <w:tcW w:w="553" w:type="dxa"/>
            <w:tcBorders>
              <w:top w:val="single" w:color="auto" w:sz="4" w:space="0"/>
              <w:left w:val="single" w:color="auto" w:sz="4" w:space="0"/>
              <w:bottom w:val="single" w:color="auto" w:sz="4" w:space="0"/>
              <w:right w:val="single" w:color="auto" w:sz="4" w:space="0"/>
            </w:tcBorders>
          </w:tcPr>
          <w:p w14:paraId="124CCB44">
            <w:pPr>
              <w:keepNext w:val="0"/>
              <w:keepLines w:val="0"/>
              <w:suppressLineNumbers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p>
        </w:tc>
        <w:tc>
          <w:tcPr>
            <w:tcW w:w="553" w:type="dxa"/>
            <w:tcBorders>
              <w:top w:val="single" w:color="auto" w:sz="4" w:space="0"/>
              <w:left w:val="single" w:color="auto" w:sz="4" w:space="0"/>
              <w:bottom w:val="single" w:color="auto" w:sz="4" w:space="0"/>
              <w:right w:val="single" w:color="auto" w:sz="4" w:space="0"/>
            </w:tcBorders>
          </w:tcPr>
          <w:p w14:paraId="6912B69E">
            <w:pPr>
              <w:keepNext w:val="0"/>
              <w:keepLines w:val="0"/>
              <w:suppressLineNumbers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p>
        </w:tc>
        <w:tc>
          <w:tcPr>
            <w:tcW w:w="553" w:type="dxa"/>
            <w:tcBorders>
              <w:top w:val="single" w:color="auto" w:sz="4" w:space="0"/>
              <w:left w:val="single" w:color="auto" w:sz="4" w:space="0"/>
              <w:bottom w:val="single" w:color="auto" w:sz="4" w:space="0"/>
              <w:right w:val="single" w:color="auto" w:sz="4" w:space="0"/>
            </w:tcBorders>
          </w:tcPr>
          <w:p w14:paraId="789EC196">
            <w:pPr>
              <w:keepNext w:val="0"/>
              <w:keepLines w:val="0"/>
              <w:suppressLineNumbers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p>
        </w:tc>
        <w:tc>
          <w:tcPr>
            <w:tcW w:w="553" w:type="dxa"/>
            <w:tcBorders>
              <w:top w:val="single" w:color="auto" w:sz="4" w:space="0"/>
              <w:left w:val="single" w:color="auto" w:sz="4" w:space="0"/>
              <w:bottom w:val="single" w:color="auto" w:sz="4" w:space="0"/>
              <w:right w:val="single" w:color="auto" w:sz="4" w:space="0"/>
            </w:tcBorders>
          </w:tcPr>
          <w:p w14:paraId="1200AC65">
            <w:pPr>
              <w:keepNext w:val="0"/>
              <w:keepLines w:val="0"/>
              <w:suppressLineNumbers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p>
        </w:tc>
        <w:tc>
          <w:tcPr>
            <w:tcW w:w="553" w:type="dxa"/>
            <w:tcBorders>
              <w:top w:val="single" w:color="auto" w:sz="4" w:space="0"/>
              <w:left w:val="single" w:color="auto" w:sz="4" w:space="0"/>
              <w:bottom w:val="single" w:color="auto" w:sz="4" w:space="0"/>
              <w:right w:val="single" w:color="auto" w:sz="4" w:space="0"/>
            </w:tcBorders>
          </w:tcPr>
          <w:p w14:paraId="6B352D88">
            <w:pPr>
              <w:keepNext w:val="0"/>
              <w:keepLines w:val="0"/>
              <w:suppressLineNumbers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p>
        </w:tc>
        <w:tc>
          <w:tcPr>
            <w:tcW w:w="553" w:type="dxa"/>
            <w:tcBorders>
              <w:top w:val="single" w:color="auto" w:sz="4" w:space="0"/>
              <w:left w:val="single" w:color="auto" w:sz="4" w:space="0"/>
              <w:bottom w:val="single" w:color="auto" w:sz="4" w:space="0"/>
              <w:right w:val="single" w:color="auto" w:sz="4" w:space="0"/>
            </w:tcBorders>
          </w:tcPr>
          <w:p w14:paraId="4B787543">
            <w:pPr>
              <w:keepNext w:val="0"/>
              <w:keepLines w:val="0"/>
              <w:suppressLineNumbers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p>
        </w:tc>
        <w:tc>
          <w:tcPr>
            <w:tcW w:w="553" w:type="dxa"/>
            <w:tcBorders>
              <w:top w:val="single" w:color="auto" w:sz="4" w:space="0"/>
              <w:left w:val="single" w:color="auto" w:sz="4" w:space="0"/>
              <w:bottom w:val="single" w:color="auto" w:sz="4" w:space="0"/>
              <w:right w:val="single" w:color="auto" w:sz="4" w:space="0"/>
            </w:tcBorders>
          </w:tcPr>
          <w:p w14:paraId="1F08A892">
            <w:pPr>
              <w:keepNext w:val="0"/>
              <w:keepLines w:val="0"/>
              <w:suppressLineNumbers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p>
        </w:tc>
      </w:tr>
      <w:tr w14:paraId="527525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8" w:type="dxa"/>
            <w:tcBorders>
              <w:top w:val="single" w:color="auto" w:sz="4" w:space="0"/>
              <w:left w:val="single" w:color="auto" w:sz="4" w:space="0"/>
              <w:bottom w:val="single" w:color="auto" w:sz="4" w:space="0"/>
              <w:right w:val="single" w:color="auto" w:sz="4" w:space="0"/>
            </w:tcBorders>
            <w:vAlign w:val="center"/>
          </w:tcPr>
          <w:p w14:paraId="118F373D">
            <w:pPr>
              <w:keepNext w:val="0"/>
              <w:keepLines w:val="0"/>
              <w:suppressLineNumbers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p>
        </w:tc>
        <w:tc>
          <w:tcPr>
            <w:tcW w:w="552" w:type="dxa"/>
            <w:tcBorders>
              <w:top w:val="single" w:color="auto" w:sz="4" w:space="0"/>
              <w:left w:val="single" w:color="auto" w:sz="4" w:space="0"/>
              <w:bottom w:val="single" w:color="auto" w:sz="4" w:space="0"/>
              <w:right w:val="single" w:color="auto" w:sz="4" w:space="0"/>
            </w:tcBorders>
          </w:tcPr>
          <w:p w14:paraId="203FB9BA">
            <w:pPr>
              <w:keepNext w:val="0"/>
              <w:keepLines w:val="0"/>
              <w:suppressLineNumbers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p>
        </w:tc>
        <w:tc>
          <w:tcPr>
            <w:tcW w:w="552" w:type="dxa"/>
            <w:tcBorders>
              <w:top w:val="single" w:color="auto" w:sz="4" w:space="0"/>
              <w:left w:val="single" w:color="auto" w:sz="4" w:space="0"/>
              <w:bottom w:val="single" w:color="auto" w:sz="4" w:space="0"/>
              <w:right w:val="single" w:color="auto" w:sz="4" w:space="0"/>
            </w:tcBorders>
          </w:tcPr>
          <w:p w14:paraId="2D35CAC1">
            <w:pPr>
              <w:keepNext w:val="0"/>
              <w:keepLines w:val="0"/>
              <w:suppressLineNumbers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p>
        </w:tc>
        <w:tc>
          <w:tcPr>
            <w:tcW w:w="552" w:type="dxa"/>
            <w:tcBorders>
              <w:top w:val="single" w:color="auto" w:sz="4" w:space="0"/>
              <w:left w:val="single" w:color="auto" w:sz="4" w:space="0"/>
              <w:bottom w:val="single" w:color="auto" w:sz="4" w:space="0"/>
              <w:right w:val="single" w:color="auto" w:sz="4" w:space="0"/>
            </w:tcBorders>
          </w:tcPr>
          <w:p w14:paraId="4008E652">
            <w:pPr>
              <w:keepNext w:val="0"/>
              <w:keepLines w:val="0"/>
              <w:suppressLineNumbers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p>
        </w:tc>
        <w:tc>
          <w:tcPr>
            <w:tcW w:w="552" w:type="dxa"/>
            <w:tcBorders>
              <w:top w:val="single" w:color="auto" w:sz="4" w:space="0"/>
              <w:left w:val="single" w:color="auto" w:sz="4" w:space="0"/>
              <w:bottom w:val="single" w:color="auto" w:sz="4" w:space="0"/>
              <w:right w:val="single" w:color="auto" w:sz="4" w:space="0"/>
            </w:tcBorders>
          </w:tcPr>
          <w:p w14:paraId="54E2E082">
            <w:pPr>
              <w:keepNext w:val="0"/>
              <w:keepLines w:val="0"/>
              <w:suppressLineNumbers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p>
        </w:tc>
        <w:tc>
          <w:tcPr>
            <w:tcW w:w="552" w:type="dxa"/>
            <w:tcBorders>
              <w:top w:val="single" w:color="auto" w:sz="4" w:space="0"/>
              <w:left w:val="single" w:color="auto" w:sz="4" w:space="0"/>
              <w:bottom w:val="single" w:color="auto" w:sz="4" w:space="0"/>
              <w:right w:val="single" w:color="auto" w:sz="4" w:space="0"/>
            </w:tcBorders>
          </w:tcPr>
          <w:p w14:paraId="3C0C0747">
            <w:pPr>
              <w:keepNext w:val="0"/>
              <w:keepLines w:val="0"/>
              <w:suppressLineNumbers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p>
        </w:tc>
        <w:tc>
          <w:tcPr>
            <w:tcW w:w="552" w:type="dxa"/>
            <w:tcBorders>
              <w:top w:val="single" w:color="auto" w:sz="4" w:space="0"/>
              <w:left w:val="single" w:color="auto" w:sz="4" w:space="0"/>
              <w:bottom w:val="single" w:color="auto" w:sz="4" w:space="0"/>
              <w:right w:val="single" w:color="auto" w:sz="4" w:space="0"/>
            </w:tcBorders>
          </w:tcPr>
          <w:p w14:paraId="529549C0">
            <w:pPr>
              <w:keepNext w:val="0"/>
              <w:keepLines w:val="0"/>
              <w:suppressLineNumbers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p>
        </w:tc>
        <w:tc>
          <w:tcPr>
            <w:tcW w:w="553" w:type="dxa"/>
            <w:tcBorders>
              <w:top w:val="single" w:color="auto" w:sz="4" w:space="0"/>
              <w:left w:val="single" w:color="auto" w:sz="4" w:space="0"/>
              <w:bottom w:val="single" w:color="auto" w:sz="4" w:space="0"/>
              <w:right w:val="single" w:color="auto" w:sz="4" w:space="0"/>
            </w:tcBorders>
          </w:tcPr>
          <w:p w14:paraId="0BE3B92B">
            <w:pPr>
              <w:keepNext w:val="0"/>
              <w:keepLines w:val="0"/>
              <w:suppressLineNumbers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p>
        </w:tc>
        <w:tc>
          <w:tcPr>
            <w:tcW w:w="553" w:type="dxa"/>
            <w:tcBorders>
              <w:top w:val="single" w:color="auto" w:sz="4" w:space="0"/>
              <w:left w:val="single" w:color="auto" w:sz="4" w:space="0"/>
              <w:bottom w:val="single" w:color="auto" w:sz="4" w:space="0"/>
              <w:right w:val="single" w:color="auto" w:sz="4" w:space="0"/>
            </w:tcBorders>
          </w:tcPr>
          <w:p w14:paraId="24BC29F3">
            <w:pPr>
              <w:keepNext w:val="0"/>
              <w:keepLines w:val="0"/>
              <w:suppressLineNumbers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p>
        </w:tc>
        <w:tc>
          <w:tcPr>
            <w:tcW w:w="553" w:type="dxa"/>
            <w:tcBorders>
              <w:top w:val="single" w:color="auto" w:sz="4" w:space="0"/>
              <w:left w:val="single" w:color="auto" w:sz="4" w:space="0"/>
              <w:bottom w:val="single" w:color="auto" w:sz="4" w:space="0"/>
              <w:right w:val="single" w:color="auto" w:sz="4" w:space="0"/>
            </w:tcBorders>
          </w:tcPr>
          <w:p w14:paraId="119295BE">
            <w:pPr>
              <w:keepNext w:val="0"/>
              <w:keepLines w:val="0"/>
              <w:suppressLineNumbers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p>
        </w:tc>
        <w:tc>
          <w:tcPr>
            <w:tcW w:w="553" w:type="dxa"/>
            <w:tcBorders>
              <w:top w:val="single" w:color="auto" w:sz="4" w:space="0"/>
              <w:left w:val="single" w:color="auto" w:sz="4" w:space="0"/>
              <w:bottom w:val="single" w:color="auto" w:sz="4" w:space="0"/>
              <w:right w:val="single" w:color="auto" w:sz="4" w:space="0"/>
            </w:tcBorders>
          </w:tcPr>
          <w:p w14:paraId="54F1BAEF">
            <w:pPr>
              <w:keepNext w:val="0"/>
              <w:keepLines w:val="0"/>
              <w:suppressLineNumbers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p>
        </w:tc>
        <w:tc>
          <w:tcPr>
            <w:tcW w:w="553" w:type="dxa"/>
            <w:tcBorders>
              <w:top w:val="single" w:color="auto" w:sz="4" w:space="0"/>
              <w:left w:val="single" w:color="auto" w:sz="4" w:space="0"/>
              <w:bottom w:val="single" w:color="auto" w:sz="4" w:space="0"/>
              <w:right w:val="single" w:color="auto" w:sz="4" w:space="0"/>
            </w:tcBorders>
          </w:tcPr>
          <w:p w14:paraId="45B96DD6">
            <w:pPr>
              <w:keepNext w:val="0"/>
              <w:keepLines w:val="0"/>
              <w:suppressLineNumbers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p>
        </w:tc>
        <w:tc>
          <w:tcPr>
            <w:tcW w:w="553" w:type="dxa"/>
            <w:tcBorders>
              <w:top w:val="single" w:color="auto" w:sz="4" w:space="0"/>
              <w:left w:val="single" w:color="auto" w:sz="4" w:space="0"/>
              <w:bottom w:val="single" w:color="auto" w:sz="4" w:space="0"/>
              <w:right w:val="single" w:color="auto" w:sz="4" w:space="0"/>
            </w:tcBorders>
          </w:tcPr>
          <w:p w14:paraId="43509336">
            <w:pPr>
              <w:keepNext w:val="0"/>
              <w:keepLines w:val="0"/>
              <w:suppressLineNumbers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p>
        </w:tc>
        <w:tc>
          <w:tcPr>
            <w:tcW w:w="553" w:type="dxa"/>
            <w:tcBorders>
              <w:top w:val="single" w:color="auto" w:sz="4" w:space="0"/>
              <w:left w:val="single" w:color="auto" w:sz="4" w:space="0"/>
              <w:bottom w:val="single" w:color="auto" w:sz="4" w:space="0"/>
              <w:right w:val="single" w:color="auto" w:sz="4" w:space="0"/>
            </w:tcBorders>
          </w:tcPr>
          <w:p w14:paraId="1C9A14A6">
            <w:pPr>
              <w:keepNext w:val="0"/>
              <w:keepLines w:val="0"/>
              <w:suppressLineNumbers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p>
        </w:tc>
        <w:tc>
          <w:tcPr>
            <w:tcW w:w="553" w:type="dxa"/>
            <w:tcBorders>
              <w:top w:val="single" w:color="auto" w:sz="4" w:space="0"/>
              <w:left w:val="single" w:color="auto" w:sz="4" w:space="0"/>
              <w:bottom w:val="single" w:color="auto" w:sz="4" w:space="0"/>
              <w:right w:val="single" w:color="auto" w:sz="4" w:space="0"/>
            </w:tcBorders>
          </w:tcPr>
          <w:p w14:paraId="7D3D2F9A">
            <w:pPr>
              <w:keepNext w:val="0"/>
              <w:keepLines w:val="0"/>
              <w:suppressLineNumbers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p>
        </w:tc>
        <w:tc>
          <w:tcPr>
            <w:tcW w:w="553" w:type="dxa"/>
            <w:tcBorders>
              <w:top w:val="single" w:color="auto" w:sz="4" w:space="0"/>
              <w:left w:val="single" w:color="auto" w:sz="4" w:space="0"/>
              <w:bottom w:val="single" w:color="auto" w:sz="4" w:space="0"/>
              <w:right w:val="single" w:color="auto" w:sz="4" w:space="0"/>
            </w:tcBorders>
          </w:tcPr>
          <w:p w14:paraId="2F946952">
            <w:pPr>
              <w:keepNext w:val="0"/>
              <w:keepLines w:val="0"/>
              <w:suppressLineNumbers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p>
        </w:tc>
        <w:tc>
          <w:tcPr>
            <w:tcW w:w="553" w:type="dxa"/>
            <w:tcBorders>
              <w:top w:val="single" w:color="auto" w:sz="4" w:space="0"/>
              <w:left w:val="single" w:color="auto" w:sz="4" w:space="0"/>
              <w:bottom w:val="single" w:color="auto" w:sz="4" w:space="0"/>
              <w:right w:val="single" w:color="auto" w:sz="4" w:space="0"/>
            </w:tcBorders>
          </w:tcPr>
          <w:p w14:paraId="51EF8501">
            <w:pPr>
              <w:keepNext w:val="0"/>
              <w:keepLines w:val="0"/>
              <w:suppressLineNumbers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p>
        </w:tc>
      </w:tr>
    </w:tbl>
    <w:p w14:paraId="47D6B556">
      <w:pPr>
        <w:autoSpaceDE w:val="0"/>
        <w:autoSpaceDN w:val="0"/>
        <w:spacing w:line="360" w:lineRule="auto"/>
        <w:rPr>
          <w:rFonts w:ascii="方正仿宋_GB2312" w:hAnsi="仿宋" w:eastAsia="方正仿宋_GB2312" w:cs="方正仿宋_GB2312"/>
          <w:color w:val="auto"/>
          <w:kern w:val="0"/>
          <w:sz w:val="24"/>
          <w:highlight w:val="none"/>
        </w:rPr>
      </w:pPr>
      <w:r>
        <w:rPr>
          <w:rFonts w:hint="eastAsia" w:ascii="方正仿宋_GB2312" w:hAnsi="仿宋" w:eastAsia="方正仿宋_GB2312" w:cs="方正仿宋_GB2312"/>
          <w:b/>
          <w:color w:val="auto"/>
          <w:sz w:val="24"/>
          <w:highlight w:val="none"/>
        </w:rPr>
        <w:t>注：投标人可按上述时间表的格式自行编制切合实际的具体时间表。</w:t>
      </w:r>
    </w:p>
    <w:p w14:paraId="1823FD44">
      <w:pPr>
        <w:autoSpaceDE w:val="0"/>
        <w:autoSpaceDN w:val="0"/>
        <w:spacing w:line="360" w:lineRule="auto"/>
        <w:ind w:firstLine="4440" w:firstLineChars="1850"/>
        <w:rPr>
          <w:rFonts w:ascii="方正仿宋_GB2312" w:hAnsi="仿宋" w:eastAsia="方正仿宋_GB2312" w:cs="方正仿宋_GB2312"/>
          <w:color w:val="auto"/>
          <w:kern w:val="0"/>
          <w:sz w:val="24"/>
          <w:highlight w:val="none"/>
        </w:rPr>
      </w:pPr>
      <w:r>
        <w:rPr>
          <w:rFonts w:hint="eastAsia" w:ascii="方正仿宋_GB2312" w:hAnsi="仿宋" w:eastAsia="方正仿宋_GB2312" w:cs="方正仿宋_GB2312"/>
          <w:color w:val="auto"/>
          <w:kern w:val="0"/>
          <w:sz w:val="24"/>
          <w:highlight w:val="none"/>
        </w:rPr>
        <w:t>投标人名称（电子签章）：</w:t>
      </w:r>
    </w:p>
    <w:p w14:paraId="39932D25">
      <w:pPr>
        <w:autoSpaceDE w:val="0"/>
        <w:autoSpaceDN w:val="0"/>
        <w:spacing w:line="360" w:lineRule="auto"/>
        <w:rPr>
          <w:rFonts w:ascii="方正仿宋_GB2312" w:hAnsi="仿宋" w:eastAsia="方正仿宋_GB2312" w:cs="方正仿宋_GB2312"/>
          <w:b/>
          <w:bCs/>
          <w:color w:val="auto"/>
          <w:sz w:val="32"/>
          <w:szCs w:val="32"/>
          <w:highlight w:val="none"/>
        </w:rPr>
      </w:pPr>
      <w:r>
        <w:rPr>
          <w:rFonts w:hint="eastAsia" w:ascii="方正仿宋_GB2312" w:hAnsi="仿宋" w:eastAsia="方正仿宋_GB2312" w:cs="方正仿宋_GB2312"/>
          <w:color w:val="auto"/>
          <w:kern w:val="0"/>
          <w:sz w:val="24"/>
          <w:highlight w:val="none"/>
          <w:lang w:val="zh-CN"/>
        </w:rPr>
        <w:t>日期：  年  月   日</w:t>
      </w:r>
    </w:p>
    <w:p w14:paraId="001B5DBA">
      <w:pPr>
        <w:snapToGrid w:val="0"/>
        <w:spacing w:line="360" w:lineRule="auto"/>
        <w:ind w:firstLine="4935" w:firstLineChars="2350"/>
        <w:rPr>
          <w:rFonts w:hAnsi="宋体"/>
          <w:color w:val="auto"/>
          <w:szCs w:val="21"/>
          <w:highlight w:val="none"/>
        </w:rPr>
      </w:pPr>
    </w:p>
    <w:p w14:paraId="00C53DC5">
      <w:pPr>
        <w:rPr>
          <w:rFonts w:hint="eastAsia"/>
          <w:b/>
          <w:bCs/>
          <w:color w:val="auto"/>
          <w:sz w:val="30"/>
          <w:szCs w:val="30"/>
          <w:highlight w:val="none"/>
        </w:rPr>
      </w:pPr>
      <w:r>
        <w:rPr>
          <w:rFonts w:hint="eastAsia"/>
          <w:b/>
          <w:bCs/>
          <w:color w:val="auto"/>
          <w:sz w:val="30"/>
          <w:szCs w:val="30"/>
          <w:highlight w:val="none"/>
        </w:rPr>
        <w:br w:type="page"/>
      </w:r>
    </w:p>
    <w:p w14:paraId="29EB72FB">
      <w:pPr>
        <w:snapToGrid w:val="0"/>
        <w:spacing w:before="165" w:beforeLines="50" w:after="50"/>
        <w:jc w:val="center"/>
        <w:rPr>
          <w:b/>
          <w:bCs/>
          <w:color w:val="auto"/>
          <w:sz w:val="30"/>
          <w:szCs w:val="30"/>
          <w:highlight w:val="none"/>
        </w:rPr>
      </w:pPr>
      <w:r>
        <w:rPr>
          <w:rFonts w:hint="eastAsia"/>
          <w:b/>
          <w:bCs/>
          <w:color w:val="auto"/>
          <w:sz w:val="30"/>
          <w:szCs w:val="30"/>
          <w:highlight w:val="none"/>
        </w:rPr>
        <w:t>三、售后服务方案</w:t>
      </w:r>
    </w:p>
    <w:p w14:paraId="21AC81A7">
      <w:pPr>
        <w:autoSpaceDE w:val="0"/>
        <w:autoSpaceDN w:val="0"/>
        <w:spacing w:line="360" w:lineRule="auto"/>
        <w:jc w:val="center"/>
        <w:rPr>
          <w:rFonts w:ascii="方正仿宋_GB2312" w:hAnsi="仿宋" w:eastAsia="方正仿宋_GB2312" w:cs="方正仿宋_GB2312"/>
          <w:color w:val="auto"/>
          <w:sz w:val="24"/>
          <w:highlight w:val="none"/>
        </w:rPr>
      </w:pPr>
      <w:r>
        <w:rPr>
          <w:rFonts w:hint="eastAsia" w:ascii="方正仿宋_GB2312" w:hAnsi="仿宋" w:eastAsia="方正仿宋_GB2312" w:cs="方正仿宋_GB2312"/>
          <w:color w:val="auto"/>
          <w:sz w:val="24"/>
          <w:highlight w:val="none"/>
        </w:rPr>
        <w:t>（由投标人根据采购需求及招标文件要求编制）</w:t>
      </w:r>
    </w:p>
    <w:p w14:paraId="76DAFBBE">
      <w:pPr>
        <w:snapToGrid w:val="0"/>
        <w:spacing w:before="165" w:beforeLines="50" w:after="50"/>
        <w:ind w:left="142"/>
        <w:jc w:val="center"/>
        <w:rPr>
          <w:rFonts w:ascii="宋体" w:hAnsi="宋体"/>
          <w:b/>
          <w:color w:val="auto"/>
          <w:sz w:val="32"/>
          <w:szCs w:val="32"/>
          <w:highlight w:val="none"/>
        </w:rPr>
      </w:pPr>
      <w:r>
        <w:rPr>
          <w:rFonts w:hint="eastAsia" w:ascii="宋体" w:hAnsi="宋体"/>
          <w:b/>
          <w:color w:val="auto"/>
          <w:sz w:val="32"/>
          <w:szCs w:val="32"/>
          <w:highlight w:val="none"/>
        </w:rPr>
        <w:t>1、售后服务承诺</w:t>
      </w:r>
    </w:p>
    <w:p w14:paraId="4AAFC869">
      <w:pPr>
        <w:autoSpaceDE w:val="0"/>
        <w:autoSpaceDN w:val="0"/>
        <w:spacing w:line="360" w:lineRule="auto"/>
        <w:rPr>
          <w:rFonts w:ascii="方正仿宋_GB2312" w:hAnsi="仿宋" w:eastAsia="方正仿宋_GB2312" w:cs="方正仿宋_GB2312"/>
          <w:b/>
          <w:color w:val="auto"/>
          <w:sz w:val="24"/>
          <w:highlight w:val="none"/>
        </w:rPr>
      </w:pPr>
      <w:r>
        <w:rPr>
          <w:rFonts w:hint="eastAsia" w:ascii="方正仿宋_GB2312" w:hAnsi="仿宋" w:eastAsia="方正仿宋_GB2312" w:cs="方正仿宋_GB2312"/>
          <w:b/>
          <w:color w:val="auto"/>
          <w:sz w:val="24"/>
          <w:highlight w:val="none"/>
        </w:rPr>
        <w:t>附表A:售后服务机构情况表</w:t>
      </w:r>
      <w:r>
        <w:rPr>
          <w:rFonts w:hint="eastAsia" w:ascii="方正仿宋_GB2312" w:hAnsi="仿宋" w:eastAsia="方正仿宋_GB2312" w:cs="方正仿宋_GB2312"/>
          <w:color w:val="auto"/>
          <w:sz w:val="24"/>
          <w:highlight w:val="none"/>
        </w:rPr>
        <w:t>（按此格式自制）</w:t>
      </w:r>
    </w:p>
    <w:tbl>
      <w:tblPr>
        <w:tblStyle w:val="37"/>
        <w:tblW w:w="0" w:type="auto"/>
        <w:tblInd w:w="113"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28"/>
        <w:gridCol w:w="2340"/>
        <w:gridCol w:w="1095"/>
        <w:gridCol w:w="1245"/>
        <w:gridCol w:w="1980"/>
        <w:gridCol w:w="1260"/>
      </w:tblGrid>
      <w:tr w14:paraId="5FC2A1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28" w:type="dxa"/>
            <w:tcBorders>
              <w:top w:val="single" w:color="auto" w:sz="4" w:space="0"/>
              <w:left w:val="single" w:color="auto" w:sz="4" w:space="0"/>
              <w:bottom w:val="single" w:color="auto" w:sz="4" w:space="0"/>
              <w:right w:val="single" w:color="auto" w:sz="4" w:space="0"/>
            </w:tcBorders>
          </w:tcPr>
          <w:p w14:paraId="7CC50404">
            <w:pPr>
              <w:keepNext w:val="0"/>
              <w:keepLines w:val="0"/>
              <w:suppressLineNumbers w:val="0"/>
              <w:autoSpaceDE w:val="0"/>
              <w:autoSpaceDN w:val="0"/>
              <w:spacing w:before="0" w:beforeAutospacing="0" w:after="0" w:afterAutospacing="0" w:line="360" w:lineRule="auto"/>
              <w:ind w:left="0" w:right="0"/>
              <w:jc w:val="center"/>
              <w:rPr>
                <w:rFonts w:hint="default" w:ascii="方正仿宋_GB2312" w:hAnsi="仿宋" w:eastAsia="方正仿宋_GB2312" w:cs="方正仿宋_GB2312"/>
                <w:b/>
                <w:color w:val="auto"/>
                <w:sz w:val="24"/>
                <w:highlight w:val="none"/>
              </w:rPr>
            </w:pPr>
            <w:r>
              <w:rPr>
                <w:rFonts w:hint="eastAsia" w:ascii="方正仿宋_GB2312" w:hAnsi="仿宋" w:eastAsia="方正仿宋_GB2312" w:cs="方正仿宋_GB2312"/>
                <w:b/>
                <w:color w:val="auto"/>
                <w:sz w:val="24"/>
                <w:highlight w:val="none"/>
              </w:rPr>
              <w:t>序号</w:t>
            </w:r>
          </w:p>
        </w:tc>
        <w:tc>
          <w:tcPr>
            <w:tcW w:w="2340" w:type="dxa"/>
            <w:tcBorders>
              <w:top w:val="single" w:color="auto" w:sz="4" w:space="0"/>
              <w:left w:val="single" w:color="auto" w:sz="4" w:space="0"/>
              <w:bottom w:val="single" w:color="auto" w:sz="4" w:space="0"/>
              <w:right w:val="single" w:color="auto" w:sz="4" w:space="0"/>
            </w:tcBorders>
          </w:tcPr>
          <w:p w14:paraId="2E34A9EE">
            <w:pPr>
              <w:keepNext w:val="0"/>
              <w:keepLines w:val="0"/>
              <w:suppressLineNumbers w:val="0"/>
              <w:autoSpaceDE w:val="0"/>
              <w:autoSpaceDN w:val="0"/>
              <w:spacing w:before="0" w:beforeAutospacing="0" w:after="0" w:afterAutospacing="0" w:line="360" w:lineRule="auto"/>
              <w:ind w:left="0" w:right="0"/>
              <w:jc w:val="center"/>
              <w:rPr>
                <w:rFonts w:hint="default" w:ascii="方正仿宋_GB2312" w:hAnsi="仿宋" w:eastAsia="方正仿宋_GB2312" w:cs="方正仿宋_GB2312"/>
                <w:b/>
                <w:color w:val="auto"/>
                <w:sz w:val="24"/>
                <w:highlight w:val="none"/>
              </w:rPr>
            </w:pPr>
            <w:r>
              <w:rPr>
                <w:rFonts w:hint="eastAsia" w:ascii="方正仿宋_GB2312" w:hAnsi="仿宋" w:eastAsia="方正仿宋_GB2312" w:cs="方正仿宋_GB2312"/>
                <w:b/>
                <w:color w:val="auto"/>
                <w:sz w:val="24"/>
                <w:highlight w:val="none"/>
              </w:rPr>
              <w:t>机构名称</w:t>
            </w:r>
          </w:p>
        </w:tc>
        <w:tc>
          <w:tcPr>
            <w:tcW w:w="1095" w:type="dxa"/>
            <w:tcBorders>
              <w:top w:val="single" w:color="auto" w:sz="4" w:space="0"/>
              <w:left w:val="single" w:color="auto" w:sz="4" w:space="0"/>
              <w:bottom w:val="single" w:color="auto" w:sz="4" w:space="0"/>
              <w:right w:val="single" w:color="auto" w:sz="4" w:space="0"/>
            </w:tcBorders>
          </w:tcPr>
          <w:p w14:paraId="0CD2286F">
            <w:pPr>
              <w:keepNext w:val="0"/>
              <w:keepLines w:val="0"/>
              <w:suppressLineNumbers w:val="0"/>
              <w:autoSpaceDE w:val="0"/>
              <w:autoSpaceDN w:val="0"/>
              <w:spacing w:before="0" w:beforeAutospacing="0" w:after="0" w:afterAutospacing="0" w:line="360" w:lineRule="auto"/>
              <w:ind w:left="0" w:right="0"/>
              <w:jc w:val="center"/>
              <w:rPr>
                <w:rFonts w:hint="default" w:ascii="方正仿宋_GB2312" w:hAnsi="仿宋" w:eastAsia="方正仿宋_GB2312" w:cs="方正仿宋_GB2312"/>
                <w:b/>
                <w:color w:val="auto"/>
                <w:sz w:val="24"/>
                <w:highlight w:val="none"/>
              </w:rPr>
            </w:pPr>
            <w:r>
              <w:rPr>
                <w:rFonts w:hint="eastAsia" w:ascii="方正仿宋_GB2312" w:hAnsi="仿宋" w:eastAsia="方正仿宋_GB2312" w:cs="方正仿宋_GB2312"/>
                <w:b/>
                <w:color w:val="auto"/>
                <w:sz w:val="24"/>
                <w:highlight w:val="none"/>
              </w:rPr>
              <w:t>机构性质</w:t>
            </w:r>
          </w:p>
        </w:tc>
        <w:tc>
          <w:tcPr>
            <w:tcW w:w="1245" w:type="dxa"/>
            <w:tcBorders>
              <w:top w:val="single" w:color="auto" w:sz="4" w:space="0"/>
              <w:left w:val="single" w:color="auto" w:sz="4" w:space="0"/>
              <w:bottom w:val="single" w:color="auto" w:sz="4" w:space="0"/>
              <w:right w:val="single" w:color="auto" w:sz="4" w:space="0"/>
            </w:tcBorders>
          </w:tcPr>
          <w:p w14:paraId="2904F231">
            <w:pPr>
              <w:keepNext w:val="0"/>
              <w:keepLines w:val="0"/>
              <w:suppressLineNumbers w:val="0"/>
              <w:autoSpaceDE w:val="0"/>
              <w:autoSpaceDN w:val="0"/>
              <w:spacing w:before="0" w:beforeAutospacing="0" w:after="0" w:afterAutospacing="0" w:line="360" w:lineRule="auto"/>
              <w:ind w:left="0" w:right="0"/>
              <w:jc w:val="center"/>
              <w:rPr>
                <w:rFonts w:hint="default" w:ascii="方正仿宋_GB2312" w:hAnsi="仿宋" w:eastAsia="方正仿宋_GB2312" w:cs="方正仿宋_GB2312"/>
                <w:b/>
                <w:color w:val="auto"/>
                <w:sz w:val="24"/>
                <w:highlight w:val="none"/>
              </w:rPr>
            </w:pPr>
            <w:r>
              <w:rPr>
                <w:rFonts w:hint="eastAsia" w:ascii="方正仿宋_GB2312" w:hAnsi="仿宋" w:eastAsia="方正仿宋_GB2312" w:cs="方正仿宋_GB2312"/>
                <w:b/>
                <w:color w:val="auto"/>
                <w:sz w:val="24"/>
                <w:highlight w:val="none"/>
              </w:rPr>
              <w:t>注册地址</w:t>
            </w:r>
          </w:p>
        </w:tc>
        <w:tc>
          <w:tcPr>
            <w:tcW w:w="1980" w:type="dxa"/>
            <w:tcBorders>
              <w:top w:val="single" w:color="auto" w:sz="4" w:space="0"/>
              <w:left w:val="single" w:color="auto" w:sz="4" w:space="0"/>
              <w:bottom w:val="single" w:color="auto" w:sz="4" w:space="0"/>
              <w:right w:val="single" w:color="auto" w:sz="4" w:space="0"/>
            </w:tcBorders>
          </w:tcPr>
          <w:p w14:paraId="61A2F9C0">
            <w:pPr>
              <w:keepNext w:val="0"/>
              <w:keepLines w:val="0"/>
              <w:suppressLineNumbers w:val="0"/>
              <w:autoSpaceDE w:val="0"/>
              <w:autoSpaceDN w:val="0"/>
              <w:spacing w:before="0" w:beforeAutospacing="0" w:after="0" w:afterAutospacing="0" w:line="360" w:lineRule="auto"/>
              <w:ind w:left="0" w:right="0"/>
              <w:jc w:val="center"/>
              <w:rPr>
                <w:rFonts w:hint="default" w:ascii="方正仿宋_GB2312" w:hAnsi="仿宋" w:eastAsia="方正仿宋_GB2312" w:cs="方正仿宋_GB2312"/>
                <w:b/>
                <w:color w:val="auto"/>
                <w:sz w:val="24"/>
                <w:highlight w:val="none"/>
              </w:rPr>
            </w:pPr>
            <w:r>
              <w:rPr>
                <w:rFonts w:hint="eastAsia" w:ascii="方正仿宋_GB2312" w:hAnsi="仿宋" w:eastAsia="方正仿宋_GB2312" w:cs="方正仿宋_GB2312"/>
                <w:b/>
                <w:color w:val="auto"/>
                <w:sz w:val="24"/>
                <w:highlight w:val="none"/>
              </w:rPr>
              <w:t>服务技术人员数量</w:t>
            </w:r>
          </w:p>
        </w:tc>
        <w:tc>
          <w:tcPr>
            <w:tcW w:w="1260" w:type="dxa"/>
            <w:tcBorders>
              <w:top w:val="single" w:color="auto" w:sz="4" w:space="0"/>
              <w:left w:val="single" w:color="auto" w:sz="4" w:space="0"/>
              <w:bottom w:val="single" w:color="auto" w:sz="4" w:space="0"/>
              <w:right w:val="single" w:color="auto" w:sz="4" w:space="0"/>
            </w:tcBorders>
          </w:tcPr>
          <w:p w14:paraId="585A59DA">
            <w:pPr>
              <w:keepNext w:val="0"/>
              <w:keepLines w:val="0"/>
              <w:suppressLineNumbers w:val="0"/>
              <w:autoSpaceDE w:val="0"/>
              <w:autoSpaceDN w:val="0"/>
              <w:spacing w:before="0" w:beforeAutospacing="0" w:after="0" w:afterAutospacing="0" w:line="360" w:lineRule="auto"/>
              <w:ind w:left="0" w:right="0"/>
              <w:jc w:val="center"/>
              <w:rPr>
                <w:rFonts w:hint="default" w:ascii="方正仿宋_GB2312" w:hAnsi="仿宋" w:eastAsia="方正仿宋_GB2312" w:cs="方正仿宋_GB2312"/>
                <w:b/>
                <w:color w:val="auto"/>
                <w:sz w:val="24"/>
                <w:highlight w:val="none"/>
              </w:rPr>
            </w:pPr>
            <w:r>
              <w:rPr>
                <w:rFonts w:hint="eastAsia" w:ascii="方正仿宋_GB2312" w:hAnsi="仿宋" w:eastAsia="方正仿宋_GB2312" w:cs="方正仿宋_GB2312"/>
                <w:b/>
                <w:color w:val="auto"/>
                <w:sz w:val="24"/>
                <w:highlight w:val="none"/>
              </w:rPr>
              <w:t>联系电话</w:t>
            </w:r>
          </w:p>
        </w:tc>
      </w:tr>
      <w:tr w14:paraId="42A47F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28" w:type="dxa"/>
            <w:tcBorders>
              <w:top w:val="single" w:color="auto" w:sz="4" w:space="0"/>
              <w:left w:val="single" w:color="auto" w:sz="4" w:space="0"/>
              <w:bottom w:val="single" w:color="auto" w:sz="4" w:space="0"/>
              <w:right w:val="single" w:color="auto" w:sz="4" w:space="0"/>
            </w:tcBorders>
          </w:tcPr>
          <w:p w14:paraId="00C52BA2">
            <w:pPr>
              <w:keepNext w:val="0"/>
              <w:keepLines w:val="0"/>
              <w:suppressLineNumbers w:val="0"/>
              <w:autoSpaceDE w:val="0"/>
              <w:autoSpaceDN w:val="0"/>
              <w:spacing w:before="0" w:beforeAutospacing="0" w:after="0" w:afterAutospacing="0" w:line="360" w:lineRule="auto"/>
              <w:ind w:left="0" w:right="0"/>
              <w:jc w:val="center"/>
              <w:rPr>
                <w:rFonts w:hint="default" w:ascii="方正仿宋_GB2312" w:hAnsi="仿宋" w:eastAsia="方正仿宋_GB2312" w:cs="方正仿宋_GB2312"/>
                <w:color w:val="auto"/>
                <w:sz w:val="24"/>
                <w:highlight w:val="none"/>
              </w:rPr>
            </w:pPr>
          </w:p>
        </w:tc>
        <w:tc>
          <w:tcPr>
            <w:tcW w:w="2340" w:type="dxa"/>
            <w:tcBorders>
              <w:top w:val="single" w:color="auto" w:sz="4" w:space="0"/>
              <w:left w:val="single" w:color="auto" w:sz="4" w:space="0"/>
              <w:bottom w:val="single" w:color="auto" w:sz="4" w:space="0"/>
              <w:right w:val="single" w:color="auto" w:sz="4" w:space="0"/>
            </w:tcBorders>
          </w:tcPr>
          <w:p w14:paraId="597EE821">
            <w:pPr>
              <w:keepNext w:val="0"/>
              <w:keepLines w:val="0"/>
              <w:suppressLineNumbers w:val="0"/>
              <w:autoSpaceDE w:val="0"/>
              <w:autoSpaceDN w:val="0"/>
              <w:spacing w:before="0" w:beforeAutospacing="0" w:after="0" w:afterAutospacing="0" w:line="360" w:lineRule="auto"/>
              <w:ind w:left="0" w:right="0"/>
              <w:jc w:val="center"/>
              <w:rPr>
                <w:rFonts w:hint="default" w:ascii="方正仿宋_GB2312" w:hAnsi="仿宋" w:eastAsia="方正仿宋_GB2312" w:cs="方正仿宋_GB2312"/>
                <w:color w:val="auto"/>
                <w:sz w:val="24"/>
                <w:highlight w:val="none"/>
              </w:rPr>
            </w:pPr>
          </w:p>
        </w:tc>
        <w:tc>
          <w:tcPr>
            <w:tcW w:w="1095" w:type="dxa"/>
            <w:tcBorders>
              <w:top w:val="single" w:color="auto" w:sz="4" w:space="0"/>
              <w:left w:val="single" w:color="auto" w:sz="4" w:space="0"/>
              <w:bottom w:val="single" w:color="auto" w:sz="4" w:space="0"/>
              <w:right w:val="single" w:color="auto" w:sz="4" w:space="0"/>
            </w:tcBorders>
          </w:tcPr>
          <w:p w14:paraId="0192A880">
            <w:pPr>
              <w:keepNext w:val="0"/>
              <w:keepLines w:val="0"/>
              <w:suppressLineNumbers w:val="0"/>
              <w:autoSpaceDE w:val="0"/>
              <w:autoSpaceDN w:val="0"/>
              <w:spacing w:before="0" w:beforeAutospacing="0" w:after="0" w:afterAutospacing="0" w:line="360" w:lineRule="auto"/>
              <w:ind w:left="0" w:right="0"/>
              <w:jc w:val="center"/>
              <w:rPr>
                <w:rFonts w:hint="default" w:ascii="方正仿宋_GB2312" w:hAnsi="仿宋" w:eastAsia="方正仿宋_GB2312" w:cs="方正仿宋_GB2312"/>
                <w:color w:val="auto"/>
                <w:sz w:val="24"/>
                <w:highlight w:val="none"/>
              </w:rPr>
            </w:pPr>
          </w:p>
        </w:tc>
        <w:tc>
          <w:tcPr>
            <w:tcW w:w="1245" w:type="dxa"/>
            <w:tcBorders>
              <w:top w:val="single" w:color="auto" w:sz="4" w:space="0"/>
              <w:left w:val="single" w:color="auto" w:sz="4" w:space="0"/>
              <w:bottom w:val="single" w:color="auto" w:sz="4" w:space="0"/>
              <w:right w:val="single" w:color="auto" w:sz="4" w:space="0"/>
            </w:tcBorders>
          </w:tcPr>
          <w:p w14:paraId="43E1EAD2">
            <w:pPr>
              <w:keepNext w:val="0"/>
              <w:keepLines w:val="0"/>
              <w:suppressLineNumbers w:val="0"/>
              <w:autoSpaceDE w:val="0"/>
              <w:autoSpaceDN w:val="0"/>
              <w:spacing w:before="0" w:beforeAutospacing="0" w:after="0" w:afterAutospacing="0" w:line="360" w:lineRule="auto"/>
              <w:ind w:left="0" w:right="0"/>
              <w:jc w:val="center"/>
              <w:rPr>
                <w:rFonts w:hint="default" w:ascii="方正仿宋_GB2312" w:hAnsi="仿宋" w:eastAsia="方正仿宋_GB2312" w:cs="方正仿宋_GB2312"/>
                <w:color w:val="auto"/>
                <w:sz w:val="24"/>
                <w:highlight w:val="none"/>
              </w:rPr>
            </w:pPr>
          </w:p>
        </w:tc>
        <w:tc>
          <w:tcPr>
            <w:tcW w:w="1980" w:type="dxa"/>
            <w:tcBorders>
              <w:top w:val="single" w:color="auto" w:sz="4" w:space="0"/>
              <w:left w:val="single" w:color="auto" w:sz="4" w:space="0"/>
              <w:bottom w:val="single" w:color="auto" w:sz="4" w:space="0"/>
              <w:right w:val="single" w:color="auto" w:sz="4" w:space="0"/>
            </w:tcBorders>
          </w:tcPr>
          <w:p w14:paraId="5520FE07">
            <w:pPr>
              <w:keepNext w:val="0"/>
              <w:keepLines w:val="0"/>
              <w:suppressLineNumbers w:val="0"/>
              <w:autoSpaceDE w:val="0"/>
              <w:autoSpaceDN w:val="0"/>
              <w:spacing w:before="0" w:beforeAutospacing="0" w:after="0" w:afterAutospacing="0" w:line="360" w:lineRule="auto"/>
              <w:ind w:left="0" w:right="0"/>
              <w:jc w:val="center"/>
              <w:rPr>
                <w:rFonts w:hint="default" w:ascii="方正仿宋_GB2312" w:hAnsi="仿宋" w:eastAsia="方正仿宋_GB2312" w:cs="方正仿宋_GB2312"/>
                <w:color w:val="auto"/>
                <w:sz w:val="24"/>
                <w:highlight w:val="none"/>
              </w:rPr>
            </w:pPr>
          </w:p>
        </w:tc>
        <w:tc>
          <w:tcPr>
            <w:tcW w:w="1260" w:type="dxa"/>
            <w:tcBorders>
              <w:top w:val="single" w:color="auto" w:sz="4" w:space="0"/>
              <w:left w:val="single" w:color="auto" w:sz="4" w:space="0"/>
              <w:bottom w:val="single" w:color="auto" w:sz="4" w:space="0"/>
              <w:right w:val="single" w:color="auto" w:sz="4" w:space="0"/>
            </w:tcBorders>
          </w:tcPr>
          <w:p w14:paraId="6C48F649">
            <w:pPr>
              <w:keepNext w:val="0"/>
              <w:keepLines w:val="0"/>
              <w:suppressLineNumbers w:val="0"/>
              <w:autoSpaceDE w:val="0"/>
              <w:autoSpaceDN w:val="0"/>
              <w:spacing w:before="0" w:beforeAutospacing="0" w:after="0" w:afterAutospacing="0" w:line="360" w:lineRule="auto"/>
              <w:ind w:left="0" w:right="0"/>
              <w:jc w:val="center"/>
              <w:rPr>
                <w:rFonts w:hint="default" w:ascii="方正仿宋_GB2312" w:hAnsi="仿宋" w:eastAsia="方正仿宋_GB2312" w:cs="方正仿宋_GB2312"/>
                <w:color w:val="auto"/>
                <w:sz w:val="24"/>
                <w:highlight w:val="none"/>
              </w:rPr>
            </w:pPr>
          </w:p>
        </w:tc>
      </w:tr>
      <w:tr w14:paraId="3C1AA9C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28" w:type="dxa"/>
            <w:tcBorders>
              <w:top w:val="single" w:color="auto" w:sz="4" w:space="0"/>
              <w:left w:val="single" w:color="auto" w:sz="4" w:space="0"/>
              <w:bottom w:val="single" w:color="auto" w:sz="4" w:space="0"/>
              <w:right w:val="single" w:color="auto" w:sz="4" w:space="0"/>
            </w:tcBorders>
          </w:tcPr>
          <w:p w14:paraId="357D86E3">
            <w:pPr>
              <w:keepNext w:val="0"/>
              <w:keepLines w:val="0"/>
              <w:suppressLineNumbers w:val="0"/>
              <w:autoSpaceDE w:val="0"/>
              <w:autoSpaceDN w:val="0"/>
              <w:spacing w:before="0" w:beforeAutospacing="0" w:after="0" w:afterAutospacing="0" w:line="360" w:lineRule="auto"/>
              <w:ind w:left="0" w:right="0"/>
              <w:jc w:val="center"/>
              <w:rPr>
                <w:rFonts w:hint="default" w:ascii="方正仿宋_GB2312" w:hAnsi="仿宋" w:eastAsia="方正仿宋_GB2312" w:cs="方正仿宋_GB2312"/>
                <w:color w:val="auto"/>
                <w:sz w:val="24"/>
                <w:highlight w:val="none"/>
              </w:rPr>
            </w:pPr>
          </w:p>
        </w:tc>
        <w:tc>
          <w:tcPr>
            <w:tcW w:w="2340" w:type="dxa"/>
            <w:tcBorders>
              <w:top w:val="single" w:color="auto" w:sz="4" w:space="0"/>
              <w:left w:val="single" w:color="auto" w:sz="4" w:space="0"/>
              <w:bottom w:val="single" w:color="auto" w:sz="4" w:space="0"/>
              <w:right w:val="single" w:color="auto" w:sz="4" w:space="0"/>
            </w:tcBorders>
          </w:tcPr>
          <w:p w14:paraId="15AD5888">
            <w:pPr>
              <w:keepNext w:val="0"/>
              <w:keepLines w:val="0"/>
              <w:suppressLineNumbers w:val="0"/>
              <w:autoSpaceDE w:val="0"/>
              <w:autoSpaceDN w:val="0"/>
              <w:spacing w:before="0" w:beforeAutospacing="0" w:after="0" w:afterAutospacing="0" w:line="360" w:lineRule="auto"/>
              <w:ind w:left="0" w:right="0"/>
              <w:jc w:val="center"/>
              <w:rPr>
                <w:rFonts w:hint="default" w:ascii="方正仿宋_GB2312" w:hAnsi="仿宋" w:eastAsia="方正仿宋_GB2312" w:cs="方正仿宋_GB2312"/>
                <w:color w:val="auto"/>
                <w:sz w:val="24"/>
                <w:highlight w:val="none"/>
              </w:rPr>
            </w:pPr>
          </w:p>
        </w:tc>
        <w:tc>
          <w:tcPr>
            <w:tcW w:w="1095" w:type="dxa"/>
            <w:tcBorders>
              <w:top w:val="single" w:color="auto" w:sz="4" w:space="0"/>
              <w:left w:val="single" w:color="auto" w:sz="4" w:space="0"/>
              <w:bottom w:val="single" w:color="auto" w:sz="4" w:space="0"/>
              <w:right w:val="single" w:color="auto" w:sz="4" w:space="0"/>
            </w:tcBorders>
          </w:tcPr>
          <w:p w14:paraId="0F71D2F3">
            <w:pPr>
              <w:keepNext w:val="0"/>
              <w:keepLines w:val="0"/>
              <w:suppressLineNumbers w:val="0"/>
              <w:autoSpaceDE w:val="0"/>
              <w:autoSpaceDN w:val="0"/>
              <w:spacing w:before="0" w:beforeAutospacing="0" w:after="0" w:afterAutospacing="0" w:line="360" w:lineRule="auto"/>
              <w:ind w:left="0" w:right="0"/>
              <w:jc w:val="center"/>
              <w:rPr>
                <w:rFonts w:hint="default" w:ascii="方正仿宋_GB2312" w:hAnsi="仿宋" w:eastAsia="方正仿宋_GB2312" w:cs="方正仿宋_GB2312"/>
                <w:color w:val="auto"/>
                <w:sz w:val="24"/>
                <w:highlight w:val="none"/>
              </w:rPr>
            </w:pPr>
          </w:p>
        </w:tc>
        <w:tc>
          <w:tcPr>
            <w:tcW w:w="1245" w:type="dxa"/>
            <w:tcBorders>
              <w:top w:val="single" w:color="auto" w:sz="4" w:space="0"/>
              <w:left w:val="single" w:color="auto" w:sz="4" w:space="0"/>
              <w:bottom w:val="single" w:color="auto" w:sz="4" w:space="0"/>
              <w:right w:val="single" w:color="auto" w:sz="4" w:space="0"/>
            </w:tcBorders>
          </w:tcPr>
          <w:p w14:paraId="7E57D853">
            <w:pPr>
              <w:keepNext w:val="0"/>
              <w:keepLines w:val="0"/>
              <w:suppressLineNumbers w:val="0"/>
              <w:autoSpaceDE w:val="0"/>
              <w:autoSpaceDN w:val="0"/>
              <w:spacing w:before="0" w:beforeAutospacing="0" w:after="0" w:afterAutospacing="0" w:line="360" w:lineRule="auto"/>
              <w:ind w:left="0" w:right="0"/>
              <w:jc w:val="center"/>
              <w:rPr>
                <w:rFonts w:hint="default" w:ascii="方正仿宋_GB2312" w:hAnsi="仿宋" w:eastAsia="方正仿宋_GB2312" w:cs="方正仿宋_GB2312"/>
                <w:color w:val="auto"/>
                <w:sz w:val="24"/>
                <w:highlight w:val="none"/>
              </w:rPr>
            </w:pPr>
          </w:p>
        </w:tc>
        <w:tc>
          <w:tcPr>
            <w:tcW w:w="1980" w:type="dxa"/>
            <w:tcBorders>
              <w:top w:val="single" w:color="auto" w:sz="4" w:space="0"/>
              <w:left w:val="single" w:color="auto" w:sz="4" w:space="0"/>
              <w:bottom w:val="single" w:color="auto" w:sz="4" w:space="0"/>
              <w:right w:val="single" w:color="auto" w:sz="4" w:space="0"/>
            </w:tcBorders>
          </w:tcPr>
          <w:p w14:paraId="1E72071C">
            <w:pPr>
              <w:keepNext w:val="0"/>
              <w:keepLines w:val="0"/>
              <w:suppressLineNumbers w:val="0"/>
              <w:autoSpaceDE w:val="0"/>
              <w:autoSpaceDN w:val="0"/>
              <w:spacing w:before="0" w:beforeAutospacing="0" w:after="0" w:afterAutospacing="0" w:line="360" w:lineRule="auto"/>
              <w:ind w:left="0" w:right="0"/>
              <w:jc w:val="center"/>
              <w:rPr>
                <w:rFonts w:hint="default" w:ascii="方正仿宋_GB2312" w:hAnsi="仿宋" w:eastAsia="方正仿宋_GB2312" w:cs="方正仿宋_GB2312"/>
                <w:color w:val="auto"/>
                <w:sz w:val="24"/>
                <w:highlight w:val="none"/>
              </w:rPr>
            </w:pPr>
          </w:p>
        </w:tc>
        <w:tc>
          <w:tcPr>
            <w:tcW w:w="1260" w:type="dxa"/>
            <w:tcBorders>
              <w:top w:val="single" w:color="auto" w:sz="4" w:space="0"/>
              <w:left w:val="single" w:color="auto" w:sz="4" w:space="0"/>
              <w:bottom w:val="single" w:color="auto" w:sz="4" w:space="0"/>
              <w:right w:val="single" w:color="auto" w:sz="4" w:space="0"/>
            </w:tcBorders>
          </w:tcPr>
          <w:p w14:paraId="7F7D875A">
            <w:pPr>
              <w:keepNext w:val="0"/>
              <w:keepLines w:val="0"/>
              <w:suppressLineNumbers w:val="0"/>
              <w:autoSpaceDE w:val="0"/>
              <w:autoSpaceDN w:val="0"/>
              <w:spacing w:before="0" w:beforeAutospacing="0" w:after="0" w:afterAutospacing="0" w:line="360" w:lineRule="auto"/>
              <w:ind w:left="0" w:right="0"/>
              <w:jc w:val="center"/>
              <w:rPr>
                <w:rFonts w:hint="default" w:ascii="方正仿宋_GB2312" w:hAnsi="仿宋" w:eastAsia="方正仿宋_GB2312" w:cs="方正仿宋_GB2312"/>
                <w:color w:val="auto"/>
                <w:sz w:val="24"/>
                <w:highlight w:val="none"/>
              </w:rPr>
            </w:pPr>
          </w:p>
        </w:tc>
      </w:tr>
      <w:tr w14:paraId="6B5C4A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28" w:type="dxa"/>
            <w:tcBorders>
              <w:top w:val="single" w:color="auto" w:sz="4" w:space="0"/>
              <w:left w:val="single" w:color="auto" w:sz="4" w:space="0"/>
              <w:bottom w:val="single" w:color="auto" w:sz="4" w:space="0"/>
              <w:right w:val="single" w:color="auto" w:sz="4" w:space="0"/>
            </w:tcBorders>
          </w:tcPr>
          <w:p w14:paraId="24F7A485">
            <w:pPr>
              <w:keepNext w:val="0"/>
              <w:keepLines w:val="0"/>
              <w:suppressLineNumbers w:val="0"/>
              <w:autoSpaceDE w:val="0"/>
              <w:autoSpaceDN w:val="0"/>
              <w:spacing w:before="0" w:beforeAutospacing="0" w:after="0" w:afterAutospacing="0" w:line="360" w:lineRule="auto"/>
              <w:ind w:left="0" w:right="0"/>
              <w:jc w:val="center"/>
              <w:rPr>
                <w:rFonts w:hint="default" w:ascii="方正仿宋_GB2312" w:hAnsi="仿宋" w:eastAsia="方正仿宋_GB2312" w:cs="方正仿宋_GB2312"/>
                <w:color w:val="auto"/>
                <w:sz w:val="24"/>
                <w:highlight w:val="none"/>
              </w:rPr>
            </w:pPr>
          </w:p>
        </w:tc>
        <w:tc>
          <w:tcPr>
            <w:tcW w:w="2340" w:type="dxa"/>
            <w:tcBorders>
              <w:top w:val="single" w:color="auto" w:sz="4" w:space="0"/>
              <w:left w:val="single" w:color="auto" w:sz="4" w:space="0"/>
              <w:bottom w:val="single" w:color="auto" w:sz="4" w:space="0"/>
              <w:right w:val="single" w:color="auto" w:sz="4" w:space="0"/>
            </w:tcBorders>
          </w:tcPr>
          <w:p w14:paraId="3B4E8DD6">
            <w:pPr>
              <w:keepNext w:val="0"/>
              <w:keepLines w:val="0"/>
              <w:suppressLineNumbers w:val="0"/>
              <w:autoSpaceDE w:val="0"/>
              <w:autoSpaceDN w:val="0"/>
              <w:spacing w:before="0" w:beforeAutospacing="0" w:after="0" w:afterAutospacing="0" w:line="360" w:lineRule="auto"/>
              <w:ind w:left="0" w:right="0"/>
              <w:jc w:val="center"/>
              <w:rPr>
                <w:rFonts w:hint="default" w:ascii="方正仿宋_GB2312" w:hAnsi="仿宋" w:eastAsia="方正仿宋_GB2312" w:cs="方正仿宋_GB2312"/>
                <w:color w:val="auto"/>
                <w:sz w:val="24"/>
                <w:highlight w:val="none"/>
              </w:rPr>
            </w:pPr>
          </w:p>
        </w:tc>
        <w:tc>
          <w:tcPr>
            <w:tcW w:w="1095" w:type="dxa"/>
            <w:tcBorders>
              <w:top w:val="single" w:color="auto" w:sz="4" w:space="0"/>
              <w:left w:val="single" w:color="auto" w:sz="4" w:space="0"/>
              <w:bottom w:val="single" w:color="auto" w:sz="4" w:space="0"/>
              <w:right w:val="single" w:color="auto" w:sz="4" w:space="0"/>
            </w:tcBorders>
          </w:tcPr>
          <w:p w14:paraId="6DFDF2C7">
            <w:pPr>
              <w:keepNext w:val="0"/>
              <w:keepLines w:val="0"/>
              <w:suppressLineNumbers w:val="0"/>
              <w:autoSpaceDE w:val="0"/>
              <w:autoSpaceDN w:val="0"/>
              <w:spacing w:before="0" w:beforeAutospacing="0" w:after="0" w:afterAutospacing="0" w:line="360" w:lineRule="auto"/>
              <w:ind w:left="0" w:right="0"/>
              <w:jc w:val="center"/>
              <w:rPr>
                <w:rFonts w:hint="default" w:ascii="方正仿宋_GB2312" w:hAnsi="仿宋" w:eastAsia="方正仿宋_GB2312" w:cs="方正仿宋_GB2312"/>
                <w:color w:val="auto"/>
                <w:sz w:val="24"/>
                <w:highlight w:val="none"/>
              </w:rPr>
            </w:pPr>
          </w:p>
        </w:tc>
        <w:tc>
          <w:tcPr>
            <w:tcW w:w="1245" w:type="dxa"/>
            <w:tcBorders>
              <w:top w:val="single" w:color="auto" w:sz="4" w:space="0"/>
              <w:left w:val="single" w:color="auto" w:sz="4" w:space="0"/>
              <w:bottom w:val="single" w:color="auto" w:sz="4" w:space="0"/>
              <w:right w:val="single" w:color="auto" w:sz="4" w:space="0"/>
            </w:tcBorders>
          </w:tcPr>
          <w:p w14:paraId="592013C2">
            <w:pPr>
              <w:keepNext w:val="0"/>
              <w:keepLines w:val="0"/>
              <w:suppressLineNumbers w:val="0"/>
              <w:autoSpaceDE w:val="0"/>
              <w:autoSpaceDN w:val="0"/>
              <w:spacing w:before="0" w:beforeAutospacing="0" w:after="0" w:afterAutospacing="0" w:line="360" w:lineRule="auto"/>
              <w:ind w:left="0" w:right="0"/>
              <w:jc w:val="center"/>
              <w:rPr>
                <w:rFonts w:hint="default" w:ascii="方正仿宋_GB2312" w:hAnsi="仿宋" w:eastAsia="方正仿宋_GB2312" w:cs="方正仿宋_GB2312"/>
                <w:color w:val="auto"/>
                <w:sz w:val="24"/>
                <w:highlight w:val="none"/>
              </w:rPr>
            </w:pPr>
          </w:p>
        </w:tc>
        <w:tc>
          <w:tcPr>
            <w:tcW w:w="1980" w:type="dxa"/>
            <w:tcBorders>
              <w:top w:val="single" w:color="auto" w:sz="4" w:space="0"/>
              <w:left w:val="single" w:color="auto" w:sz="4" w:space="0"/>
              <w:bottom w:val="single" w:color="auto" w:sz="4" w:space="0"/>
              <w:right w:val="single" w:color="auto" w:sz="4" w:space="0"/>
            </w:tcBorders>
          </w:tcPr>
          <w:p w14:paraId="353280DF">
            <w:pPr>
              <w:keepNext w:val="0"/>
              <w:keepLines w:val="0"/>
              <w:suppressLineNumbers w:val="0"/>
              <w:autoSpaceDE w:val="0"/>
              <w:autoSpaceDN w:val="0"/>
              <w:spacing w:before="0" w:beforeAutospacing="0" w:after="0" w:afterAutospacing="0" w:line="360" w:lineRule="auto"/>
              <w:ind w:left="0" w:right="0"/>
              <w:jc w:val="center"/>
              <w:rPr>
                <w:rFonts w:hint="default" w:ascii="方正仿宋_GB2312" w:hAnsi="仿宋" w:eastAsia="方正仿宋_GB2312" w:cs="方正仿宋_GB2312"/>
                <w:color w:val="auto"/>
                <w:sz w:val="24"/>
                <w:highlight w:val="none"/>
              </w:rPr>
            </w:pPr>
          </w:p>
        </w:tc>
        <w:tc>
          <w:tcPr>
            <w:tcW w:w="1260" w:type="dxa"/>
            <w:tcBorders>
              <w:top w:val="single" w:color="auto" w:sz="4" w:space="0"/>
              <w:left w:val="single" w:color="auto" w:sz="4" w:space="0"/>
              <w:bottom w:val="single" w:color="auto" w:sz="4" w:space="0"/>
              <w:right w:val="single" w:color="auto" w:sz="4" w:space="0"/>
            </w:tcBorders>
          </w:tcPr>
          <w:p w14:paraId="490007EF">
            <w:pPr>
              <w:keepNext w:val="0"/>
              <w:keepLines w:val="0"/>
              <w:suppressLineNumbers w:val="0"/>
              <w:autoSpaceDE w:val="0"/>
              <w:autoSpaceDN w:val="0"/>
              <w:spacing w:before="0" w:beforeAutospacing="0" w:after="0" w:afterAutospacing="0" w:line="360" w:lineRule="auto"/>
              <w:ind w:left="0" w:right="0"/>
              <w:jc w:val="center"/>
              <w:rPr>
                <w:rFonts w:hint="default" w:ascii="方正仿宋_GB2312" w:hAnsi="仿宋" w:eastAsia="方正仿宋_GB2312" w:cs="方正仿宋_GB2312"/>
                <w:color w:val="auto"/>
                <w:sz w:val="24"/>
                <w:highlight w:val="none"/>
              </w:rPr>
            </w:pPr>
          </w:p>
        </w:tc>
      </w:tr>
    </w:tbl>
    <w:p w14:paraId="7BC5074C">
      <w:pPr>
        <w:autoSpaceDE w:val="0"/>
        <w:autoSpaceDN w:val="0"/>
        <w:spacing w:line="360" w:lineRule="auto"/>
        <w:rPr>
          <w:rFonts w:ascii="方正仿宋_GB2312" w:hAnsi="仿宋" w:eastAsia="方正仿宋_GB2312" w:cs="方正仿宋_GB2312"/>
          <w:b/>
          <w:color w:val="auto"/>
          <w:sz w:val="24"/>
          <w:highlight w:val="none"/>
        </w:rPr>
      </w:pPr>
      <w:r>
        <w:rPr>
          <w:rFonts w:hint="eastAsia" w:ascii="方正仿宋_GB2312" w:hAnsi="仿宋" w:eastAsia="方正仿宋_GB2312" w:cs="方正仿宋_GB2312"/>
          <w:b/>
          <w:color w:val="auto"/>
          <w:sz w:val="24"/>
          <w:highlight w:val="none"/>
        </w:rPr>
        <w:t>注：关于项目涉及的所有售后服务机构均在本表注明，包括投标人本单位和符合条件的第三方服务机构；</w:t>
      </w:r>
    </w:p>
    <w:p w14:paraId="0B2DDC6D">
      <w:pPr>
        <w:autoSpaceDE w:val="0"/>
        <w:autoSpaceDN w:val="0"/>
        <w:spacing w:line="360" w:lineRule="auto"/>
        <w:rPr>
          <w:rFonts w:ascii="方正仿宋_GB2312" w:hAnsi="仿宋" w:eastAsia="方正仿宋_GB2312" w:cs="方正仿宋_GB2312"/>
          <w:color w:val="auto"/>
          <w:kern w:val="0"/>
          <w:sz w:val="24"/>
          <w:highlight w:val="none"/>
        </w:rPr>
      </w:pPr>
    </w:p>
    <w:p w14:paraId="32A7DD56">
      <w:pPr>
        <w:autoSpaceDE w:val="0"/>
        <w:autoSpaceDN w:val="0"/>
        <w:spacing w:line="360" w:lineRule="auto"/>
        <w:rPr>
          <w:rFonts w:ascii="方正仿宋_GB2312" w:hAnsi="仿宋" w:eastAsia="方正仿宋_GB2312" w:cs="方正仿宋_GB2312"/>
          <w:color w:val="auto"/>
          <w:kern w:val="0"/>
          <w:sz w:val="24"/>
          <w:highlight w:val="none"/>
        </w:rPr>
      </w:pPr>
      <w:r>
        <w:rPr>
          <w:rFonts w:hint="eastAsia" w:ascii="方正仿宋_GB2312" w:hAnsi="仿宋" w:eastAsia="方正仿宋_GB2312" w:cs="方正仿宋_GB2312"/>
          <w:b/>
          <w:color w:val="auto"/>
          <w:kern w:val="0"/>
          <w:sz w:val="24"/>
          <w:highlight w:val="none"/>
        </w:rPr>
        <w:t>附表B：售后服务人员情况表</w:t>
      </w:r>
      <w:r>
        <w:rPr>
          <w:rFonts w:hint="eastAsia" w:ascii="方正仿宋_GB2312" w:hAnsi="仿宋" w:eastAsia="方正仿宋_GB2312" w:cs="方正仿宋_GB2312"/>
          <w:color w:val="auto"/>
          <w:sz w:val="24"/>
          <w:highlight w:val="none"/>
        </w:rPr>
        <w:t>（按此格式自制）</w:t>
      </w:r>
    </w:p>
    <w:tbl>
      <w:tblPr>
        <w:tblStyle w:val="37"/>
        <w:tblW w:w="0" w:type="auto"/>
        <w:jc w:val="center"/>
        <w:tblLayout w:type="fixed"/>
        <w:tblCellMar>
          <w:top w:w="0" w:type="dxa"/>
          <w:left w:w="108" w:type="dxa"/>
          <w:bottom w:w="0" w:type="dxa"/>
          <w:right w:w="108" w:type="dxa"/>
        </w:tblCellMar>
      </w:tblPr>
      <w:tblGrid>
        <w:gridCol w:w="646"/>
        <w:gridCol w:w="746"/>
        <w:gridCol w:w="787"/>
        <w:gridCol w:w="412"/>
        <w:gridCol w:w="900"/>
        <w:gridCol w:w="1080"/>
        <w:gridCol w:w="1080"/>
        <w:gridCol w:w="1080"/>
        <w:gridCol w:w="1260"/>
        <w:gridCol w:w="900"/>
        <w:gridCol w:w="1111"/>
      </w:tblGrid>
      <w:tr w14:paraId="0C0BCDB4">
        <w:tblPrEx>
          <w:tblCellMar>
            <w:top w:w="0" w:type="dxa"/>
            <w:left w:w="108" w:type="dxa"/>
            <w:bottom w:w="0" w:type="dxa"/>
            <w:right w:w="108" w:type="dxa"/>
          </w:tblCellMar>
        </w:tblPrEx>
        <w:trPr>
          <w:jc w:val="center"/>
        </w:trPr>
        <w:tc>
          <w:tcPr>
            <w:tcW w:w="646" w:type="dxa"/>
            <w:tcBorders>
              <w:top w:val="single" w:color="auto" w:sz="6" w:space="0"/>
              <w:left w:val="single" w:color="auto" w:sz="6" w:space="0"/>
              <w:bottom w:val="single" w:color="auto" w:sz="6" w:space="0"/>
              <w:right w:val="single" w:color="auto" w:sz="4" w:space="0"/>
            </w:tcBorders>
            <w:vAlign w:val="center"/>
          </w:tcPr>
          <w:p w14:paraId="7E9FA739">
            <w:pPr>
              <w:keepNext w:val="0"/>
              <w:keepLines w:val="0"/>
              <w:suppressLineNumbers w:val="0"/>
              <w:autoSpaceDE w:val="0"/>
              <w:autoSpaceDN w:val="0"/>
              <w:spacing w:before="0" w:beforeAutospacing="0" w:after="0" w:afterAutospacing="0" w:line="360" w:lineRule="auto"/>
              <w:ind w:left="0" w:right="0"/>
              <w:jc w:val="center"/>
              <w:rPr>
                <w:rFonts w:hint="default" w:ascii="方正仿宋_GB2312" w:hAnsi="仿宋" w:eastAsia="方正仿宋_GB2312" w:cs="方正仿宋_GB2312"/>
                <w:color w:val="auto"/>
                <w:sz w:val="24"/>
                <w:highlight w:val="none"/>
              </w:rPr>
            </w:pPr>
            <w:r>
              <w:rPr>
                <w:rFonts w:hint="eastAsia" w:ascii="方正仿宋_GB2312" w:hAnsi="仿宋" w:eastAsia="方正仿宋_GB2312" w:cs="方正仿宋_GB2312"/>
                <w:color w:val="auto"/>
                <w:sz w:val="24"/>
                <w:highlight w:val="none"/>
              </w:rPr>
              <w:t>序号</w:t>
            </w:r>
          </w:p>
          <w:p w14:paraId="017282A9">
            <w:pPr>
              <w:keepNext w:val="0"/>
              <w:keepLines w:val="0"/>
              <w:suppressLineNumbers w:val="0"/>
              <w:autoSpaceDE w:val="0"/>
              <w:autoSpaceDN w:val="0"/>
              <w:spacing w:before="0" w:beforeAutospacing="0" w:after="0" w:afterAutospacing="0" w:line="360" w:lineRule="auto"/>
              <w:ind w:left="0" w:right="0"/>
              <w:jc w:val="center"/>
              <w:rPr>
                <w:rFonts w:hint="default" w:ascii="方正仿宋_GB2312" w:hAnsi="仿宋" w:eastAsia="方正仿宋_GB2312" w:cs="方正仿宋_GB2312"/>
                <w:color w:val="auto"/>
                <w:sz w:val="24"/>
                <w:highlight w:val="none"/>
              </w:rPr>
            </w:pPr>
          </w:p>
        </w:tc>
        <w:tc>
          <w:tcPr>
            <w:tcW w:w="746" w:type="dxa"/>
            <w:tcBorders>
              <w:top w:val="single" w:color="auto" w:sz="6" w:space="0"/>
              <w:left w:val="single" w:color="auto" w:sz="4" w:space="0"/>
              <w:bottom w:val="single" w:color="auto" w:sz="6" w:space="0"/>
              <w:right w:val="single" w:color="auto" w:sz="6" w:space="0"/>
            </w:tcBorders>
            <w:vAlign w:val="center"/>
          </w:tcPr>
          <w:p w14:paraId="4406CD2B">
            <w:pPr>
              <w:keepNext w:val="0"/>
              <w:keepLines w:val="0"/>
              <w:suppressLineNumbers w:val="0"/>
              <w:autoSpaceDE w:val="0"/>
              <w:autoSpaceDN w:val="0"/>
              <w:spacing w:before="0" w:beforeAutospacing="0" w:after="0" w:afterAutospacing="0" w:line="360" w:lineRule="auto"/>
              <w:ind w:left="0" w:right="0"/>
              <w:jc w:val="center"/>
              <w:rPr>
                <w:rFonts w:hint="default" w:ascii="方正仿宋_GB2312" w:hAnsi="仿宋" w:eastAsia="方正仿宋_GB2312" w:cs="方正仿宋_GB2312"/>
                <w:color w:val="auto"/>
                <w:sz w:val="24"/>
                <w:highlight w:val="none"/>
              </w:rPr>
            </w:pPr>
            <w:r>
              <w:rPr>
                <w:rFonts w:hint="eastAsia" w:ascii="方正仿宋_GB2312" w:hAnsi="仿宋" w:eastAsia="方正仿宋_GB2312" w:cs="方正仿宋_GB2312"/>
                <w:color w:val="auto"/>
                <w:sz w:val="24"/>
                <w:highlight w:val="none"/>
              </w:rPr>
              <w:t>类别</w:t>
            </w:r>
          </w:p>
        </w:tc>
        <w:tc>
          <w:tcPr>
            <w:tcW w:w="787" w:type="dxa"/>
            <w:tcBorders>
              <w:top w:val="single" w:color="auto" w:sz="6" w:space="0"/>
              <w:left w:val="single" w:color="auto" w:sz="6" w:space="0"/>
              <w:bottom w:val="single" w:color="auto" w:sz="6" w:space="0"/>
              <w:right w:val="single" w:color="auto" w:sz="6" w:space="0"/>
            </w:tcBorders>
            <w:vAlign w:val="center"/>
          </w:tcPr>
          <w:p w14:paraId="5D4C0032">
            <w:pPr>
              <w:keepNext w:val="0"/>
              <w:keepLines w:val="0"/>
              <w:suppressLineNumbers w:val="0"/>
              <w:autoSpaceDE w:val="0"/>
              <w:autoSpaceDN w:val="0"/>
              <w:spacing w:before="0" w:beforeAutospacing="0" w:after="0" w:afterAutospacing="0" w:line="360" w:lineRule="auto"/>
              <w:ind w:left="0" w:right="0"/>
              <w:jc w:val="center"/>
              <w:rPr>
                <w:rFonts w:hint="default" w:ascii="方正仿宋_GB2312" w:hAnsi="仿宋" w:eastAsia="方正仿宋_GB2312" w:cs="方正仿宋_GB2312"/>
                <w:color w:val="auto"/>
                <w:sz w:val="24"/>
                <w:highlight w:val="none"/>
              </w:rPr>
            </w:pPr>
            <w:r>
              <w:rPr>
                <w:rFonts w:hint="eastAsia" w:ascii="方正仿宋_GB2312" w:hAnsi="仿宋" w:eastAsia="方正仿宋_GB2312" w:cs="方正仿宋_GB2312"/>
                <w:color w:val="auto"/>
                <w:sz w:val="24"/>
                <w:highlight w:val="none"/>
              </w:rPr>
              <w:t>姓名</w:t>
            </w:r>
          </w:p>
        </w:tc>
        <w:tc>
          <w:tcPr>
            <w:tcW w:w="412" w:type="dxa"/>
            <w:tcBorders>
              <w:top w:val="single" w:color="auto" w:sz="6" w:space="0"/>
              <w:left w:val="single" w:color="auto" w:sz="6" w:space="0"/>
              <w:bottom w:val="single" w:color="auto" w:sz="6" w:space="0"/>
              <w:right w:val="single" w:color="auto" w:sz="6" w:space="0"/>
            </w:tcBorders>
            <w:vAlign w:val="center"/>
          </w:tcPr>
          <w:p w14:paraId="10F6653C">
            <w:pPr>
              <w:keepNext w:val="0"/>
              <w:keepLines w:val="0"/>
              <w:suppressLineNumbers w:val="0"/>
              <w:autoSpaceDE w:val="0"/>
              <w:autoSpaceDN w:val="0"/>
              <w:spacing w:before="0" w:beforeAutospacing="0" w:after="0" w:afterAutospacing="0" w:line="360" w:lineRule="auto"/>
              <w:ind w:left="0" w:right="0"/>
              <w:jc w:val="center"/>
              <w:rPr>
                <w:rFonts w:hint="default" w:ascii="方正仿宋_GB2312" w:hAnsi="仿宋" w:eastAsia="方正仿宋_GB2312" w:cs="方正仿宋_GB2312"/>
                <w:color w:val="auto"/>
                <w:sz w:val="24"/>
                <w:highlight w:val="none"/>
              </w:rPr>
            </w:pPr>
            <w:r>
              <w:rPr>
                <w:rFonts w:hint="eastAsia" w:ascii="方正仿宋_GB2312" w:hAnsi="仿宋" w:eastAsia="方正仿宋_GB2312" w:cs="方正仿宋_GB2312"/>
                <w:color w:val="auto"/>
                <w:sz w:val="24"/>
                <w:highlight w:val="none"/>
              </w:rPr>
              <w:t>性别</w:t>
            </w:r>
          </w:p>
        </w:tc>
        <w:tc>
          <w:tcPr>
            <w:tcW w:w="900" w:type="dxa"/>
            <w:tcBorders>
              <w:top w:val="single" w:color="auto" w:sz="6" w:space="0"/>
              <w:left w:val="single" w:color="auto" w:sz="6" w:space="0"/>
              <w:bottom w:val="single" w:color="auto" w:sz="6" w:space="0"/>
              <w:right w:val="single" w:color="auto" w:sz="6" w:space="0"/>
            </w:tcBorders>
            <w:vAlign w:val="center"/>
          </w:tcPr>
          <w:p w14:paraId="5CCB2131">
            <w:pPr>
              <w:keepNext w:val="0"/>
              <w:keepLines w:val="0"/>
              <w:suppressLineNumbers w:val="0"/>
              <w:autoSpaceDE w:val="0"/>
              <w:autoSpaceDN w:val="0"/>
              <w:spacing w:before="0" w:beforeAutospacing="0" w:after="0" w:afterAutospacing="0" w:line="360" w:lineRule="auto"/>
              <w:ind w:left="0" w:right="0"/>
              <w:jc w:val="center"/>
              <w:rPr>
                <w:rFonts w:hint="default" w:ascii="方正仿宋_GB2312" w:hAnsi="仿宋" w:eastAsia="方正仿宋_GB2312" w:cs="方正仿宋_GB2312"/>
                <w:color w:val="auto"/>
                <w:sz w:val="24"/>
                <w:highlight w:val="none"/>
              </w:rPr>
            </w:pPr>
            <w:r>
              <w:rPr>
                <w:rFonts w:hint="eastAsia" w:ascii="方正仿宋_GB2312" w:hAnsi="仿宋" w:eastAsia="方正仿宋_GB2312" w:cs="方正仿宋_GB2312"/>
                <w:color w:val="auto"/>
                <w:sz w:val="24"/>
                <w:highlight w:val="none"/>
              </w:rPr>
              <w:t>年龄</w:t>
            </w:r>
          </w:p>
        </w:tc>
        <w:tc>
          <w:tcPr>
            <w:tcW w:w="1080" w:type="dxa"/>
            <w:tcBorders>
              <w:top w:val="single" w:color="auto" w:sz="6" w:space="0"/>
              <w:left w:val="single" w:color="auto" w:sz="6" w:space="0"/>
              <w:bottom w:val="single" w:color="auto" w:sz="6" w:space="0"/>
              <w:right w:val="single" w:color="auto" w:sz="6" w:space="0"/>
            </w:tcBorders>
            <w:vAlign w:val="center"/>
          </w:tcPr>
          <w:p w14:paraId="7C274823">
            <w:pPr>
              <w:keepNext w:val="0"/>
              <w:keepLines w:val="0"/>
              <w:suppressLineNumbers w:val="0"/>
              <w:autoSpaceDE w:val="0"/>
              <w:autoSpaceDN w:val="0"/>
              <w:spacing w:before="0" w:beforeAutospacing="0" w:after="0" w:afterAutospacing="0" w:line="360" w:lineRule="auto"/>
              <w:ind w:left="0" w:right="0"/>
              <w:jc w:val="center"/>
              <w:rPr>
                <w:rFonts w:hint="default" w:ascii="方正仿宋_GB2312" w:hAnsi="仿宋" w:eastAsia="方正仿宋_GB2312" w:cs="方正仿宋_GB2312"/>
                <w:color w:val="auto"/>
                <w:sz w:val="24"/>
                <w:highlight w:val="none"/>
              </w:rPr>
            </w:pPr>
            <w:r>
              <w:rPr>
                <w:rFonts w:hint="eastAsia" w:ascii="方正仿宋_GB2312" w:hAnsi="仿宋" w:eastAsia="方正仿宋_GB2312" w:cs="方正仿宋_GB2312"/>
                <w:color w:val="auto"/>
                <w:sz w:val="24"/>
                <w:highlight w:val="none"/>
              </w:rPr>
              <w:t>学历</w:t>
            </w:r>
          </w:p>
        </w:tc>
        <w:tc>
          <w:tcPr>
            <w:tcW w:w="1080" w:type="dxa"/>
            <w:tcBorders>
              <w:top w:val="single" w:color="auto" w:sz="6" w:space="0"/>
              <w:left w:val="single" w:color="auto" w:sz="6" w:space="0"/>
              <w:bottom w:val="single" w:color="auto" w:sz="6" w:space="0"/>
              <w:right w:val="single" w:color="auto" w:sz="6" w:space="0"/>
            </w:tcBorders>
            <w:vAlign w:val="center"/>
          </w:tcPr>
          <w:p w14:paraId="04CF8314">
            <w:pPr>
              <w:keepNext w:val="0"/>
              <w:keepLines w:val="0"/>
              <w:suppressLineNumbers w:val="0"/>
              <w:autoSpaceDE w:val="0"/>
              <w:autoSpaceDN w:val="0"/>
              <w:spacing w:before="0" w:beforeAutospacing="0" w:after="0" w:afterAutospacing="0" w:line="360" w:lineRule="auto"/>
              <w:ind w:left="0" w:right="0"/>
              <w:jc w:val="center"/>
              <w:rPr>
                <w:rFonts w:hint="default" w:ascii="方正仿宋_GB2312" w:hAnsi="仿宋" w:eastAsia="方正仿宋_GB2312" w:cs="方正仿宋_GB2312"/>
                <w:color w:val="auto"/>
                <w:sz w:val="24"/>
                <w:highlight w:val="none"/>
              </w:rPr>
            </w:pPr>
            <w:r>
              <w:rPr>
                <w:rFonts w:hint="eastAsia" w:ascii="方正仿宋_GB2312" w:hAnsi="仿宋" w:eastAsia="方正仿宋_GB2312" w:cs="方正仿宋_GB2312"/>
                <w:color w:val="auto"/>
                <w:sz w:val="24"/>
                <w:highlight w:val="none"/>
              </w:rPr>
              <w:t>专业</w:t>
            </w:r>
          </w:p>
        </w:tc>
        <w:tc>
          <w:tcPr>
            <w:tcW w:w="1080" w:type="dxa"/>
            <w:tcBorders>
              <w:top w:val="single" w:color="auto" w:sz="6" w:space="0"/>
              <w:left w:val="single" w:color="auto" w:sz="6" w:space="0"/>
              <w:bottom w:val="single" w:color="auto" w:sz="6" w:space="0"/>
              <w:right w:val="single" w:color="auto" w:sz="6" w:space="0"/>
            </w:tcBorders>
            <w:vAlign w:val="center"/>
          </w:tcPr>
          <w:p w14:paraId="0844A75B">
            <w:pPr>
              <w:keepNext w:val="0"/>
              <w:keepLines w:val="0"/>
              <w:suppressLineNumbers w:val="0"/>
              <w:autoSpaceDE w:val="0"/>
              <w:autoSpaceDN w:val="0"/>
              <w:spacing w:before="0" w:beforeAutospacing="0" w:after="0" w:afterAutospacing="0" w:line="360" w:lineRule="auto"/>
              <w:ind w:left="0" w:right="0"/>
              <w:jc w:val="center"/>
              <w:rPr>
                <w:rFonts w:hint="default" w:ascii="方正仿宋_GB2312" w:hAnsi="仿宋" w:eastAsia="方正仿宋_GB2312" w:cs="方正仿宋_GB2312"/>
                <w:color w:val="auto"/>
                <w:sz w:val="24"/>
                <w:highlight w:val="none"/>
              </w:rPr>
            </w:pPr>
            <w:r>
              <w:rPr>
                <w:rFonts w:hint="eastAsia" w:ascii="方正仿宋_GB2312" w:hAnsi="仿宋" w:eastAsia="方正仿宋_GB2312" w:cs="方正仿宋_GB2312"/>
                <w:color w:val="auto"/>
                <w:sz w:val="24"/>
                <w:highlight w:val="none"/>
              </w:rPr>
              <w:t>职称</w:t>
            </w:r>
          </w:p>
        </w:tc>
        <w:tc>
          <w:tcPr>
            <w:tcW w:w="1260" w:type="dxa"/>
            <w:tcBorders>
              <w:top w:val="single" w:color="auto" w:sz="6" w:space="0"/>
              <w:left w:val="single" w:color="auto" w:sz="6" w:space="0"/>
              <w:bottom w:val="single" w:color="auto" w:sz="6" w:space="0"/>
              <w:right w:val="single" w:color="auto" w:sz="6" w:space="0"/>
            </w:tcBorders>
            <w:vAlign w:val="center"/>
          </w:tcPr>
          <w:p w14:paraId="52B8F0CC">
            <w:pPr>
              <w:keepNext w:val="0"/>
              <w:keepLines w:val="0"/>
              <w:suppressLineNumbers w:val="0"/>
              <w:autoSpaceDE w:val="0"/>
              <w:autoSpaceDN w:val="0"/>
              <w:spacing w:before="0" w:beforeAutospacing="0" w:after="0" w:afterAutospacing="0" w:line="360" w:lineRule="auto"/>
              <w:ind w:left="0" w:right="0"/>
              <w:jc w:val="center"/>
              <w:rPr>
                <w:rFonts w:hint="default" w:ascii="方正仿宋_GB2312" w:hAnsi="仿宋" w:eastAsia="方正仿宋_GB2312" w:cs="方正仿宋_GB2312"/>
                <w:color w:val="auto"/>
                <w:sz w:val="24"/>
                <w:highlight w:val="none"/>
              </w:rPr>
            </w:pPr>
            <w:r>
              <w:rPr>
                <w:rFonts w:hint="eastAsia" w:ascii="方正仿宋_GB2312" w:hAnsi="仿宋" w:eastAsia="方正仿宋_GB2312" w:cs="方正仿宋_GB2312"/>
                <w:color w:val="auto"/>
                <w:sz w:val="24"/>
                <w:highlight w:val="none"/>
              </w:rPr>
              <w:t>本项目中的职责</w:t>
            </w:r>
          </w:p>
        </w:tc>
        <w:tc>
          <w:tcPr>
            <w:tcW w:w="900" w:type="dxa"/>
            <w:tcBorders>
              <w:top w:val="single" w:color="auto" w:sz="6" w:space="0"/>
              <w:left w:val="single" w:color="auto" w:sz="6" w:space="0"/>
              <w:bottom w:val="single" w:color="auto" w:sz="6" w:space="0"/>
              <w:right w:val="single" w:color="auto" w:sz="6" w:space="0"/>
            </w:tcBorders>
            <w:vAlign w:val="center"/>
          </w:tcPr>
          <w:p w14:paraId="479D6FE9">
            <w:pPr>
              <w:keepNext w:val="0"/>
              <w:keepLines w:val="0"/>
              <w:suppressLineNumbers w:val="0"/>
              <w:autoSpaceDE w:val="0"/>
              <w:autoSpaceDN w:val="0"/>
              <w:spacing w:before="0" w:beforeAutospacing="0" w:after="0" w:afterAutospacing="0" w:line="360" w:lineRule="auto"/>
              <w:ind w:left="0" w:right="0"/>
              <w:jc w:val="center"/>
              <w:rPr>
                <w:rFonts w:hint="default" w:ascii="方正仿宋_GB2312" w:hAnsi="仿宋" w:eastAsia="方正仿宋_GB2312" w:cs="方正仿宋_GB2312"/>
                <w:color w:val="auto"/>
                <w:sz w:val="24"/>
                <w:highlight w:val="none"/>
              </w:rPr>
            </w:pPr>
            <w:r>
              <w:rPr>
                <w:rFonts w:hint="eastAsia" w:ascii="方正仿宋_GB2312" w:hAnsi="仿宋" w:eastAsia="方正仿宋_GB2312" w:cs="方正仿宋_GB2312"/>
                <w:color w:val="auto"/>
                <w:sz w:val="24"/>
                <w:highlight w:val="none"/>
              </w:rPr>
              <w:t>响应时间</w:t>
            </w:r>
          </w:p>
        </w:tc>
        <w:tc>
          <w:tcPr>
            <w:tcW w:w="1111" w:type="dxa"/>
            <w:tcBorders>
              <w:top w:val="single" w:color="auto" w:sz="6" w:space="0"/>
              <w:left w:val="single" w:color="auto" w:sz="6" w:space="0"/>
              <w:bottom w:val="single" w:color="auto" w:sz="6" w:space="0"/>
              <w:right w:val="single" w:color="auto" w:sz="6" w:space="0"/>
            </w:tcBorders>
            <w:vAlign w:val="center"/>
          </w:tcPr>
          <w:p w14:paraId="66D36F7F">
            <w:pPr>
              <w:keepNext w:val="0"/>
              <w:keepLines w:val="0"/>
              <w:suppressLineNumbers w:val="0"/>
              <w:autoSpaceDE w:val="0"/>
              <w:autoSpaceDN w:val="0"/>
              <w:spacing w:before="0" w:beforeAutospacing="0" w:after="0" w:afterAutospacing="0" w:line="360" w:lineRule="auto"/>
              <w:ind w:left="0" w:right="0"/>
              <w:jc w:val="center"/>
              <w:rPr>
                <w:rFonts w:hint="default" w:ascii="方正仿宋_GB2312" w:hAnsi="仿宋" w:eastAsia="方正仿宋_GB2312" w:cs="方正仿宋_GB2312"/>
                <w:color w:val="auto"/>
                <w:sz w:val="24"/>
                <w:highlight w:val="none"/>
              </w:rPr>
            </w:pPr>
            <w:r>
              <w:rPr>
                <w:rFonts w:hint="eastAsia" w:ascii="方正仿宋_GB2312" w:hAnsi="仿宋" w:eastAsia="方正仿宋_GB2312" w:cs="方正仿宋_GB2312"/>
                <w:color w:val="auto"/>
                <w:sz w:val="24"/>
                <w:highlight w:val="none"/>
              </w:rPr>
              <w:t>到达现场时间</w:t>
            </w:r>
          </w:p>
        </w:tc>
      </w:tr>
      <w:tr w14:paraId="6446EC92">
        <w:tblPrEx>
          <w:tblCellMar>
            <w:top w:w="0" w:type="dxa"/>
            <w:left w:w="108" w:type="dxa"/>
            <w:bottom w:w="0" w:type="dxa"/>
            <w:right w:w="108" w:type="dxa"/>
          </w:tblCellMar>
        </w:tblPrEx>
        <w:trPr>
          <w:trHeight w:val="607" w:hRule="atLeast"/>
          <w:jc w:val="center"/>
        </w:trPr>
        <w:tc>
          <w:tcPr>
            <w:tcW w:w="646" w:type="dxa"/>
            <w:tcBorders>
              <w:top w:val="single" w:color="auto" w:sz="6" w:space="0"/>
              <w:left w:val="single" w:color="auto" w:sz="6" w:space="0"/>
              <w:bottom w:val="single" w:color="auto" w:sz="6" w:space="0"/>
              <w:right w:val="single" w:color="auto" w:sz="4" w:space="0"/>
            </w:tcBorders>
          </w:tcPr>
          <w:p w14:paraId="7F386CF4">
            <w:pPr>
              <w:keepNext w:val="0"/>
              <w:keepLines w:val="0"/>
              <w:suppressLineNumbers w:val="0"/>
              <w:autoSpaceDE w:val="0"/>
              <w:autoSpaceDN w:val="0"/>
              <w:spacing w:before="0" w:beforeAutospacing="0" w:after="0" w:afterAutospacing="0" w:line="360" w:lineRule="auto"/>
              <w:ind w:left="0" w:right="0"/>
              <w:jc w:val="center"/>
              <w:rPr>
                <w:rFonts w:hint="default" w:ascii="方正仿宋_GB2312" w:hAnsi="仿宋" w:eastAsia="方正仿宋_GB2312" w:cs="方正仿宋_GB2312"/>
                <w:color w:val="auto"/>
                <w:sz w:val="24"/>
                <w:highlight w:val="none"/>
              </w:rPr>
            </w:pPr>
          </w:p>
        </w:tc>
        <w:tc>
          <w:tcPr>
            <w:tcW w:w="746" w:type="dxa"/>
            <w:tcBorders>
              <w:top w:val="single" w:color="auto" w:sz="6" w:space="0"/>
              <w:left w:val="single" w:color="auto" w:sz="4" w:space="0"/>
              <w:bottom w:val="single" w:color="auto" w:sz="6" w:space="0"/>
              <w:right w:val="single" w:color="auto" w:sz="6" w:space="0"/>
            </w:tcBorders>
          </w:tcPr>
          <w:p w14:paraId="5D20C04F">
            <w:pPr>
              <w:keepNext w:val="0"/>
              <w:keepLines w:val="0"/>
              <w:suppressLineNumbers w:val="0"/>
              <w:autoSpaceDE w:val="0"/>
              <w:autoSpaceDN w:val="0"/>
              <w:spacing w:before="0" w:beforeAutospacing="0" w:after="0" w:afterAutospacing="0" w:line="360" w:lineRule="auto"/>
              <w:ind w:left="0" w:right="0"/>
              <w:jc w:val="center"/>
              <w:rPr>
                <w:rFonts w:hint="default" w:ascii="方正仿宋_GB2312" w:hAnsi="仿宋" w:eastAsia="方正仿宋_GB2312" w:cs="方正仿宋_GB2312"/>
                <w:color w:val="auto"/>
                <w:sz w:val="24"/>
                <w:highlight w:val="none"/>
              </w:rPr>
            </w:pPr>
            <w:r>
              <w:rPr>
                <w:rFonts w:hint="eastAsia" w:ascii="方正仿宋_GB2312" w:hAnsi="仿宋" w:eastAsia="方正仿宋_GB2312" w:cs="方正仿宋_GB2312"/>
                <w:color w:val="auto"/>
                <w:sz w:val="24"/>
                <w:highlight w:val="none"/>
              </w:rPr>
              <w:t>总协调人</w:t>
            </w:r>
          </w:p>
        </w:tc>
        <w:tc>
          <w:tcPr>
            <w:tcW w:w="787" w:type="dxa"/>
            <w:tcBorders>
              <w:top w:val="single" w:color="auto" w:sz="6" w:space="0"/>
              <w:left w:val="single" w:color="auto" w:sz="6" w:space="0"/>
              <w:bottom w:val="single" w:color="auto" w:sz="6" w:space="0"/>
              <w:right w:val="single" w:color="auto" w:sz="6" w:space="0"/>
            </w:tcBorders>
          </w:tcPr>
          <w:p w14:paraId="25B1D499">
            <w:pPr>
              <w:keepNext w:val="0"/>
              <w:keepLines w:val="0"/>
              <w:suppressLineNumbers w:val="0"/>
              <w:autoSpaceDE w:val="0"/>
              <w:autoSpaceDN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p>
        </w:tc>
        <w:tc>
          <w:tcPr>
            <w:tcW w:w="412" w:type="dxa"/>
            <w:tcBorders>
              <w:top w:val="single" w:color="auto" w:sz="6" w:space="0"/>
              <w:left w:val="single" w:color="auto" w:sz="6" w:space="0"/>
              <w:bottom w:val="single" w:color="auto" w:sz="6" w:space="0"/>
              <w:right w:val="single" w:color="auto" w:sz="6" w:space="0"/>
            </w:tcBorders>
          </w:tcPr>
          <w:p w14:paraId="60142205">
            <w:pPr>
              <w:keepNext w:val="0"/>
              <w:keepLines w:val="0"/>
              <w:suppressLineNumbers w:val="0"/>
              <w:autoSpaceDE w:val="0"/>
              <w:autoSpaceDN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p>
        </w:tc>
        <w:tc>
          <w:tcPr>
            <w:tcW w:w="900" w:type="dxa"/>
            <w:tcBorders>
              <w:top w:val="single" w:color="auto" w:sz="6" w:space="0"/>
              <w:left w:val="single" w:color="auto" w:sz="6" w:space="0"/>
              <w:bottom w:val="single" w:color="auto" w:sz="6" w:space="0"/>
              <w:right w:val="single" w:color="auto" w:sz="6" w:space="0"/>
            </w:tcBorders>
          </w:tcPr>
          <w:p w14:paraId="6C88E0DD">
            <w:pPr>
              <w:keepNext w:val="0"/>
              <w:keepLines w:val="0"/>
              <w:suppressLineNumbers w:val="0"/>
              <w:autoSpaceDE w:val="0"/>
              <w:autoSpaceDN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p>
        </w:tc>
        <w:tc>
          <w:tcPr>
            <w:tcW w:w="1080" w:type="dxa"/>
            <w:tcBorders>
              <w:top w:val="single" w:color="auto" w:sz="6" w:space="0"/>
              <w:left w:val="single" w:color="auto" w:sz="6" w:space="0"/>
              <w:bottom w:val="single" w:color="auto" w:sz="6" w:space="0"/>
              <w:right w:val="single" w:color="auto" w:sz="6" w:space="0"/>
            </w:tcBorders>
          </w:tcPr>
          <w:p w14:paraId="2E68040C">
            <w:pPr>
              <w:keepNext w:val="0"/>
              <w:keepLines w:val="0"/>
              <w:suppressLineNumbers w:val="0"/>
              <w:autoSpaceDE w:val="0"/>
              <w:autoSpaceDN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p>
        </w:tc>
        <w:tc>
          <w:tcPr>
            <w:tcW w:w="1080" w:type="dxa"/>
            <w:tcBorders>
              <w:top w:val="single" w:color="auto" w:sz="6" w:space="0"/>
              <w:left w:val="single" w:color="auto" w:sz="6" w:space="0"/>
              <w:bottom w:val="single" w:color="auto" w:sz="6" w:space="0"/>
              <w:right w:val="single" w:color="auto" w:sz="6" w:space="0"/>
            </w:tcBorders>
          </w:tcPr>
          <w:p w14:paraId="58B7EB8E">
            <w:pPr>
              <w:keepNext w:val="0"/>
              <w:keepLines w:val="0"/>
              <w:suppressLineNumbers w:val="0"/>
              <w:autoSpaceDE w:val="0"/>
              <w:autoSpaceDN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p>
        </w:tc>
        <w:tc>
          <w:tcPr>
            <w:tcW w:w="1080" w:type="dxa"/>
            <w:tcBorders>
              <w:top w:val="single" w:color="auto" w:sz="6" w:space="0"/>
              <w:left w:val="single" w:color="auto" w:sz="6" w:space="0"/>
              <w:bottom w:val="single" w:color="auto" w:sz="6" w:space="0"/>
              <w:right w:val="single" w:color="auto" w:sz="6" w:space="0"/>
            </w:tcBorders>
          </w:tcPr>
          <w:p w14:paraId="1424C35D">
            <w:pPr>
              <w:keepNext w:val="0"/>
              <w:keepLines w:val="0"/>
              <w:suppressLineNumbers w:val="0"/>
              <w:autoSpaceDE w:val="0"/>
              <w:autoSpaceDN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p>
        </w:tc>
        <w:tc>
          <w:tcPr>
            <w:tcW w:w="1260" w:type="dxa"/>
            <w:tcBorders>
              <w:top w:val="single" w:color="auto" w:sz="6" w:space="0"/>
              <w:left w:val="single" w:color="auto" w:sz="6" w:space="0"/>
              <w:bottom w:val="single" w:color="auto" w:sz="6" w:space="0"/>
              <w:right w:val="single" w:color="auto" w:sz="6" w:space="0"/>
            </w:tcBorders>
          </w:tcPr>
          <w:p w14:paraId="59BA8B3F">
            <w:pPr>
              <w:keepNext w:val="0"/>
              <w:keepLines w:val="0"/>
              <w:suppressLineNumbers w:val="0"/>
              <w:autoSpaceDE w:val="0"/>
              <w:autoSpaceDN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p>
        </w:tc>
        <w:tc>
          <w:tcPr>
            <w:tcW w:w="900" w:type="dxa"/>
            <w:tcBorders>
              <w:top w:val="single" w:color="auto" w:sz="6" w:space="0"/>
              <w:left w:val="single" w:color="auto" w:sz="6" w:space="0"/>
              <w:bottom w:val="single" w:color="auto" w:sz="6" w:space="0"/>
              <w:right w:val="single" w:color="auto" w:sz="6" w:space="0"/>
            </w:tcBorders>
          </w:tcPr>
          <w:p w14:paraId="3F1D03CD">
            <w:pPr>
              <w:keepNext w:val="0"/>
              <w:keepLines w:val="0"/>
              <w:suppressLineNumbers w:val="0"/>
              <w:autoSpaceDE w:val="0"/>
              <w:autoSpaceDN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p>
        </w:tc>
        <w:tc>
          <w:tcPr>
            <w:tcW w:w="1111" w:type="dxa"/>
            <w:tcBorders>
              <w:top w:val="single" w:color="auto" w:sz="6" w:space="0"/>
              <w:left w:val="single" w:color="auto" w:sz="6" w:space="0"/>
              <w:bottom w:val="single" w:color="auto" w:sz="6" w:space="0"/>
              <w:right w:val="single" w:color="auto" w:sz="6" w:space="0"/>
            </w:tcBorders>
          </w:tcPr>
          <w:p w14:paraId="7853B5C8">
            <w:pPr>
              <w:keepNext w:val="0"/>
              <w:keepLines w:val="0"/>
              <w:suppressLineNumbers w:val="0"/>
              <w:autoSpaceDE w:val="0"/>
              <w:autoSpaceDN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p>
        </w:tc>
      </w:tr>
      <w:tr w14:paraId="4AA16AE9">
        <w:tblPrEx>
          <w:tblCellMar>
            <w:top w:w="0" w:type="dxa"/>
            <w:left w:w="108" w:type="dxa"/>
            <w:bottom w:w="0" w:type="dxa"/>
            <w:right w:w="108" w:type="dxa"/>
          </w:tblCellMar>
        </w:tblPrEx>
        <w:trPr>
          <w:trHeight w:val="595" w:hRule="atLeast"/>
          <w:jc w:val="center"/>
        </w:trPr>
        <w:tc>
          <w:tcPr>
            <w:tcW w:w="646" w:type="dxa"/>
            <w:tcBorders>
              <w:top w:val="single" w:color="auto" w:sz="6" w:space="0"/>
              <w:left w:val="single" w:color="auto" w:sz="6" w:space="0"/>
              <w:bottom w:val="single" w:color="auto" w:sz="6" w:space="0"/>
              <w:right w:val="single" w:color="auto" w:sz="4" w:space="0"/>
            </w:tcBorders>
          </w:tcPr>
          <w:p w14:paraId="628ABE79">
            <w:pPr>
              <w:keepNext w:val="0"/>
              <w:keepLines w:val="0"/>
              <w:suppressLineNumbers w:val="0"/>
              <w:autoSpaceDE w:val="0"/>
              <w:autoSpaceDN w:val="0"/>
              <w:spacing w:before="0" w:beforeAutospacing="0" w:after="0" w:afterAutospacing="0" w:line="360" w:lineRule="auto"/>
              <w:ind w:left="0" w:right="0"/>
              <w:jc w:val="center"/>
              <w:rPr>
                <w:rFonts w:hint="default" w:ascii="方正仿宋_GB2312" w:hAnsi="仿宋" w:eastAsia="方正仿宋_GB2312" w:cs="方正仿宋_GB2312"/>
                <w:color w:val="auto"/>
                <w:sz w:val="24"/>
                <w:highlight w:val="none"/>
              </w:rPr>
            </w:pPr>
          </w:p>
        </w:tc>
        <w:tc>
          <w:tcPr>
            <w:tcW w:w="746" w:type="dxa"/>
            <w:tcBorders>
              <w:top w:val="single" w:color="auto" w:sz="6" w:space="0"/>
              <w:left w:val="single" w:color="auto" w:sz="4" w:space="0"/>
              <w:bottom w:val="single" w:color="auto" w:sz="6" w:space="0"/>
              <w:right w:val="single" w:color="auto" w:sz="6" w:space="0"/>
            </w:tcBorders>
          </w:tcPr>
          <w:p w14:paraId="13EF9466">
            <w:pPr>
              <w:keepNext w:val="0"/>
              <w:keepLines w:val="0"/>
              <w:suppressLineNumbers w:val="0"/>
              <w:autoSpaceDE w:val="0"/>
              <w:autoSpaceDN w:val="0"/>
              <w:spacing w:before="0" w:beforeAutospacing="0" w:after="0" w:afterAutospacing="0" w:line="360" w:lineRule="auto"/>
              <w:ind w:left="0" w:right="0"/>
              <w:jc w:val="center"/>
              <w:rPr>
                <w:rFonts w:hint="default" w:ascii="方正仿宋_GB2312" w:hAnsi="仿宋" w:eastAsia="方正仿宋_GB2312" w:cs="方正仿宋_GB2312"/>
                <w:color w:val="auto"/>
                <w:sz w:val="24"/>
                <w:highlight w:val="none"/>
              </w:rPr>
            </w:pPr>
            <w:r>
              <w:rPr>
                <w:rFonts w:hint="eastAsia" w:ascii="方正仿宋_GB2312" w:hAnsi="仿宋" w:eastAsia="方正仿宋_GB2312" w:cs="方正仿宋_GB2312"/>
                <w:color w:val="auto"/>
                <w:sz w:val="24"/>
                <w:highlight w:val="none"/>
              </w:rPr>
              <w:t>售后人员</w:t>
            </w:r>
          </w:p>
        </w:tc>
        <w:tc>
          <w:tcPr>
            <w:tcW w:w="787" w:type="dxa"/>
            <w:tcBorders>
              <w:top w:val="single" w:color="auto" w:sz="6" w:space="0"/>
              <w:left w:val="single" w:color="auto" w:sz="6" w:space="0"/>
              <w:bottom w:val="single" w:color="auto" w:sz="6" w:space="0"/>
              <w:right w:val="single" w:color="auto" w:sz="6" w:space="0"/>
            </w:tcBorders>
          </w:tcPr>
          <w:p w14:paraId="5476248F">
            <w:pPr>
              <w:keepNext w:val="0"/>
              <w:keepLines w:val="0"/>
              <w:suppressLineNumbers w:val="0"/>
              <w:autoSpaceDE w:val="0"/>
              <w:autoSpaceDN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p>
        </w:tc>
        <w:tc>
          <w:tcPr>
            <w:tcW w:w="412" w:type="dxa"/>
            <w:tcBorders>
              <w:top w:val="single" w:color="auto" w:sz="6" w:space="0"/>
              <w:left w:val="single" w:color="auto" w:sz="6" w:space="0"/>
              <w:bottom w:val="single" w:color="auto" w:sz="6" w:space="0"/>
              <w:right w:val="single" w:color="auto" w:sz="6" w:space="0"/>
            </w:tcBorders>
          </w:tcPr>
          <w:p w14:paraId="735C3CE9">
            <w:pPr>
              <w:keepNext w:val="0"/>
              <w:keepLines w:val="0"/>
              <w:suppressLineNumbers w:val="0"/>
              <w:autoSpaceDE w:val="0"/>
              <w:autoSpaceDN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p>
        </w:tc>
        <w:tc>
          <w:tcPr>
            <w:tcW w:w="900" w:type="dxa"/>
            <w:tcBorders>
              <w:top w:val="single" w:color="auto" w:sz="6" w:space="0"/>
              <w:left w:val="single" w:color="auto" w:sz="6" w:space="0"/>
              <w:bottom w:val="single" w:color="auto" w:sz="6" w:space="0"/>
              <w:right w:val="single" w:color="auto" w:sz="6" w:space="0"/>
            </w:tcBorders>
          </w:tcPr>
          <w:p w14:paraId="6A2BDFE6">
            <w:pPr>
              <w:keepNext w:val="0"/>
              <w:keepLines w:val="0"/>
              <w:suppressLineNumbers w:val="0"/>
              <w:autoSpaceDE w:val="0"/>
              <w:autoSpaceDN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p>
        </w:tc>
        <w:tc>
          <w:tcPr>
            <w:tcW w:w="1080" w:type="dxa"/>
            <w:tcBorders>
              <w:top w:val="single" w:color="auto" w:sz="6" w:space="0"/>
              <w:left w:val="single" w:color="auto" w:sz="6" w:space="0"/>
              <w:bottom w:val="single" w:color="auto" w:sz="6" w:space="0"/>
              <w:right w:val="single" w:color="auto" w:sz="6" w:space="0"/>
            </w:tcBorders>
          </w:tcPr>
          <w:p w14:paraId="5A97D6BF">
            <w:pPr>
              <w:keepNext w:val="0"/>
              <w:keepLines w:val="0"/>
              <w:suppressLineNumbers w:val="0"/>
              <w:autoSpaceDE w:val="0"/>
              <w:autoSpaceDN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p>
        </w:tc>
        <w:tc>
          <w:tcPr>
            <w:tcW w:w="1080" w:type="dxa"/>
            <w:tcBorders>
              <w:top w:val="single" w:color="auto" w:sz="6" w:space="0"/>
              <w:left w:val="single" w:color="auto" w:sz="6" w:space="0"/>
              <w:bottom w:val="single" w:color="auto" w:sz="6" w:space="0"/>
              <w:right w:val="single" w:color="auto" w:sz="6" w:space="0"/>
            </w:tcBorders>
          </w:tcPr>
          <w:p w14:paraId="17ACBBBA">
            <w:pPr>
              <w:keepNext w:val="0"/>
              <w:keepLines w:val="0"/>
              <w:suppressLineNumbers w:val="0"/>
              <w:autoSpaceDE w:val="0"/>
              <w:autoSpaceDN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p>
        </w:tc>
        <w:tc>
          <w:tcPr>
            <w:tcW w:w="1080" w:type="dxa"/>
            <w:tcBorders>
              <w:top w:val="single" w:color="auto" w:sz="6" w:space="0"/>
              <w:left w:val="single" w:color="auto" w:sz="6" w:space="0"/>
              <w:bottom w:val="single" w:color="auto" w:sz="6" w:space="0"/>
              <w:right w:val="single" w:color="auto" w:sz="6" w:space="0"/>
            </w:tcBorders>
          </w:tcPr>
          <w:p w14:paraId="01C56F92">
            <w:pPr>
              <w:keepNext w:val="0"/>
              <w:keepLines w:val="0"/>
              <w:suppressLineNumbers w:val="0"/>
              <w:autoSpaceDE w:val="0"/>
              <w:autoSpaceDN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p>
        </w:tc>
        <w:tc>
          <w:tcPr>
            <w:tcW w:w="1260" w:type="dxa"/>
            <w:tcBorders>
              <w:top w:val="single" w:color="auto" w:sz="6" w:space="0"/>
              <w:left w:val="single" w:color="auto" w:sz="6" w:space="0"/>
              <w:bottom w:val="single" w:color="auto" w:sz="6" w:space="0"/>
              <w:right w:val="single" w:color="auto" w:sz="6" w:space="0"/>
            </w:tcBorders>
          </w:tcPr>
          <w:p w14:paraId="3A1F6020">
            <w:pPr>
              <w:keepNext w:val="0"/>
              <w:keepLines w:val="0"/>
              <w:suppressLineNumbers w:val="0"/>
              <w:autoSpaceDE w:val="0"/>
              <w:autoSpaceDN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p>
        </w:tc>
        <w:tc>
          <w:tcPr>
            <w:tcW w:w="900" w:type="dxa"/>
            <w:tcBorders>
              <w:top w:val="single" w:color="auto" w:sz="6" w:space="0"/>
              <w:left w:val="single" w:color="auto" w:sz="6" w:space="0"/>
              <w:bottom w:val="single" w:color="auto" w:sz="6" w:space="0"/>
              <w:right w:val="single" w:color="auto" w:sz="6" w:space="0"/>
            </w:tcBorders>
          </w:tcPr>
          <w:p w14:paraId="390B198B">
            <w:pPr>
              <w:keepNext w:val="0"/>
              <w:keepLines w:val="0"/>
              <w:suppressLineNumbers w:val="0"/>
              <w:autoSpaceDE w:val="0"/>
              <w:autoSpaceDN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p>
        </w:tc>
        <w:tc>
          <w:tcPr>
            <w:tcW w:w="1111" w:type="dxa"/>
            <w:tcBorders>
              <w:top w:val="single" w:color="auto" w:sz="6" w:space="0"/>
              <w:left w:val="single" w:color="auto" w:sz="6" w:space="0"/>
              <w:bottom w:val="single" w:color="auto" w:sz="6" w:space="0"/>
              <w:right w:val="single" w:color="auto" w:sz="6" w:space="0"/>
            </w:tcBorders>
          </w:tcPr>
          <w:p w14:paraId="7ADD96E3">
            <w:pPr>
              <w:keepNext w:val="0"/>
              <w:keepLines w:val="0"/>
              <w:suppressLineNumbers w:val="0"/>
              <w:autoSpaceDE w:val="0"/>
              <w:autoSpaceDN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p>
        </w:tc>
      </w:tr>
      <w:tr w14:paraId="6AB1AD61">
        <w:tblPrEx>
          <w:tblCellMar>
            <w:top w:w="0" w:type="dxa"/>
            <w:left w:w="108" w:type="dxa"/>
            <w:bottom w:w="0" w:type="dxa"/>
            <w:right w:w="108" w:type="dxa"/>
          </w:tblCellMar>
        </w:tblPrEx>
        <w:trPr>
          <w:trHeight w:val="595" w:hRule="atLeast"/>
          <w:jc w:val="center"/>
        </w:trPr>
        <w:tc>
          <w:tcPr>
            <w:tcW w:w="646" w:type="dxa"/>
            <w:tcBorders>
              <w:top w:val="single" w:color="auto" w:sz="6" w:space="0"/>
              <w:left w:val="single" w:color="auto" w:sz="6" w:space="0"/>
              <w:bottom w:val="single" w:color="auto" w:sz="6" w:space="0"/>
              <w:right w:val="single" w:color="auto" w:sz="4" w:space="0"/>
            </w:tcBorders>
          </w:tcPr>
          <w:p w14:paraId="1F1228F4">
            <w:pPr>
              <w:keepNext w:val="0"/>
              <w:keepLines w:val="0"/>
              <w:suppressLineNumbers w:val="0"/>
              <w:autoSpaceDE w:val="0"/>
              <w:autoSpaceDN w:val="0"/>
              <w:spacing w:before="0" w:beforeAutospacing="0" w:after="0" w:afterAutospacing="0" w:line="360" w:lineRule="auto"/>
              <w:ind w:left="0" w:right="0"/>
              <w:jc w:val="center"/>
              <w:rPr>
                <w:rFonts w:hint="default" w:ascii="方正仿宋_GB2312" w:hAnsi="仿宋" w:eastAsia="方正仿宋_GB2312" w:cs="方正仿宋_GB2312"/>
                <w:color w:val="auto"/>
                <w:sz w:val="24"/>
                <w:highlight w:val="none"/>
              </w:rPr>
            </w:pPr>
          </w:p>
        </w:tc>
        <w:tc>
          <w:tcPr>
            <w:tcW w:w="746" w:type="dxa"/>
            <w:tcBorders>
              <w:top w:val="single" w:color="auto" w:sz="6" w:space="0"/>
              <w:left w:val="single" w:color="auto" w:sz="4" w:space="0"/>
              <w:bottom w:val="single" w:color="auto" w:sz="6" w:space="0"/>
              <w:right w:val="single" w:color="auto" w:sz="6" w:space="0"/>
            </w:tcBorders>
          </w:tcPr>
          <w:p w14:paraId="379DB61C">
            <w:pPr>
              <w:keepNext w:val="0"/>
              <w:keepLines w:val="0"/>
              <w:suppressLineNumbers w:val="0"/>
              <w:autoSpaceDE w:val="0"/>
              <w:autoSpaceDN w:val="0"/>
              <w:spacing w:before="0" w:beforeAutospacing="0" w:after="0" w:afterAutospacing="0" w:line="360" w:lineRule="auto"/>
              <w:ind w:left="0" w:right="0"/>
              <w:jc w:val="center"/>
              <w:rPr>
                <w:rFonts w:hint="default" w:ascii="方正仿宋_GB2312" w:hAnsi="仿宋" w:eastAsia="方正仿宋_GB2312" w:cs="方正仿宋_GB2312"/>
                <w:color w:val="auto"/>
                <w:sz w:val="24"/>
                <w:highlight w:val="none"/>
              </w:rPr>
            </w:pPr>
          </w:p>
        </w:tc>
        <w:tc>
          <w:tcPr>
            <w:tcW w:w="787" w:type="dxa"/>
            <w:tcBorders>
              <w:top w:val="single" w:color="auto" w:sz="6" w:space="0"/>
              <w:left w:val="single" w:color="auto" w:sz="6" w:space="0"/>
              <w:bottom w:val="single" w:color="auto" w:sz="6" w:space="0"/>
              <w:right w:val="single" w:color="auto" w:sz="6" w:space="0"/>
            </w:tcBorders>
          </w:tcPr>
          <w:p w14:paraId="38DF10BB">
            <w:pPr>
              <w:keepNext w:val="0"/>
              <w:keepLines w:val="0"/>
              <w:suppressLineNumbers w:val="0"/>
              <w:autoSpaceDE w:val="0"/>
              <w:autoSpaceDN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p>
        </w:tc>
        <w:tc>
          <w:tcPr>
            <w:tcW w:w="412" w:type="dxa"/>
            <w:tcBorders>
              <w:top w:val="single" w:color="auto" w:sz="6" w:space="0"/>
              <w:left w:val="single" w:color="auto" w:sz="6" w:space="0"/>
              <w:bottom w:val="single" w:color="auto" w:sz="6" w:space="0"/>
              <w:right w:val="single" w:color="auto" w:sz="6" w:space="0"/>
            </w:tcBorders>
          </w:tcPr>
          <w:p w14:paraId="68C2F93F">
            <w:pPr>
              <w:keepNext w:val="0"/>
              <w:keepLines w:val="0"/>
              <w:suppressLineNumbers w:val="0"/>
              <w:autoSpaceDE w:val="0"/>
              <w:autoSpaceDN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p>
        </w:tc>
        <w:tc>
          <w:tcPr>
            <w:tcW w:w="900" w:type="dxa"/>
            <w:tcBorders>
              <w:top w:val="single" w:color="auto" w:sz="6" w:space="0"/>
              <w:left w:val="single" w:color="auto" w:sz="6" w:space="0"/>
              <w:bottom w:val="single" w:color="auto" w:sz="6" w:space="0"/>
              <w:right w:val="single" w:color="auto" w:sz="6" w:space="0"/>
            </w:tcBorders>
          </w:tcPr>
          <w:p w14:paraId="5F609EC5">
            <w:pPr>
              <w:keepNext w:val="0"/>
              <w:keepLines w:val="0"/>
              <w:suppressLineNumbers w:val="0"/>
              <w:autoSpaceDE w:val="0"/>
              <w:autoSpaceDN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p>
        </w:tc>
        <w:tc>
          <w:tcPr>
            <w:tcW w:w="1080" w:type="dxa"/>
            <w:tcBorders>
              <w:top w:val="single" w:color="auto" w:sz="6" w:space="0"/>
              <w:left w:val="single" w:color="auto" w:sz="6" w:space="0"/>
              <w:bottom w:val="single" w:color="auto" w:sz="6" w:space="0"/>
              <w:right w:val="single" w:color="auto" w:sz="6" w:space="0"/>
            </w:tcBorders>
          </w:tcPr>
          <w:p w14:paraId="35703CD0">
            <w:pPr>
              <w:keepNext w:val="0"/>
              <w:keepLines w:val="0"/>
              <w:suppressLineNumbers w:val="0"/>
              <w:autoSpaceDE w:val="0"/>
              <w:autoSpaceDN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p>
        </w:tc>
        <w:tc>
          <w:tcPr>
            <w:tcW w:w="1080" w:type="dxa"/>
            <w:tcBorders>
              <w:top w:val="single" w:color="auto" w:sz="6" w:space="0"/>
              <w:left w:val="single" w:color="auto" w:sz="6" w:space="0"/>
              <w:bottom w:val="single" w:color="auto" w:sz="6" w:space="0"/>
              <w:right w:val="single" w:color="auto" w:sz="6" w:space="0"/>
            </w:tcBorders>
          </w:tcPr>
          <w:p w14:paraId="3BBC5F97">
            <w:pPr>
              <w:keepNext w:val="0"/>
              <w:keepLines w:val="0"/>
              <w:suppressLineNumbers w:val="0"/>
              <w:autoSpaceDE w:val="0"/>
              <w:autoSpaceDN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p>
        </w:tc>
        <w:tc>
          <w:tcPr>
            <w:tcW w:w="1080" w:type="dxa"/>
            <w:tcBorders>
              <w:top w:val="single" w:color="auto" w:sz="6" w:space="0"/>
              <w:left w:val="single" w:color="auto" w:sz="6" w:space="0"/>
              <w:bottom w:val="single" w:color="auto" w:sz="6" w:space="0"/>
              <w:right w:val="single" w:color="auto" w:sz="6" w:space="0"/>
            </w:tcBorders>
          </w:tcPr>
          <w:p w14:paraId="6B5C4DFD">
            <w:pPr>
              <w:keepNext w:val="0"/>
              <w:keepLines w:val="0"/>
              <w:suppressLineNumbers w:val="0"/>
              <w:autoSpaceDE w:val="0"/>
              <w:autoSpaceDN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p>
        </w:tc>
        <w:tc>
          <w:tcPr>
            <w:tcW w:w="1260" w:type="dxa"/>
            <w:tcBorders>
              <w:top w:val="single" w:color="auto" w:sz="6" w:space="0"/>
              <w:left w:val="single" w:color="auto" w:sz="6" w:space="0"/>
              <w:bottom w:val="single" w:color="auto" w:sz="6" w:space="0"/>
              <w:right w:val="single" w:color="auto" w:sz="6" w:space="0"/>
            </w:tcBorders>
          </w:tcPr>
          <w:p w14:paraId="42A350A2">
            <w:pPr>
              <w:keepNext w:val="0"/>
              <w:keepLines w:val="0"/>
              <w:suppressLineNumbers w:val="0"/>
              <w:autoSpaceDE w:val="0"/>
              <w:autoSpaceDN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p>
        </w:tc>
        <w:tc>
          <w:tcPr>
            <w:tcW w:w="900" w:type="dxa"/>
            <w:tcBorders>
              <w:top w:val="single" w:color="auto" w:sz="6" w:space="0"/>
              <w:left w:val="single" w:color="auto" w:sz="6" w:space="0"/>
              <w:bottom w:val="single" w:color="auto" w:sz="6" w:space="0"/>
              <w:right w:val="single" w:color="auto" w:sz="6" w:space="0"/>
            </w:tcBorders>
          </w:tcPr>
          <w:p w14:paraId="098C41D6">
            <w:pPr>
              <w:keepNext w:val="0"/>
              <w:keepLines w:val="0"/>
              <w:suppressLineNumbers w:val="0"/>
              <w:autoSpaceDE w:val="0"/>
              <w:autoSpaceDN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p>
        </w:tc>
        <w:tc>
          <w:tcPr>
            <w:tcW w:w="1111" w:type="dxa"/>
            <w:tcBorders>
              <w:top w:val="single" w:color="auto" w:sz="6" w:space="0"/>
              <w:left w:val="single" w:color="auto" w:sz="6" w:space="0"/>
              <w:bottom w:val="single" w:color="auto" w:sz="6" w:space="0"/>
              <w:right w:val="single" w:color="auto" w:sz="6" w:space="0"/>
            </w:tcBorders>
          </w:tcPr>
          <w:p w14:paraId="1C7D3939">
            <w:pPr>
              <w:keepNext w:val="0"/>
              <w:keepLines w:val="0"/>
              <w:suppressLineNumbers w:val="0"/>
              <w:autoSpaceDE w:val="0"/>
              <w:autoSpaceDN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p>
        </w:tc>
      </w:tr>
      <w:tr w14:paraId="37333B95">
        <w:tblPrEx>
          <w:tblCellMar>
            <w:top w:w="0" w:type="dxa"/>
            <w:left w:w="108" w:type="dxa"/>
            <w:bottom w:w="0" w:type="dxa"/>
            <w:right w:w="108" w:type="dxa"/>
          </w:tblCellMar>
        </w:tblPrEx>
        <w:trPr>
          <w:trHeight w:val="595" w:hRule="atLeast"/>
          <w:jc w:val="center"/>
        </w:trPr>
        <w:tc>
          <w:tcPr>
            <w:tcW w:w="646" w:type="dxa"/>
            <w:tcBorders>
              <w:top w:val="single" w:color="auto" w:sz="6" w:space="0"/>
              <w:left w:val="single" w:color="auto" w:sz="6" w:space="0"/>
              <w:bottom w:val="single" w:color="auto" w:sz="6" w:space="0"/>
              <w:right w:val="single" w:color="auto" w:sz="4" w:space="0"/>
            </w:tcBorders>
          </w:tcPr>
          <w:p w14:paraId="1ECD1C83">
            <w:pPr>
              <w:keepNext w:val="0"/>
              <w:keepLines w:val="0"/>
              <w:suppressLineNumbers w:val="0"/>
              <w:autoSpaceDE w:val="0"/>
              <w:autoSpaceDN w:val="0"/>
              <w:spacing w:before="0" w:beforeAutospacing="0" w:after="0" w:afterAutospacing="0" w:line="360" w:lineRule="auto"/>
              <w:ind w:left="0" w:right="0"/>
              <w:jc w:val="center"/>
              <w:rPr>
                <w:rFonts w:hint="default" w:ascii="方正仿宋_GB2312" w:hAnsi="仿宋" w:eastAsia="方正仿宋_GB2312" w:cs="方正仿宋_GB2312"/>
                <w:color w:val="auto"/>
                <w:sz w:val="24"/>
                <w:highlight w:val="none"/>
              </w:rPr>
            </w:pPr>
          </w:p>
        </w:tc>
        <w:tc>
          <w:tcPr>
            <w:tcW w:w="746" w:type="dxa"/>
            <w:tcBorders>
              <w:top w:val="single" w:color="auto" w:sz="6" w:space="0"/>
              <w:left w:val="single" w:color="auto" w:sz="4" w:space="0"/>
              <w:bottom w:val="single" w:color="auto" w:sz="6" w:space="0"/>
              <w:right w:val="single" w:color="auto" w:sz="6" w:space="0"/>
            </w:tcBorders>
          </w:tcPr>
          <w:p w14:paraId="337710AF">
            <w:pPr>
              <w:keepNext w:val="0"/>
              <w:keepLines w:val="0"/>
              <w:suppressLineNumbers w:val="0"/>
              <w:autoSpaceDE w:val="0"/>
              <w:autoSpaceDN w:val="0"/>
              <w:spacing w:before="0" w:beforeAutospacing="0" w:after="0" w:afterAutospacing="0" w:line="360" w:lineRule="auto"/>
              <w:ind w:left="0" w:right="0"/>
              <w:jc w:val="center"/>
              <w:rPr>
                <w:rFonts w:hint="default" w:ascii="方正仿宋_GB2312" w:hAnsi="仿宋" w:eastAsia="方正仿宋_GB2312" w:cs="方正仿宋_GB2312"/>
                <w:color w:val="auto"/>
                <w:sz w:val="24"/>
                <w:highlight w:val="none"/>
              </w:rPr>
            </w:pPr>
          </w:p>
        </w:tc>
        <w:tc>
          <w:tcPr>
            <w:tcW w:w="787" w:type="dxa"/>
            <w:tcBorders>
              <w:top w:val="single" w:color="auto" w:sz="6" w:space="0"/>
              <w:left w:val="single" w:color="auto" w:sz="6" w:space="0"/>
              <w:bottom w:val="single" w:color="auto" w:sz="6" w:space="0"/>
              <w:right w:val="single" w:color="auto" w:sz="6" w:space="0"/>
            </w:tcBorders>
          </w:tcPr>
          <w:p w14:paraId="081B6A00">
            <w:pPr>
              <w:keepNext w:val="0"/>
              <w:keepLines w:val="0"/>
              <w:suppressLineNumbers w:val="0"/>
              <w:autoSpaceDE w:val="0"/>
              <w:autoSpaceDN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p>
        </w:tc>
        <w:tc>
          <w:tcPr>
            <w:tcW w:w="412" w:type="dxa"/>
            <w:tcBorders>
              <w:top w:val="single" w:color="auto" w:sz="6" w:space="0"/>
              <w:left w:val="single" w:color="auto" w:sz="6" w:space="0"/>
              <w:bottom w:val="single" w:color="auto" w:sz="6" w:space="0"/>
              <w:right w:val="single" w:color="auto" w:sz="6" w:space="0"/>
            </w:tcBorders>
          </w:tcPr>
          <w:p w14:paraId="0A57B2AD">
            <w:pPr>
              <w:keepNext w:val="0"/>
              <w:keepLines w:val="0"/>
              <w:suppressLineNumbers w:val="0"/>
              <w:autoSpaceDE w:val="0"/>
              <w:autoSpaceDN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p>
        </w:tc>
        <w:tc>
          <w:tcPr>
            <w:tcW w:w="900" w:type="dxa"/>
            <w:tcBorders>
              <w:top w:val="single" w:color="auto" w:sz="6" w:space="0"/>
              <w:left w:val="single" w:color="auto" w:sz="6" w:space="0"/>
              <w:bottom w:val="single" w:color="auto" w:sz="6" w:space="0"/>
              <w:right w:val="single" w:color="auto" w:sz="6" w:space="0"/>
            </w:tcBorders>
          </w:tcPr>
          <w:p w14:paraId="401C0089">
            <w:pPr>
              <w:keepNext w:val="0"/>
              <w:keepLines w:val="0"/>
              <w:suppressLineNumbers w:val="0"/>
              <w:autoSpaceDE w:val="0"/>
              <w:autoSpaceDN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p>
        </w:tc>
        <w:tc>
          <w:tcPr>
            <w:tcW w:w="1080" w:type="dxa"/>
            <w:tcBorders>
              <w:top w:val="single" w:color="auto" w:sz="6" w:space="0"/>
              <w:left w:val="single" w:color="auto" w:sz="6" w:space="0"/>
              <w:bottom w:val="single" w:color="auto" w:sz="6" w:space="0"/>
              <w:right w:val="single" w:color="auto" w:sz="6" w:space="0"/>
            </w:tcBorders>
          </w:tcPr>
          <w:p w14:paraId="45F7EA64">
            <w:pPr>
              <w:keepNext w:val="0"/>
              <w:keepLines w:val="0"/>
              <w:suppressLineNumbers w:val="0"/>
              <w:autoSpaceDE w:val="0"/>
              <w:autoSpaceDN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p>
        </w:tc>
        <w:tc>
          <w:tcPr>
            <w:tcW w:w="1080" w:type="dxa"/>
            <w:tcBorders>
              <w:top w:val="single" w:color="auto" w:sz="6" w:space="0"/>
              <w:left w:val="single" w:color="auto" w:sz="6" w:space="0"/>
              <w:bottom w:val="single" w:color="auto" w:sz="6" w:space="0"/>
              <w:right w:val="single" w:color="auto" w:sz="6" w:space="0"/>
            </w:tcBorders>
          </w:tcPr>
          <w:p w14:paraId="6A38A894">
            <w:pPr>
              <w:keepNext w:val="0"/>
              <w:keepLines w:val="0"/>
              <w:suppressLineNumbers w:val="0"/>
              <w:autoSpaceDE w:val="0"/>
              <w:autoSpaceDN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p>
        </w:tc>
        <w:tc>
          <w:tcPr>
            <w:tcW w:w="1080" w:type="dxa"/>
            <w:tcBorders>
              <w:top w:val="single" w:color="auto" w:sz="6" w:space="0"/>
              <w:left w:val="single" w:color="auto" w:sz="6" w:space="0"/>
              <w:bottom w:val="single" w:color="auto" w:sz="6" w:space="0"/>
              <w:right w:val="single" w:color="auto" w:sz="6" w:space="0"/>
            </w:tcBorders>
          </w:tcPr>
          <w:p w14:paraId="7905F1F5">
            <w:pPr>
              <w:keepNext w:val="0"/>
              <w:keepLines w:val="0"/>
              <w:suppressLineNumbers w:val="0"/>
              <w:autoSpaceDE w:val="0"/>
              <w:autoSpaceDN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p>
        </w:tc>
        <w:tc>
          <w:tcPr>
            <w:tcW w:w="1260" w:type="dxa"/>
            <w:tcBorders>
              <w:top w:val="single" w:color="auto" w:sz="6" w:space="0"/>
              <w:left w:val="single" w:color="auto" w:sz="6" w:space="0"/>
              <w:bottom w:val="single" w:color="auto" w:sz="6" w:space="0"/>
              <w:right w:val="single" w:color="auto" w:sz="6" w:space="0"/>
            </w:tcBorders>
          </w:tcPr>
          <w:p w14:paraId="1E3DE8F6">
            <w:pPr>
              <w:keepNext w:val="0"/>
              <w:keepLines w:val="0"/>
              <w:suppressLineNumbers w:val="0"/>
              <w:autoSpaceDE w:val="0"/>
              <w:autoSpaceDN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p>
        </w:tc>
        <w:tc>
          <w:tcPr>
            <w:tcW w:w="900" w:type="dxa"/>
            <w:tcBorders>
              <w:top w:val="single" w:color="auto" w:sz="6" w:space="0"/>
              <w:left w:val="single" w:color="auto" w:sz="6" w:space="0"/>
              <w:bottom w:val="single" w:color="auto" w:sz="6" w:space="0"/>
              <w:right w:val="single" w:color="auto" w:sz="6" w:space="0"/>
            </w:tcBorders>
          </w:tcPr>
          <w:p w14:paraId="6C2BCFD1">
            <w:pPr>
              <w:keepNext w:val="0"/>
              <w:keepLines w:val="0"/>
              <w:suppressLineNumbers w:val="0"/>
              <w:autoSpaceDE w:val="0"/>
              <w:autoSpaceDN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p>
        </w:tc>
        <w:tc>
          <w:tcPr>
            <w:tcW w:w="1111" w:type="dxa"/>
            <w:tcBorders>
              <w:top w:val="single" w:color="auto" w:sz="6" w:space="0"/>
              <w:left w:val="single" w:color="auto" w:sz="6" w:space="0"/>
              <w:bottom w:val="single" w:color="auto" w:sz="6" w:space="0"/>
              <w:right w:val="single" w:color="auto" w:sz="6" w:space="0"/>
            </w:tcBorders>
          </w:tcPr>
          <w:p w14:paraId="69B920BB">
            <w:pPr>
              <w:keepNext w:val="0"/>
              <w:keepLines w:val="0"/>
              <w:suppressLineNumbers w:val="0"/>
              <w:autoSpaceDE w:val="0"/>
              <w:autoSpaceDN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p>
        </w:tc>
      </w:tr>
    </w:tbl>
    <w:p w14:paraId="5C70461E">
      <w:pPr>
        <w:snapToGrid w:val="0"/>
        <w:spacing w:before="165" w:beforeLines="50" w:after="50"/>
        <w:ind w:left="142"/>
        <w:jc w:val="center"/>
        <w:rPr>
          <w:rFonts w:ascii="宋体" w:hAnsi="宋体"/>
          <w:b/>
          <w:color w:val="auto"/>
          <w:sz w:val="32"/>
          <w:szCs w:val="32"/>
          <w:highlight w:val="none"/>
        </w:rPr>
      </w:pPr>
    </w:p>
    <w:p w14:paraId="549E6B6E">
      <w:pPr>
        <w:snapToGrid w:val="0"/>
        <w:spacing w:before="165" w:beforeLines="50" w:line="360" w:lineRule="auto"/>
        <w:ind w:right="480" w:firstLine="3967" w:firstLineChars="1653"/>
        <w:rPr>
          <w:rFonts w:ascii="宋体" w:hAnsi="宋体"/>
          <w:color w:val="auto"/>
          <w:sz w:val="24"/>
          <w:highlight w:val="none"/>
        </w:rPr>
      </w:pPr>
    </w:p>
    <w:p w14:paraId="096D71AA">
      <w:pPr>
        <w:snapToGrid w:val="0"/>
        <w:spacing w:line="360" w:lineRule="auto"/>
        <w:ind w:firstLine="5160" w:firstLineChars="2150"/>
        <w:rPr>
          <w:rFonts w:ascii="方正仿宋_GB2312" w:hAnsi="仿宋" w:eastAsia="方正仿宋_GB2312" w:cs="方正仿宋_GB2312"/>
          <w:color w:val="auto"/>
          <w:kern w:val="0"/>
          <w:sz w:val="24"/>
          <w:highlight w:val="none"/>
        </w:rPr>
      </w:pPr>
      <w:r>
        <w:rPr>
          <w:rFonts w:hint="eastAsia" w:ascii="方正仿宋_GB2312" w:hAnsi="仿宋" w:eastAsia="方正仿宋_GB2312" w:cs="方正仿宋_GB2312"/>
          <w:color w:val="auto"/>
          <w:kern w:val="0"/>
          <w:sz w:val="24"/>
          <w:highlight w:val="none"/>
          <w:lang w:val="zh-CN"/>
        </w:rPr>
        <w:t>投标人名称(电子签章)：</w:t>
      </w:r>
    </w:p>
    <w:p w14:paraId="5475584F">
      <w:pPr>
        <w:snapToGrid w:val="0"/>
        <w:spacing w:line="360" w:lineRule="auto"/>
        <w:ind w:firstLine="5160" w:firstLineChars="2150"/>
        <w:rPr>
          <w:rFonts w:ascii="方正仿宋_GB2312" w:hAnsi="仿宋" w:eastAsia="方正仿宋_GB2312" w:cs="方正仿宋_GB2312"/>
          <w:color w:val="auto"/>
          <w:kern w:val="0"/>
          <w:sz w:val="24"/>
          <w:highlight w:val="none"/>
          <w:lang w:val="zh-CN"/>
        </w:rPr>
      </w:pPr>
      <w:r>
        <w:rPr>
          <w:rFonts w:hint="eastAsia" w:ascii="方正仿宋_GB2312" w:hAnsi="仿宋" w:eastAsia="方正仿宋_GB2312" w:cs="方正仿宋_GB2312"/>
          <w:color w:val="auto"/>
          <w:kern w:val="0"/>
          <w:sz w:val="24"/>
          <w:highlight w:val="none"/>
          <w:lang w:val="zh-CN"/>
        </w:rPr>
        <w:t>日期</w:t>
      </w:r>
      <w:r>
        <w:rPr>
          <w:rFonts w:hint="eastAsia" w:ascii="方正仿宋_GB2312" w:hAnsi="仿宋" w:eastAsia="方正仿宋_GB2312" w:cs="方正仿宋_GB2312"/>
          <w:color w:val="auto"/>
          <w:kern w:val="0"/>
          <w:sz w:val="24"/>
          <w:highlight w:val="none"/>
        </w:rPr>
        <w:t xml:space="preserve">：  年  </w:t>
      </w:r>
      <w:r>
        <w:rPr>
          <w:rFonts w:hint="eastAsia" w:ascii="方正仿宋_GB2312" w:hAnsi="仿宋" w:eastAsia="方正仿宋_GB2312" w:cs="方正仿宋_GB2312"/>
          <w:color w:val="auto"/>
          <w:kern w:val="0"/>
          <w:sz w:val="24"/>
          <w:highlight w:val="none"/>
          <w:lang w:val="zh-CN"/>
        </w:rPr>
        <w:t>月日</w:t>
      </w:r>
    </w:p>
    <w:p w14:paraId="0D097224">
      <w:pPr>
        <w:widowControl/>
        <w:spacing w:line="360" w:lineRule="auto"/>
        <w:jc w:val="left"/>
        <w:rPr>
          <w:rFonts w:ascii="宋体" w:hAnsi="宋体"/>
          <w:color w:val="auto"/>
          <w:sz w:val="24"/>
          <w:highlight w:val="none"/>
        </w:rPr>
        <w:sectPr>
          <w:pgSz w:w="11906" w:h="16838"/>
          <w:pgMar w:top="1134" w:right="1134" w:bottom="1134" w:left="1134" w:header="720" w:footer="720" w:gutter="0"/>
          <w:pgNumType w:fmt="decimal"/>
          <w:cols w:space="720" w:num="1"/>
          <w:docGrid w:type="lines" w:linePitch="331" w:charSpace="0"/>
        </w:sectPr>
      </w:pPr>
    </w:p>
    <w:p w14:paraId="6D338EFF">
      <w:pPr>
        <w:snapToGrid w:val="0"/>
        <w:spacing w:before="165" w:beforeLines="50" w:after="50"/>
        <w:ind w:left="142"/>
        <w:jc w:val="center"/>
        <w:rPr>
          <w:rFonts w:ascii="宋体" w:hAnsi="宋体"/>
          <w:b/>
          <w:color w:val="auto"/>
          <w:sz w:val="32"/>
          <w:szCs w:val="32"/>
          <w:highlight w:val="none"/>
        </w:rPr>
      </w:pPr>
      <w:r>
        <w:rPr>
          <w:rFonts w:hint="eastAsia" w:ascii="宋体" w:hAnsi="宋体"/>
          <w:b/>
          <w:color w:val="auto"/>
          <w:sz w:val="32"/>
          <w:szCs w:val="32"/>
          <w:highlight w:val="none"/>
        </w:rPr>
        <w:t>四、项目实施人员一览表</w:t>
      </w:r>
    </w:p>
    <w:p w14:paraId="2626CD7B">
      <w:pPr>
        <w:spacing w:line="360" w:lineRule="auto"/>
        <w:jc w:val="center"/>
        <w:rPr>
          <w:rFonts w:ascii="方正仿宋_GB2312" w:hAnsi="仿宋" w:eastAsia="方正仿宋_GB2312" w:cs="方正仿宋_GB2312"/>
          <w:b/>
          <w:bCs/>
          <w:color w:val="auto"/>
          <w:sz w:val="24"/>
          <w:highlight w:val="none"/>
        </w:rPr>
      </w:pPr>
      <w:r>
        <w:rPr>
          <w:rFonts w:hint="eastAsia" w:ascii="方正仿宋_GB2312" w:hAnsi="仿宋" w:eastAsia="方正仿宋_GB2312" w:cs="方正仿宋_GB2312"/>
          <w:color w:val="auto"/>
          <w:sz w:val="24"/>
          <w:highlight w:val="none"/>
        </w:rPr>
        <w:t>（由投标人根据采购需求及招标文件要求编制）</w:t>
      </w:r>
    </w:p>
    <w:p w14:paraId="62BB526B">
      <w:pPr>
        <w:pStyle w:val="7"/>
        <w:rPr>
          <w:color w:val="auto"/>
          <w:sz w:val="24"/>
          <w:szCs w:val="24"/>
          <w:highlight w:val="none"/>
        </w:rPr>
      </w:pPr>
      <w:r>
        <w:rPr>
          <w:rFonts w:hint="eastAsia"/>
          <w:color w:val="auto"/>
          <w:sz w:val="24"/>
          <w:szCs w:val="24"/>
          <w:highlight w:val="none"/>
        </w:rPr>
        <w:t>所投分标：分标</w:t>
      </w:r>
    </w:p>
    <w:p w14:paraId="655E5932">
      <w:pPr>
        <w:keepNext/>
        <w:autoSpaceDE w:val="0"/>
        <w:autoSpaceDN w:val="0"/>
        <w:spacing w:line="360" w:lineRule="auto"/>
        <w:ind w:firstLine="477"/>
        <w:rPr>
          <w:rFonts w:ascii="方正仿宋_GB2312" w:hAnsi="仿宋" w:eastAsia="方正仿宋_GB2312" w:cs="方正仿宋_GB2312"/>
          <w:b/>
          <w:color w:val="auto"/>
          <w:sz w:val="24"/>
          <w:highlight w:val="none"/>
        </w:rPr>
      </w:pPr>
      <w:r>
        <w:rPr>
          <w:rFonts w:hint="eastAsia" w:ascii="方正仿宋_GB2312" w:hAnsi="仿宋" w:eastAsia="方正仿宋_GB2312" w:cs="方正仿宋_GB2312"/>
          <w:b/>
          <w:color w:val="auto"/>
          <w:sz w:val="24"/>
          <w:highlight w:val="none"/>
        </w:rPr>
        <w:t>附表A:本项目的项目经理情况表</w:t>
      </w:r>
    </w:p>
    <w:tbl>
      <w:tblPr>
        <w:tblStyle w:val="37"/>
        <w:tblW w:w="0" w:type="auto"/>
        <w:tblInd w:w="116" w:type="dxa"/>
        <w:tblLayout w:type="fixed"/>
        <w:tblCellMar>
          <w:top w:w="0" w:type="dxa"/>
          <w:left w:w="108" w:type="dxa"/>
          <w:bottom w:w="0" w:type="dxa"/>
          <w:right w:w="108" w:type="dxa"/>
        </w:tblCellMar>
      </w:tblPr>
      <w:tblGrid>
        <w:gridCol w:w="2061"/>
        <w:gridCol w:w="1287"/>
        <w:gridCol w:w="1260"/>
        <w:gridCol w:w="4147"/>
      </w:tblGrid>
      <w:tr w14:paraId="25D5F556">
        <w:tblPrEx>
          <w:tblCellMar>
            <w:top w:w="0" w:type="dxa"/>
            <w:left w:w="108" w:type="dxa"/>
            <w:bottom w:w="0" w:type="dxa"/>
            <w:right w:w="108" w:type="dxa"/>
          </w:tblCellMar>
        </w:tblPrEx>
        <w:trPr>
          <w:trHeight w:val="604" w:hRule="atLeast"/>
        </w:trPr>
        <w:tc>
          <w:tcPr>
            <w:tcW w:w="2061" w:type="dxa"/>
            <w:tcBorders>
              <w:top w:val="single" w:color="auto" w:sz="6" w:space="0"/>
              <w:left w:val="single" w:color="auto" w:sz="6" w:space="0"/>
              <w:bottom w:val="single" w:color="auto" w:sz="6" w:space="0"/>
              <w:right w:val="single" w:color="auto" w:sz="6" w:space="0"/>
            </w:tcBorders>
            <w:shd w:val="clear" w:color="auto" w:fill="auto"/>
            <w:vAlign w:val="center"/>
          </w:tcPr>
          <w:p w14:paraId="72BB84BD">
            <w:pPr>
              <w:keepNext w:val="0"/>
              <w:keepLines w:val="0"/>
              <w:suppressLineNumbers w:val="0"/>
              <w:autoSpaceDE w:val="0"/>
              <w:autoSpaceDN w:val="0"/>
              <w:spacing w:before="0" w:beforeAutospacing="0" w:after="0" w:afterAutospacing="0" w:line="360" w:lineRule="auto"/>
              <w:ind w:left="0" w:right="0"/>
              <w:jc w:val="center"/>
              <w:rPr>
                <w:rFonts w:hint="default" w:ascii="方正仿宋_GB2312" w:hAnsi="仿宋" w:eastAsia="方正仿宋_GB2312" w:cs="方正仿宋_GB2312"/>
                <w:color w:val="auto"/>
                <w:sz w:val="24"/>
                <w:highlight w:val="none"/>
              </w:rPr>
            </w:pPr>
            <w:r>
              <w:rPr>
                <w:rFonts w:hint="eastAsia" w:ascii="方正仿宋_GB2312" w:hAnsi="仿宋" w:eastAsia="方正仿宋_GB2312" w:cs="方正仿宋_GB2312"/>
                <w:color w:val="auto"/>
                <w:sz w:val="24"/>
                <w:highlight w:val="none"/>
              </w:rPr>
              <w:t>姓名</w:t>
            </w:r>
          </w:p>
        </w:tc>
        <w:tc>
          <w:tcPr>
            <w:tcW w:w="1287" w:type="dxa"/>
            <w:tcBorders>
              <w:top w:val="single" w:color="auto" w:sz="6" w:space="0"/>
              <w:left w:val="single" w:color="auto" w:sz="6" w:space="0"/>
              <w:bottom w:val="single" w:color="auto" w:sz="6" w:space="0"/>
              <w:right w:val="single" w:color="auto" w:sz="4" w:space="0"/>
            </w:tcBorders>
            <w:shd w:val="clear" w:color="auto" w:fill="B3B3B3"/>
            <w:vAlign w:val="center"/>
          </w:tcPr>
          <w:p w14:paraId="284B65A2">
            <w:pPr>
              <w:keepNext w:val="0"/>
              <w:keepLines w:val="0"/>
              <w:suppressLineNumbers w:val="0"/>
              <w:autoSpaceDE w:val="0"/>
              <w:autoSpaceDN w:val="0"/>
              <w:spacing w:before="0" w:beforeAutospacing="0" w:after="0" w:afterAutospacing="0" w:line="360" w:lineRule="auto"/>
              <w:ind w:left="0" w:right="0"/>
              <w:jc w:val="center"/>
              <w:rPr>
                <w:rFonts w:hint="default" w:ascii="方正仿宋_GB2312" w:hAnsi="仿宋" w:eastAsia="方正仿宋_GB2312" w:cs="方正仿宋_GB2312"/>
                <w:color w:val="auto"/>
                <w:sz w:val="24"/>
                <w:highlight w:val="none"/>
              </w:rPr>
            </w:pPr>
          </w:p>
        </w:tc>
        <w:tc>
          <w:tcPr>
            <w:tcW w:w="1260" w:type="dxa"/>
            <w:tcBorders>
              <w:top w:val="single" w:color="auto" w:sz="6" w:space="0"/>
              <w:left w:val="single" w:color="auto" w:sz="4" w:space="0"/>
              <w:bottom w:val="single" w:color="auto" w:sz="6" w:space="0"/>
              <w:right w:val="single" w:color="auto" w:sz="6" w:space="0"/>
            </w:tcBorders>
            <w:vAlign w:val="center"/>
          </w:tcPr>
          <w:p w14:paraId="77864CE5">
            <w:pPr>
              <w:keepNext w:val="0"/>
              <w:keepLines w:val="0"/>
              <w:suppressLineNumbers w:val="0"/>
              <w:autoSpaceDE w:val="0"/>
              <w:autoSpaceDN w:val="0"/>
              <w:spacing w:before="0" w:beforeAutospacing="0" w:after="0" w:afterAutospacing="0" w:line="360" w:lineRule="auto"/>
              <w:ind w:left="0" w:right="0"/>
              <w:jc w:val="center"/>
              <w:rPr>
                <w:rFonts w:hint="default" w:ascii="方正仿宋_GB2312" w:hAnsi="仿宋" w:eastAsia="方正仿宋_GB2312" w:cs="方正仿宋_GB2312"/>
                <w:color w:val="auto"/>
                <w:sz w:val="24"/>
                <w:highlight w:val="none"/>
              </w:rPr>
            </w:pPr>
            <w:r>
              <w:rPr>
                <w:rFonts w:hint="eastAsia" w:ascii="方正仿宋_GB2312" w:hAnsi="仿宋" w:eastAsia="方正仿宋_GB2312" w:cs="方正仿宋_GB2312"/>
                <w:color w:val="auto"/>
                <w:sz w:val="24"/>
                <w:highlight w:val="none"/>
              </w:rPr>
              <w:t>页码</w:t>
            </w:r>
          </w:p>
        </w:tc>
        <w:tc>
          <w:tcPr>
            <w:tcW w:w="4147" w:type="dxa"/>
            <w:tcBorders>
              <w:top w:val="single" w:color="auto" w:sz="6" w:space="0"/>
              <w:left w:val="single" w:color="auto" w:sz="6" w:space="0"/>
              <w:bottom w:val="single" w:color="auto" w:sz="6" w:space="0"/>
              <w:right w:val="single" w:color="auto" w:sz="6" w:space="0"/>
            </w:tcBorders>
            <w:vAlign w:val="center"/>
          </w:tcPr>
          <w:p w14:paraId="3683E46C">
            <w:pPr>
              <w:keepNext w:val="0"/>
              <w:keepLines w:val="0"/>
              <w:suppressLineNumbers w:val="0"/>
              <w:autoSpaceDE w:val="0"/>
              <w:autoSpaceDN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r>
              <w:rPr>
                <w:rFonts w:hint="eastAsia" w:ascii="方正仿宋_GB2312" w:hAnsi="仿宋" w:eastAsia="方正仿宋_GB2312" w:cs="方正仿宋_GB2312"/>
                <w:color w:val="auto"/>
                <w:sz w:val="24"/>
                <w:highlight w:val="none"/>
              </w:rPr>
              <w:t>投标截止时间前三年业绩及承担的主要工作情况，曾担任项目经理的项目应列明细</w:t>
            </w:r>
          </w:p>
        </w:tc>
      </w:tr>
      <w:tr w14:paraId="4A24EBB8">
        <w:tblPrEx>
          <w:tblCellMar>
            <w:top w:w="0" w:type="dxa"/>
            <w:left w:w="108" w:type="dxa"/>
            <w:bottom w:w="0" w:type="dxa"/>
            <w:right w:w="108" w:type="dxa"/>
          </w:tblCellMar>
        </w:tblPrEx>
        <w:trPr>
          <w:cantSplit/>
          <w:trHeight w:val="345" w:hRule="atLeast"/>
        </w:trPr>
        <w:tc>
          <w:tcPr>
            <w:tcW w:w="2061" w:type="dxa"/>
            <w:tcBorders>
              <w:top w:val="single" w:color="auto" w:sz="6" w:space="0"/>
              <w:left w:val="single" w:color="auto" w:sz="6" w:space="0"/>
              <w:bottom w:val="single" w:color="auto" w:sz="6" w:space="0"/>
              <w:right w:val="single" w:color="auto" w:sz="6" w:space="0"/>
            </w:tcBorders>
            <w:shd w:val="clear" w:color="auto" w:fill="auto"/>
            <w:vAlign w:val="center"/>
          </w:tcPr>
          <w:p w14:paraId="170B2504">
            <w:pPr>
              <w:keepNext w:val="0"/>
              <w:keepLines w:val="0"/>
              <w:suppressLineNumbers w:val="0"/>
              <w:autoSpaceDE w:val="0"/>
              <w:autoSpaceDN w:val="0"/>
              <w:spacing w:before="0" w:beforeAutospacing="0" w:after="0" w:afterAutospacing="0" w:line="360" w:lineRule="auto"/>
              <w:ind w:left="0" w:right="0"/>
              <w:jc w:val="center"/>
              <w:rPr>
                <w:rFonts w:hint="default" w:ascii="方正仿宋_GB2312" w:hAnsi="仿宋" w:eastAsia="方正仿宋_GB2312" w:cs="方正仿宋_GB2312"/>
                <w:color w:val="auto"/>
                <w:sz w:val="24"/>
                <w:highlight w:val="none"/>
              </w:rPr>
            </w:pPr>
            <w:r>
              <w:rPr>
                <w:rFonts w:hint="eastAsia" w:ascii="方正仿宋_GB2312" w:hAnsi="仿宋" w:eastAsia="方正仿宋_GB2312" w:cs="方正仿宋_GB2312"/>
                <w:color w:val="auto"/>
                <w:sz w:val="24"/>
                <w:highlight w:val="none"/>
              </w:rPr>
              <w:t>性别</w:t>
            </w:r>
          </w:p>
        </w:tc>
        <w:tc>
          <w:tcPr>
            <w:tcW w:w="1287" w:type="dxa"/>
            <w:tcBorders>
              <w:top w:val="single" w:color="auto" w:sz="6" w:space="0"/>
              <w:left w:val="single" w:color="auto" w:sz="6" w:space="0"/>
              <w:bottom w:val="single" w:color="auto" w:sz="6" w:space="0"/>
              <w:right w:val="single" w:color="auto" w:sz="4" w:space="0"/>
            </w:tcBorders>
            <w:shd w:val="clear" w:color="auto" w:fill="auto"/>
            <w:vAlign w:val="center"/>
          </w:tcPr>
          <w:p w14:paraId="1DA1544D">
            <w:pPr>
              <w:keepNext w:val="0"/>
              <w:keepLines w:val="0"/>
              <w:suppressLineNumbers w:val="0"/>
              <w:autoSpaceDE w:val="0"/>
              <w:autoSpaceDN w:val="0"/>
              <w:spacing w:before="0" w:beforeAutospacing="0" w:after="0" w:afterAutospacing="0" w:line="360" w:lineRule="auto"/>
              <w:ind w:left="0" w:right="0"/>
              <w:jc w:val="center"/>
              <w:rPr>
                <w:rFonts w:hint="default" w:ascii="方正仿宋_GB2312" w:hAnsi="仿宋" w:eastAsia="方正仿宋_GB2312" w:cs="方正仿宋_GB2312"/>
                <w:color w:val="auto"/>
                <w:sz w:val="24"/>
                <w:highlight w:val="none"/>
              </w:rPr>
            </w:pPr>
          </w:p>
        </w:tc>
        <w:tc>
          <w:tcPr>
            <w:tcW w:w="1260" w:type="dxa"/>
            <w:tcBorders>
              <w:top w:val="single" w:color="auto" w:sz="6" w:space="0"/>
              <w:left w:val="single" w:color="auto" w:sz="4" w:space="0"/>
              <w:bottom w:val="single" w:color="auto" w:sz="6" w:space="0"/>
              <w:right w:val="single" w:color="auto" w:sz="6" w:space="0"/>
            </w:tcBorders>
            <w:shd w:val="clear" w:color="auto" w:fill="B3B3B3"/>
            <w:vAlign w:val="center"/>
          </w:tcPr>
          <w:p w14:paraId="479E2A61">
            <w:pPr>
              <w:keepNext w:val="0"/>
              <w:keepLines w:val="0"/>
              <w:suppressLineNumbers w:val="0"/>
              <w:autoSpaceDE w:val="0"/>
              <w:autoSpaceDN w:val="0"/>
              <w:spacing w:before="0" w:beforeAutospacing="0" w:after="0" w:afterAutospacing="0" w:line="360" w:lineRule="auto"/>
              <w:ind w:left="0" w:right="0"/>
              <w:jc w:val="center"/>
              <w:rPr>
                <w:rFonts w:hint="default" w:ascii="方正仿宋_GB2312" w:hAnsi="仿宋" w:eastAsia="方正仿宋_GB2312" w:cs="方正仿宋_GB2312"/>
                <w:color w:val="auto"/>
                <w:sz w:val="24"/>
                <w:highlight w:val="none"/>
              </w:rPr>
            </w:pPr>
          </w:p>
        </w:tc>
        <w:tc>
          <w:tcPr>
            <w:tcW w:w="4147" w:type="dxa"/>
            <w:vMerge w:val="restart"/>
            <w:tcBorders>
              <w:top w:val="single" w:color="auto" w:sz="6" w:space="0"/>
              <w:left w:val="single" w:color="auto" w:sz="6" w:space="0"/>
              <w:bottom w:val="single" w:color="auto" w:sz="6" w:space="0"/>
              <w:right w:val="single" w:color="auto" w:sz="6" w:space="0"/>
            </w:tcBorders>
            <w:vAlign w:val="center"/>
          </w:tcPr>
          <w:p w14:paraId="0021FD07">
            <w:pPr>
              <w:keepNext w:val="0"/>
              <w:keepLines w:val="0"/>
              <w:suppressLineNumbers w:val="0"/>
              <w:autoSpaceDE w:val="0"/>
              <w:autoSpaceDN w:val="0"/>
              <w:spacing w:before="0" w:beforeAutospacing="0" w:after="0" w:afterAutospacing="0" w:line="360" w:lineRule="auto"/>
              <w:ind w:left="0" w:right="0"/>
              <w:jc w:val="center"/>
              <w:rPr>
                <w:rFonts w:hint="default" w:ascii="方正仿宋_GB2312" w:hAnsi="仿宋" w:eastAsia="方正仿宋_GB2312" w:cs="方正仿宋_GB2312"/>
                <w:color w:val="auto"/>
                <w:sz w:val="24"/>
                <w:highlight w:val="none"/>
              </w:rPr>
            </w:pPr>
          </w:p>
        </w:tc>
      </w:tr>
      <w:tr w14:paraId="282610B4">
        <w:tblPrEx>
          <w:tblCellMar>
            <w:top w:w="0" w:type="dxa"/>
            <w:left w:w="108" w:type="dxa"/>
            <w:bottom w:w="0" w:type="dxa"/>
            <w:right w:w="108" w:type="dxa"/>
          </w:tblCellMar>
        </w:tblPrEx>
        <w:trPr>
          <w:cantSplit/>
          <w:trHeight w:val="337" w:hRule="atLeast"/>
        </w:trPr>
        <w:tc>
          <w:tcPr>
            <w:tcW w:w="2061" w:type="dxa"/>
            <w:tcBorders>
              <w:top w:val="single" w:color="auto" w:sz="6" w:space="0"/>
              <w:left w:val="single" w:color="auto" w:sz="6" w:space="0"/>
              <w:bottom w:val="single" w:color="auto" w:sz="6" w:space="0"/>
              <w:right w:val="single" w:color="auto" w:sz="6" w:space="0"/>
            </w:tcBorders>
            <w:shd w:val="clear" w:color="auto" w:fill="auto"/>
            <w:vAlign w:val="center"/>
          </w:tcPr>
          <w:p w14:paraId="2212237E">
            <w:pPr>
              <w:keepNext w:val="0"/>
              <w:keepLines w:val="0"/>
              <w:suppressLineNumbers w:val="0"/>
              <w:autoSpaceDE w:val="0"/>
              <w:autoSpaceDN w:val="0"/>
              <w:spacing w:before="0" w:beforeAutospacing="0" w:after="0" w:afterAutospacing="0" w:line="360" w:lineRule="auto"/>
              <w:ind w:left="0" w:right="0"/>
              <w:jc w:val="center"/>
              <w:rPr>
                <w:rFonts w:hint="default" w:ascii="方正仿宋_GB2312" w:hAnsi="仿宋" w:eastAsia="方正仿宋_GB2312" w:cs="方正仿宋_GB2312"/>
                <w:color w:val="auto"/>
                <w:sz w:val="24"/>
                <w:highlight w:val="none"/>
              </w:rPr>
            </w:pPr>
            <w:r>
              <w:rPr>
                <w:rFonts w:hint="eastAsia" w:ascii="方正仿宋_GB2312" w:hAnsi="仿宋" w:eastAsia="方正仿宋_GB2312" w:cs="方正仿宋_GB2312"/>
                <w:color w:val="auto"/>
                <w:sz w:val="24"/>
                <w:highlight w:val="none"/>
              </w:rPr>
              <w:t>年龄</w:t>
            </w:r>
          </w:p>
        </w:tc>
        <w:tc>
          <w:tcPr>
            <w:tcW w:w="1287" w:type="dxa"/>
            <w:tcBorders>
              <w:top w:val="single" w:color="auto" w:sz="6" w:space="0"/>
              <w:left w:val="single" w:color="auto" w:sz="6" w:space="0"/>
              <w:bottom w:val="single" w:color="auto" w:sz="6" w:space="0"/>
              <w:right w:val="single" w:color="auto" w:sz="4" w:space="0"/>
            </w:tcBorders>
            <w:shd w:val="clear" w:color="auto" w:fill="auto"/>
            <w:vAlign w:val="center"/>
          </w:tcPr>
          <w:p w14:paraId="50261E71">
            <w:pPr>
              <w:keepNext w:val="0"/>
              <w:keepLines w:val="0"/>
              <w:suppressLineNumbers w:val="0"/>
              <w:autoSpaceDE w:val="0"/>
              <w:autoSpaceDN w:val="0"/>
              <w:spacing w:before="0" w:beforeAutospacing="0" w:after="0" w:afterAutospacing="0" w:line="360" w:lineRule="auto"/>
              <w:ind w:left="0" w:right="0"/>
              <w:jc w:val="center"/>
              <w:rPr>
                <w:rFonts w:hint="default" w:ascii="方正仿宋_GB2312" w:hAnsi="仿宋" w:eastAsia="方正仿宋_GB2312" w:cs="方正仿宋_GB2312"/>
                <w:color w:val="auto"/>
                <w:sz w:val="24"/>
                <w:highlight w:val="none"/>
              </w:rPr>
            </w:pPr>
          </w:p>
        </w:tc>
        <w:tc>
          <w:tcPr>
            <w:tcW w:w="1260" w:type="dxa"/>
            <w:tcBorders>
              <w:top w:val="single" w:color="auto" w:sz="6" w:space="0"/>
              <w:left w:val="single" w:color="auto" w:sz="4" w:space="0"/>
              <w:bottom w:val="single" w:color="auto" w:sz="6" w:space="0"/>
              <w:right w:val="single" w:color="auto" w:sz="6" w:space="0"/>
            </w:tcBorders>
            <w:shd w:val="clear" w:color="auto" w:fill="B3B3B3"/>
            <w:vAlign w:val="center"/>
          </w:tcPr>
          <w:p w14:paraId="58DDFA16">
            <w:pPr>
              <w:keepNext w:val="0"/>
              <w:keepLines w:val="0"/>
              <w:suppressLineNumbers w:val="0"/>
              <w:autoSpaceDE w:val="0"/>
              <w:autoSpaceDN w:val="0"/>
              <w:spacing w:before="0" w:beforeAutospacing="0" w:after="0" w:afterAutospacing="0" w:line="360" w:lineRule="auto"/>
              <w:ind w:left="0" w:right="0"/>
              <w:jc w:val="center"/>
              <w:rPr>
                <w:rFonts w:hint="default" w:ascii="方正仿宋_GB2312" w:hAnsi="仿宋" w:eastAsia="方正仿宋_GB2312" w:cs="方正仿宋_GB2312"/>
                <w:color w:val="auto"/>
                <w:sz w:val="24"/>
                <w:highlight w:val="none"/>
              </w:rPr>
            </w:pPr>
          </w:p>
        </w:tc>
        <w:tc>
          <w:tcPr>
            <w:tcW w:w="4147" w:type="dxa"/>
            <w:vMerge w:val="continue"/>
            <w:tcBorders>
              <w:top w:val="single" w:color="auto" w:sz="6" w:space="0"/>
              <w:left w:val="single" w:color="auto" w:sz="6" w:space="0"/>
              <w:bottom w:val="single" w:color="auto" w:sz="6" w:space="0"/>
              <w:right w:val="single" w:color="auto" w:sz="6" w:space="0"/>
            </w:tcBorders>
            <w:vAlign w:val="center"/>
          </w:tcPr>
          <w:p w14:paraId="30B5568C">
            <w:pPr>
              <w:keepNext w:val="0"/>
              <w:keepLines w:val="0"/>
              <w:widowControl/>
              <w:suppressLineNumbers w:val="0"/>
              <w:spacing w:before="0" w:beforeAutospacing="0" w:after="0" w:afterAutospacing="0"/>
              <w:ind w:left="0" w:right="0"/>
              <w:jc w:val="left"/>
              <w:rPr>
                <w:rFonts w:hint="default" w:ascii="方正仿宋_GB2312" w:hAnsi="仿宋" w:eastAsia="方正仿宋_GB2312" w:cs="方正仿宋_GB2312"/>
                <w:color w:val="auto"/>
                <w:sz w:val="24"/>
                <w:highlight w:val="none"/>
              </w:rPr>
            </w:pPr>
          </w:p>
        </w:tc>
      </w:tr>
      <w:tr w14:paraId="1AC84EE9">
        <w:tblPrEx>
          <w:tblCellMar>
            <w:top w:w="0" w:type="dxa"/>
            <w:left w:w="108" w:type="dxa"/>
            <w:bottom w:w="0" w:type="dxa"/>
            <w:right w:w="108" w:type="dxa"/>
          </w:tblCellMar>
        </w:tblPrEx>
        <w:trPr>
          <w:cantSplit/>
          <w:trHeight w:val="345" w:hRule="atLeast"/>
        </w:trPr>
        <w:tc>
          <w:tcPr>
            <w:tcW w:w="2061" w:type="dxa"/>
            <w:tcBorders>
              <w:top w:val="single" w:color="auto" w:sz="6" w:space="0"/>
              <w:left w:val="single" w:color="auto" w:sz="6" w:space="0"/>
              <w:bottom w:val="single" w:color="auto" w:sz="6" w:space="0"/>
              <w:right w:val="single" w:color="auto" w:sz="6" w:space="0"/>
            </w:tcBorders>
            <w:vAlign w:val="center"/>
          </w:tcPr>
          <w:p w14:paraId="610DE04C">
            <w:pPr>
              <w:keepNext w:val="0"/>
              <w:keepLines w:val="0"/>
              <w:suppressLineNumbers w:val="0"/>
              <w:autoSpaceDE w:val="0"/>
              <w:autoSpaceDN w:val="0"/>
              <w:spacing w:before="0" w:beforeAutospacing="0" w:after="0" w:afterAutospacing="0" w:line="360" w:lineRule="auto"/>
              <w:ind w:left="0" w:right="0"/>
              <w:jc w:val="center"/>
              <w:rPr>
                <w:rFonts w:hint="default" w:ascii="方正仿宋_GB2312" w:hAnsi="仿宋" w:eastAsia="方正仿宋_GB2312" w:cs="方正仿宋_GB2312"/>
                <w:color w:val="auto"/>
                <w:sz w:val="24"/>
                <w:highlight w:val="none"/>
              </w:rPr>
            </w:pPr>
            <w:r>
              <w:rPr>
                <w:rFonts w:hint="eastAsia" w:ascii="方正仿宋_GB2312" w:hAnsi="仿宋" w:eastAsia="方正仿宋_GB2312" w:cs="方正仿宋_GB2312"/>
                <w:color w:val="auto"/>
                <w:sz w:val="24"/>
                <w:highlight w:val="none"/>
              </w:rPr>
              <w:t>职称</w:t>
            </w:r>
          </w:p>
        </w:tc>
        <w:tc>
          <w:tcPr>
            <w:tcW w:w="1287" w:type="dxa"/>
            <w:tcBorders>
              <w:top w:val="single" w:color="auto" w:sz="6" w:space="0"/>
              <w:left w:val="single" w:color="auto" w:sz="6" w:space="0"/>
              <w:bottom w:val="single" w:color="auto" w:sz="6" w:space="0"/>
              <w:right w:val="single" w:color="auto" w:sz="4" w:space="0"/>
            </w:tcBorders>
            <w:vAlign w:val="center"/>
          </w:tcPr>
          <w:p w14:paraId="0CCE203C">
            <w:pPr>
              <w:keepNext w:val="0"/>
              <w:keepLines w:val="0"/>
              <w:suppressLineNumbers w:val="0"/>
              <w:autoSpaceDE w:val="0"/>
              <w:autoSpaceDN w:val="0"/>
              <w:spacing w:before="0" w:beforeAutospacing="0" w:after="0" w:afterAutospacing="0" w:line="360" w:lineRule="auto"/>
              <w:ind w:left="0" w:right="0"/>
              <w:jc w:val="center"/>
              <w:rPr>
                <w:rFonts w:hint="default" w:ascii="方正仿宋_GB2312" w:hAnsi="仿宋" w:eastAsia="方正仿宋_GB2312" w:cs="方正仿宋_GB2312"/>
                <w:color w:val="auto"/>
                <w:sz w:val="24"/>
                <w:highlight w:val="none"/>
              </w:rPr>
            </w:pPr>
          </w:p>
        </w:tc>
        <w:tc>
          <w:tcPr>
            <w:tcW w:w="1260" w:type="dxa"/>
            <w:tcBorders>
              <w:top w:val="single" w:color="auto" w:sz="6" w:space="0"/>
              <w:left w:val="single" w:color="auto" w:sz="4" w:space="0"/>
              <w:bottom w:val="single" w:color="auto" w:sz="6" w:space="0"/>
              <w:right w:val="single" w:color="auto" w:sz="6" w:space="0"/>
            </w:tcBorders>
            <w:vAlign w:val="center"/>
          </w:tcPr>
          <w:p w14:paraId="54843D3F">
            <w:pPr>
              <w:keepNext w:val="0"/>
              <w:keepLines w:val="0"/>
              <w:suppressLineNumbers w:val="0"/>
              <w:autoSpaceDE w:val="0"/>
              <w:autoSpaceDN w:val="0"/>
              <w:spacing w:before="0" w:beforeAutospacing="0" w:after="0" w:afterAutospacing="0" w:line="360" w:lineRule="auto"/>
              <w:ind w:left="0" w:right="0"/>
              <w:jc w:val="center"/>
              <w:rPr>
                <w:rFonts w:hint="default" w:ascii="方正仿宋_GB2312" w:hAnsi="仿宋" w:eastAsia="方正仿宋_GB2312" w:cs="方正仿宋_GB2312"/>
                <w:color w:val="auto"/>
                <w:sz w:val="24"/>
                <w:highlight w:val="none"/>
              </w:rPr>
            </w:pPr>
          </w:p>
        </w:tc>
        <w:tc>
          <w:tcPr>
            <w:tcW w:w="4147" w:type="dxa"/>
            <w:vMerge w:val="continue"/>
            <w:tcBorders>
              <w:top w:val="single" w:color="auto" w:sz="6" w:space="0"/>
              <w:left w:val="single" w:color="auto" w:sz="6" w:space="0"/>
              <w:bottom w:val="single" w:color="auto" w:sz="6" w:space="0"/>
              <w:right w:val="single" w:color="auto" w:sz="6" w:space="0"/>
            </w:tcBorders>
            <w:vAlign w:val="center"/>
          </w:tcPr>
          <w:p w14:paraId="31FD79F1">
            <w:pPr>
              <w:keepNext w:val="0"/>
              <w:keepLines w:val="0"/>
              <w:widowControl/>
              <w:suppressLineNumbers w:val="0"/>
              <w:spacing w:before="0" w:beforeAutospacing="0" w:after="0" w:afterAutospacing="0"/>
              <w:ind w:left="0" w:right="0"/>
              <w:jc w:val="left"/>
              <w:rPr>
                <w:rFonts w:hint="default" w:ascii="方正仿宋_GB2312" w:hAnsi="仿宋" w:eastAsia="方正仿宋_GB2312" w:cs="方正仿宋_GB2312"/>
                <w:color w:val="auto"/>
                <w:sz w:val="24"/>
                <w:highlight w:val="none"/>
              </w:rPr>
            </w:pPr>
          </w:p>
        </w:tc>
      </w:tr>
      <w:tr w14:paraId="34FAB18C">
        <w:tblPrEx>
          <w:tblCellMar>
            <w:top w:w="0" w:type="dxa"/>
            <w:left w:w="108" w:type="dxa"/>
            <w:bottom w:w="0" w:type="dxa"/>
            <w:right w:w="108" w:type="dxa"/>
          </w:tblCellMar>
        </w:tblPrEx>
        <w:trPr>
          <w:cantSplit/>
          <w:trHeight w:val="345" w:hRule="atLeast"/>
        </w:trPr>
        <w:tc>
          <w:tcPr>
            <w:tcW w:w="2061" w:type="dxa"/>
            <w:tcBorders>
              <w:top w:val="single" w:color="auto" w:sz="6" w:space="0"/>
              <w:left w:val="single" w:color="auto" w:sz="6" w:space="0"/>
              <w:bottom w:val="single" w:color="auto" w:sz="6" w:space="0"/>
              <w:right w:val="single" w:color="auto" w:sz="6" w:space="0"/>
            </w:tcBorders>
            <w:vAlign w:val="center"/>
          </w:tcPr>
          <w:p w14:paraId="7CADCCE9">
            <w:pPr>
              <w:keepNext w:val="0"/>
              <w:keepLines w:val="0"/>
              <w:suppressLineNumbers w:val="0"/>
              <w:autoSpaceDE w:val="0"/>
              <w:autoSpaceDN w:val="0"/>
              <w:spacing w:before="0" w:beforeAutospacing="0" w:after="0" w:afterAutospacing="0" w:line="360" w:lineRule="auto"/>
              <w:ind w:left="0" w:right="0"/>
              <w:jc w:val="center"/>
              <w:rPr>
                <w:rFonts w:hint="default" w:ascii="方正仿宋_GB2312" w:hAnsi="仿宋" w:eastAsia="方正仿宋_GB2312" w:cs="方正仿宋_GB2312"/>
                <w:color w:val="auto"/>
                <w:sz w:val="24"/>
                <w:highlight w:val="none"/>
              </w:rPr>
            </w:pPr>
            <w:r>
              <w:rPr>
                <w:rFonts w:hint="eastAsia" w:ascii="方正仿宋_GB2312" w:hAnsi="仿宋" w:eastAsia="方正仿宋_GB2312" w:cs="方正仿宋_GB2312"/>
                <w:color w:val="auto"/>
                <w:sz w:val="24"/>
                <w:highlight w:val="none"/>
              </w:rPr>
              <w:t>毕业时间</w:t>
            </w:r>
          </w:p>
        </w:tc>
        <w:tc>
          <w:tcPr>
            <w:tcW w:w="1287" w:type="dxa"/>
            <w:tcBorders>
              <w:top w:val="single" w:color="auto" w:sz="6" w:space="0"/>
              <w:left w:val="single" w:color="auto" w:sz="6" w:space="0"/>
              <w:bottom w:val="single" w:color="auto" w:sz="6" w:space="0"/>
              <w:right w:val="single" w:color="auto" w:sz="4" w:space="0"/>
            </w:tcBorders>
            <w:vAlign w:val="center"/>
          </w:tcPr>
          <w:p w14:paraId="0B60473D">
            <w:pPr>
              <w:keepNext w:val="0"/>
              <w:keepLines w:val="0"/>
              <w:suppressLineNumbers w:val="0"/>
              <w:autoSpaceDE w:val="0"/>
              <w:autoSpaceDN w:val="0"/>
              <w:spacing w:before="0" w:beforeAutospacing="0" w:after="0" w:afterAutospacing="0" w:line="360" w:lineRule="auto"/>
              <w:ind w:left="0" w:right="0"/>
              <w:jc w:val="center"/>
              <w:rPr>
                <w:rFonts w:hint="default" w:ascii="方正仿宋_GB2312" w:hAnsi="仿宋" w:eastAsia="方正仿宋_GB2312" w:cs="方正仿宋_GB2312"/>
                <w:color w:val="auto"/>
                <w:sz w:val="24"/>
                <w:highlight w:val="none"/>
              </w:rPr>
            </w:pPr>
          </w:p>
        </w:tc>
        <w:tc>
          <w:tcPr>
            <w:tcW w:w="1260" w:type="dxa"/>
            <w:tcBorders>
              <w:top w:val="single" w:color="auto" w:sz="6" w:space="0"/>
              <w:left w:val="single" w:color="auto" w:sz="4" w:space="0"/>
              <w:bottom w:val="single" w:color="auto" w:sz="6" w:space="0"/>
              <w:right w:val="single" w:color="auto" w:sz="6" w:space="0"/>
            </w:tcBorders>
            <w:vAlign w:val="center"/>
          </w:tcPr>
          <w:p w14:paraId="6051B48C">
            <w:pPr>
              <w:keepNext w:val="0"/>
              <w:keepLines w:val="0"/>
              <w:suppressLineNumbers w:val="0"/>
              <w:autoSpaceDE w:val="0"/>
              <w:autoSpaceDN w:val="0"/>
              <w:spacing w:before="0" w:beforeAutospacing="0" w:after="0" w:afterAutospacing="0" w:line="360" w:lineRule="auto"/>
              <w:ind w:left="0" w:right="0"/>
              <w:jc w:val="center"/>
              <w:rPr>
                <w:rFonts w:hint="default" w:ascii="方正仿宋_GB2312" w:hAnsi="仿宋" w:eastAsia="方正仿宋_GB2312" w:cs="方正仿宋_GB2312"/>
                <w:color w:val="auto"/>
                <w:sz w:val="24"/>
                <w:highlight w:val="none"/>
              </w:rPr>
            </w:pPr>
          </w:p>
        </w:tc>
        <w:tc>
          <w:tcPr>
            <w:tcW w:w="4147" w:type="dxa"/>
            <w:vMerge w:val="continue"/>
            <w:tcBorders>
              <w:top w:val="single" w:color="auto" w:sz="6" w:space="0"/>
              <w:left w:val="single" w:color="auto" w:sz="6" w:space="0"/>
              <w:bottom w:val="single" w:color="auto" w:sz="6" w:space="0"/>
              <w:right w:val="single" w:color="auto" w:sz="6" w:space="0"/>
            </w:tcBorders>
            <w:vAlign w:val="center"/>
          </w:tcPr>
          <w:p w14:paraId="363610AC">
            <w:pPr>
              <w:keepNext w:val="0"/>
              <w:keepLines w:val="0"/>
              <w:widowControl/>
              <w:suppressLineNumbers w:val="0"/>
              <w:spacing w:before="0" w:beforeAutospacing="0" w:after="0" w:afterAutospacing="0"/>
              <w:ind w:left="0" w:right="0"/>
              <w:jc w:val="left"/>
              <w:rPr>
                <w:rFonts w:hint="default" w:ascii="方正仿宋_GB2312" w:hAnsi="仿宋" w:eastAsia="方正仿宋_GB2312" w:cs="方正仿宋_GB2312"/>
                <w:color w:val="auto"/>
                <w:sz w:val="24"/>
                <w:highlight w:val="none"/>
              </w:rPr>
            </w:pPr>
          </w:p>
        </w:tc>
      </w:tr>
      <w:tr w14:paraId="148E18D2">
        <w:tblPrEx>
          <w:tblCellMar>
            <w:top w:w="0" w:type="dxa"/>
            <w:left w:w="108" w:type="dxa"/>
            <w:bottom w:w="0" w:type="dxa"/>
            <w:right w:w="108" w:type="dxa"/>
          </w:tblCellMar>
        </w:tblPrEx>
        <w:trPr>
          <w:cantSplit/>
          <w:trHeight w:val="422" w:hRule="atLeast"/>
        </w:trPr>
        <w:tc>
          <w:tcPr>
            <w:tcW w:w="2061" w:type="dxa"/>
            <w:tcBorders>
              <w:top w:val="single" w:color="auto" w:sz="6" w:space="0"/>
              <w:left w:val="single" w:color="auto" w:sz="6" w:space="0"/>
              <w:bottom w:val="single" w:color="auto" w:sz="6" w:space="0"/>
              <w:right w:val="single" w:color="auto" w:sz="6" w:space="0"/>
            </w:tcBorders>
            <w:vAlign w:val="center"/>
          </w:tcPr>
          <w:p w14:paraId="4584DAF4">
            <w:pPr>
              <w:keepNext w:val="0"/>
              <w:keepLines w:val="0"/>
              <w:suppressLineNumbers w:val="0"/>
              <w:autoSpaceDE w:val="0"/>
              <w:autoSpaceDN w:val="0"/>
              <w:spacing w:before="0" w:beforeAutospacing="0" w:after="0" w:afterAutospacing="0" w:line="360" w:lineRule="auto"/>
              <w:ind w:left="0" w:right="0"/>
              <w:jc w:val="center"/>
              <w:rPr>
                <w:rFonts w:hint="default" w:ascii="方正仿宋_GB2312" w:hAnsi="仿宋" w:eastAsia="方正仿宋_GB2312" w:cs="方正仿宋_GB2312"/>
                <w:color w:val="auto"/>
                <w:sz w:val="24"/>
                <w:highlight w:val="none"/>
              </w:rPr>
            </w:pPr>
            <w:r>
              <w:rPr>
                <w:rFonts w:hint="eastAsia" w:ascii="方正仿宋_GB2312" w:hAnsi="仿宋" w:eastAsia="方正仿宋_GB2312" w:cs="方正仿宋_GB2312"/>
                <w:color w:val="auto"/>
                <w:sz w:val="24"/>
                <w:highlight w:val="none"/>
              </w:rPr>
              <w:t>所学专业</w:t>
            </w:r>
          </w:p>
        </w:tc>
        <w:tc>
          <w:tcPr>
            <w:tcW w:w="1287" w:type="dxa"/>
            <w:tcBorders>
              <w:top w:val="single" w:color="auto" w:sz="6" w:space="0"/>
              <w:left w:val="single" w:color="auto" w:sz="6" w:space="0"/>
              <w:bottom w:val="single" w:color="auto" w:sz="6" w:space="0"/>
              <w:right w:val="single" w:color="auto" w:sz="4" w:space="0"/>
            </w:tcBorders>
            <w:vAlign w:val="center"/>
          </w:tcPr>
          <w:p w14:paraId="44F3E46F">
            <w:pPr>
              <w:keepNext w:val="0"/>
              <w:keepLines w:val="0"/>
              <w:suppressLineNumbers w:val="0"/>
              <w:autoSpaceDE w:val="0"/>
              <w:autoSpaceDN w:val="0"/>
              <w:spacing w:before="0" w:beforeAutospacing="0" w:after="0" w:afterAutospacing="0" w:line="360" w:lineRule="auto"/>
              <w:ind w:left="0" w:right="0"/>
              <w:jc w:val="center"/>
              <w:rPr>
                <w:rFonts w:hint="default" w:ascii="方正仿宋_GB2312" w:hAnsi="仿宋" w:eastAsia="方正仿宋_GB2312" w:cs="方正仿宋_GB2312"/>
                <w:color w:val="auto"/>
                <w:sz w:val="24"/>
                <w:highlight w:val="none"/>
              </w:rPr>
            </w:pPr>
          </w:p>
        </w:tc>
        <w:tc>
          <w:tcPr>
            <w:tcW w:w="1260" w:type="dxa"/>
            <w:tcBorders>
              <w:top w:val="single" w:color="auto" w:sz="6" w:space="0"/>
              <w:left w:val="single" w:color="auto" w:sz="4" w:space="0"/>
              <w:bottom w:val="single" w:color="auto" w:sz="6" w:space="0"/>
              <w:right w:val="single" w:color="auto" w:sz="6" w:space="0"/>
            </w:tcBorders>
            <w:vAlign w:val="center"/>
          </w:tcPr>
          <w:p w14:paraId="5B6A1C53">
            <w:pPr>
              <w:keepNext w:val="0"/>
              <w:keepLines w:val="0"/>
              <w:suppressLineNumbers w:val="0"/>
              <w:autoSpaceDE w:val="0"/>
              <w:autoSpaceDN w:val="0"/>
              <w:spacing w:before="0" w:beforeAutospacing="0" w:after="0" w:afterAutospacing="0" w:line="360" w:lineRule="auto"/>
              <w:ind w:left="0" w:right="0"/>
              <w:jc w:val="center"/>
              <w:rPr>
                <w:rFonts w:hint="default" w:ascii="方正仿宋_GB2312" w:hAnsi="仿宋" w:eastAsia="方正仿宋_GB2312" w:cs="方正仿宋_GB2312"/>
                <w:color w:val="auto"/>
                <w:sz w:val="24"/>
                <w:highlight w:val="none"/>
              </w:rPr>
            </w:pPr>
          </w:p>
        </w:tc>
        <w:tc>
          <w:tcPr>
            <w:tcW w:w="4147" w:type="dxa"/>
            <w:vMerge w:val="continue"/>
            <w:tcBorders>
              <w:top w:val="single" w:color="auto" w:sz="6" w:space="0"/>
              <w:left w:val="single" w:color="auto" w:sz="6" w:space="0"/>
              <w:bottom w:val="single" w:color="auto" w:sz="6" w:space="0"/>
              <w:right w:val="single" w:color="auto" w:sz="6" w:space="0"/>
            </w:tcBorders>
            <w:vAlign w:val="center"/>
          </w:tcPr>
          <w:p w14:paraId="0E9784BC">
            <w:pPr>
              <w:keepNext w:val="0"/>
              <w:keepLines w:val="0"/>
              <w:widowControl/>
              <w:suppressLineNumbers w:val="0"/>
              <w:spacing w:before="0" w:beforeAutospacing="0" w:after="0" w:afterAutospacing="0"/>
              <w:ind w:left="0" w:right="0"/>
              <w:jc w:val="left"/>
              <w:rPr>
                <w:rFonts w:hint="default" w:ascii="方正仿宋_GB2312" w:hAnsi="仿宋" w:eastAsia="方正仿宋_GB2312" w:cs="方正仿宋_GB2312"/>
                <w:color w:val="auto"/>
                <w:sz w:val="24"/>
                <w:highlight w:val="none"/>
              </w:rPr>
            </w:pPr>
          </w:p>
        </w:tc>
      </w:tr>
      <w:tr w14:paraId="68BA949A">
        <w:tblPrEx>
          <w:tblCellMar>
            <w:top w:w="0" w:type="dxa"/>
            <w:left w:w="108" w:type="dxa"/>
            <w:bottom w:w="0" w:type="dxa"/>
            <w:right w:w="108" w:type="dxa"/>
          </w:tblCellMar>
        </w:tblPrEx>
        <w:trPr>
          <w:cantSplit/>
          <w:trHeight w:val="416" w:hRule="atLeast"/>
        </w:trPr>
        <w:tc>
          <w:tcPr>
            <w:tcW w:w="2061" w:type="dxa"/>
            <w:tcBorders>
              <w:top w:val="single" w:color="auto" w:sz="6" w:space="0"/>
              <w:left w:val="single" w:color="auto" w:sz="6" w:space="0"/>
              <w:bottom w:val="single" w:color="auto" w:sz="6" w:space="0"/>
              <w:right w:val="single" w:color="auto" w:sz="6" w:space="0"/>
            </w:tcBorders>
            <w:vAlign w:val="center"/>
          </w:tcPr>
          <w:p w14:paraId="4647E133">
            <w:pPr>
              <w:keepNext w:val="0"/>
              <w:keepLines w:val="0"/>
              <w:suppressLineNumbers w:val="0"/>
              <w:autoSpaceDE w:val="0"/>
              <w:autoSpaceDN w:val="0"/>
              <w:spacing w:before="0" w:beforeAutospacing="0" w:after="0" w:afterAutospacing="0" w:line="360" w:lineRule="auto"/>
              <w:ind w:left="0" w:right="0"/>
              <w:jc w:val="center"/>
              <w:rPr>
                <w:rFonts w:hint="default" w:ascii="方正仿宋_GB2312" w:hAnsi="仿宋" w:eastAsia="方正仿宋_GB2312" w:cs="方正仿宋_GB2312"/>
                <w:color w:val="auto"/>
                <w:sz w:val="24"/>
                <w:highlight w:val="none"/>
              </w:rPr>
            </w:pPr>
            <w:r>
              <w:rPr>
                <w:rFonts w:hint="eastAsia" w:ascii="方正仿宋_GB2312" w:hAnsi="仿宋" w:eastAsia="方正仿宋_GB2312" w:cs="方正仿宋_GB2312"/>
                <w:color w:val="auto"/>
                <w:sz w:val="24"/>
                <w:highlight w:val="none"/>
              </w:rPr>
              <w:t>学历</w:t>
            </w:r>
          </w:p>
        </w:tc>
        <w:tc>
          <w:tcPr>
            <w:tcW w:w="1287" w:type="dxa"/>
            <w:tcBorders>
              <w:top w:val="single" w:color="auto" w:sz="6" w:space="0"/>
              <w:left w:val="single" w:color="auto" w:sz="6" w:space="0"/>
              <w:bottom w:val="single" w:color="auto" w:sz="6" w:space="0"/>
              <w:right w:val="single" w:color="auto" w:sz="4" w:space="0"/>
            </w:tcBorders>
            <w:vAlign w:val="center"/>
          </w:tcPr>
          <w:p w14:paraId="4537540B">
            <w:pPr>
              <w:keepNext w:val="0"/>
              <w:keepLines w:val="0"/>
              <w:suppressLineNumbers w:val="0"/>
              <w:autoSpaceDE w:val="0"/>
              <w:autoSpaceDN w:val="0"/>
              <w:spacing w:before="0" w:beforeAutospacing="0" w:after="0" w:afterAutospacing="0" w:line="360" w:lineRule="auto"/>
              <w:ind w:left="0" w:right="0"/>
              <w:jc w:val="center"/>
              <w:rPr>
                <w:rFonts w:hint="default" w:ascii="方正仿宋_GB2312" w:hAnsi="仿宋" w:eastAsia="方正仿宋_GB2312" w:cs="方正仿宋_GB2312"/>
                <w:color w:val="auto"/>
                <w:sz w:val="24"/>
                <w:highlight w:val="none"/>
              </w:rPr>
            </w:pPr>
          </w:p>
        </w:tc>
        <w:tc>
          <w:tcPr>
            <w:tcW w:w="1260" w:type="dxa"/>
            <w:tcBorders>
              <w:top w:val="single" w:color="auto" w:sz="6" w:space="0"/>
              <w:left w:val="single" w:color="auto" w:sz="4" w:space="0"/>
              <w:bottom w:val="single" w:color="auto" w:sz="6" w:space="0"/>
              <w:right w:val="single" w:color="auto" w:sz="6" w:space="0"/>
            </w:tcBorders>
            <w:vAlign w:val="center"/>
          </w:tcPr>
          <w:p w14:paraId="48D00D4A">
            <w:pPr>
              <w:keepNext w:val="0"/>
              <w:keepLines w:val="0"/>
              <w:suppressLineNumbers w:val="0"/>
              <w:autoSpaceDE w:val="0"/>
              <w:autoSpaceDN w:val="0"/>
              <w:spacing w:before="0" w:beforeAutospacing="0" w:after="0" w:afterAutospacing="0" w:line="360" w:lineRule="auto"/>
              <w:ind w:left="0" w:right="0"/>
              <w:jc w:val="center"/>
              <w:rPr>
                <w:rFonts w:hint="default" w:ascii="方正仿宋_GB2312" w:hAnsi="仿宋" w:eastAsia="方正仿宋_GB2312" w:cs="方正仿宋_GB2312"/>
                <w:color w:val="auto"/>
                <w:sz w:val="24"/>
                <w:highlight w:val="none"/>
              </w:rPr>
            </w:pPr>
          </w:p>
        </w:tc>
        <w:tc>
          <w:tcPr>
            <w:tcW w:w="4147" w:type="dxa"/>
            <w:vMerge w:val="continue"/>
            <w:tcBorders>
              <w:top w:val="single" w:color="auto" w:sz="6" w:space="0"/>
              <w:left w:val="single" w:color="auto" w:sz="6" w:space="0"/>
              <w:bottom w:val="single" w:color="auto" w:sz="6" w:space="0"/>
              <w:right w:val="single" w:color="auto" w:sz="6" w:space="0"/>
            </w:tcBorders>
            <w:vAlign w:val="center"/>
          </w:tcPr>
          <w:p w14:paraId="5760CD2C">
            <w:pPr>
              <w:keepNext w:val="0"/>
              <w:keepLines w:val="0"/>
              <w:widowControl/>
              <w:suppressLineNumbers w:val="0"/>
              <w:spacing w:before="0" w:beforeAutospacing="0" w:after="0" w:afterAutospacing="0"/>
              <w:ind w:left="0" w:right="0"/>
              <w:jc w:val="left"/>
              <w:rPr>
                <w:rFonts w:hint="default" w:ascii="方正仿宋_GB2312" w:hAnsi="仿宋" w:eastAsia="方正仿宋_GB2312" w:cs="方正仿宋_GB2312"/>
                <w:color w:val="auto"/>
                <w:sz w:val="24"/>
                <w:highlight w:val="none"/>
              </w:rPr>
            </w:pPr>
          </w:p>
        </w:tc>
      </w:tr>
      <w:tr w14:paraId="0A009F5D">
        <w:tblPrEx>
          <w:tblCellMar>
            <w:top w:w="0" w:type="dxa"/>
            <w:left w:w="108" w:type="dxa"/>
            <w:bottom w:w="0" w:type="dxa"/>
            <w:right w:w="108" w:type="dxa"/>
          </w:tblCellMar>
        </w:tblPrEx>
        <w:trPr>
          <w:cantSplit/>
          <w:trHeight w:val="356" w:hRule="atLeast"/>
        </w:trPr>
        <w:tc>
          <w:tcPr>
            <w:tcW w:w="2061" w:type="dxa"/>
            <w:tcBorders>
              <w:top w:val="single" w:color="auto" w:sz="6" w:space="0"/>
              <w:left w:val="single" w:color="auto" w:sz="6" w:space="0"/>
              <w:bottom w:val="single" w:color="auto" w:sz="6" w:space="0"/>
              <w:right w:val="single" w:color="auto" w:sz="6" w:space="0"/>
            </w:tcBorders>
            <w:vAlign w:val="center"/>
          </w:tcPr>
          <w:p w14:paraId="3BB50EE4">
            <w:pPr>
              <w:keepNext w:val="0"/>
              <w:keepLines w:val="0"/>
              <w:suppressLineNumbers w:val="0"/>
              <w:autoSpaceDE w:val="0"/>
              <w:autoSpaceDN w:val="0"/>
              <w:spacing w:before="0" w:beforeAutospacing="0" w:after="0" w:afterAutospacing="0" w:line="360" w:lineRule="auto"/>
              <w:ind w:left="0" w:right="0"/>
              <w:jc w:val="center"/>
              <w:rPr>
                <w:rFonts w:hint="default" w:ascii="方正仿宋_GB2312" w:hAnsi="仿宋" w:eastAsia="方正仿宋_GB2312" w:cs="方正仿宋_GB2312"/>
                <w:color w:val="auto"/>
                <w:sz w:val="24"/>
                <w:highlight w:val="none"/>
              </w:rPr>
            </w:pPr>
            <w:r>
              <w:rPr>
                <w:rFonts w:hint="eastAsia" w:ascii="方正仿宋_GB2312" w:hAnsi="仿宋" w:eastAsia="方正仿宋_GB2312" w:cs="方正仿宋_GB2312"/>
                <w:color w:val="auto"/>
                <w:sz w:val="24"/>
                <w:highlight w:val="none"/>
              </w:rPr>
              <w:t>资质证书编号</w:t>
            </w:r>
          </w:p>
        </w:tc>
        <w:tc>
          <w:tcPr>
            <w:tcW w:w="1287" w:type="dxa"/>
            <w:tcBorders>
              <w:top w:val="single" w:color="auto" w:sz="6" w:space="0"/>
              <w:left w:val="single" w:color="auto" w:sz="6" w:space="0"/>
              <w:bottom w:val="single" w:color="auto" w:sz="6" w:space="0"/>
              <w:right w:val="single" w:color="auto" w:sz="4" w:space="0"/>
            </w:tcBorders>
            <w:vAlign w:val="center"/>
          </w:tcPr>
          <w:p w14:paraId="0A4C9822">
            <w:pPr>
              <w:keepNext w:val="0"/>
              <w:keepLines w:val="0"/>
              <w:suppressLineNumbers w:val="0"/>
              <w:autoSpaceDE w:val="0"/>
              <w:autoSpaceDN w:val="0"/>
              <w:spacing w:before="0" w:beforeAutospacing="0" w:after="0" w:afterAutospacing="0" w:line="360" w:lineRule="auto"/>
              <w:ind w:left="0" w:right="0"/>
              <w:jc w:val="center"/>
              <w:rPr>
                <w:rFonts w:hint="default" w:ascii="方正仿宋_GB2312" w:hAnsi="仿宋" w:eastAsia="方正仿宋_GB2312" w:cs="方正仿宋_GB2312"/>
                <w:color w:val="auto"/>
                <w:sz w:val="24"/>
                <w:highlight w:val="none"/>
              </w:rPr>
            </w:pPr>
          </w:p>
        </w:tc>
        <w:tc>
          <w:tcPr>
            <w:tcW w:w="1260" w:type="dxa"/>
            <w:tcBorders>
              <w:top w:val="single" w:color="auto" w:sz="6" w:space="0"/>
              <w:left w:val="single" w:color="auto" w:sz="4" w:space="0"/>
              <w:bottom w:val="single" w:color="auto" w:sz="6" w:space="0"/>
              <w:right w:val="single" w:color="auto" w:sz="6" w:space="0"/>
            </w:tcBorders>
            <w:vAlign w:val="center"/>
          </w:tcPr>
          <w:p w14:paraId="1F269F08">
            <w:pPr>
              <w:keepNext w:val="0"/>
              <w:keepLines w:val="0"/>
              <w:suppressLineNumbers w:val="0"/>
              <w:autoSpaceDE w:val="0"/>
              <w:autoSpaceDN w:val="0"/>
              <w:spacing w:before="0" w:beforeAutospacing="0" w:after="0" w:afterAutospacing="0" w:line="360" w:lineRule="auto"/>
              <w:ind w:left="0" w:right="0"/>
              <w:jc w:val="center"/>
              <w:rPr>
                <w:rFonts w:hint="default" w:ascii="方正仿宋_GB2312" w:hAnsi="仿宋" w:eastAsia="方正仿宋_GB2312" w:cs="方正仿宋_GB2312"/>
                <w:color w:val="auto"/>
                <w:sz w:val="24"/>
                <w:highlight w:val="none"/>
              </w:rPr>
            </w:pPr>
          </w:p>
        </w:tc>
        <w:tc>
          <w:tcPr>
            <w:tcW w:w="4147" w:type="dxa"/>
            <w:vMerge w:val="continue"/>
            <w:tcBorders>
              <w:top w:val="single" w:color="auto" w:sz="6" w:space="0"/>
              <w:left w:val="single" w:color="auto" w:sz="6" w:space="0"/>
              <w:bottom w:val="single" w:color="auto" w:sz="6" w:space="0"/>
              <w:right w:val="single" w:color="auto" w:sz="6" w:space="0"/>
            </w:tcBorders>
            <w:vAlign w:val="center"/>
          </w:tcPr>
          <w:p w14:paraId="1E3423EC">
            <w:pPr>
              <w:keepNext w:val="0"/>
              <w:keepLines w:val="0"/>
              <w:widowControl/>
              <w:suppressLineNumbers w:val="0"/>
              <w:spacing w:before="0" w:beforeAutospacing="0" w:after="0" w:afterAutospacing="0"/>
              <w:ind w:left="0" w:right="0"/>
              <w:jc w:val="left"/>
              <w:rPr>
                <w:rFonts w:hint="default" w:ascii="方正仿宋_GB2312" w:hAnsi="仿宋" w:eastAsia="方正仿宋_GB2312" w:cs="方正仿宋_GB2312"/>
                <w:color w:val="auto"/>
                <w:sz w:val="24"/>
                <w:highlight w:val="none"/>
              </w:rPr>
            </w:pPr>
          </w:p>
        </w:tc>
      </w:tr>
      <w:tr w14:paraId="20B89FB6">
        <w:tblPrEx>
          <w:tblCellMar>
            <w:top w:w="0" w:type="dxa"/>
            <w:left w:w="108" w:type="dxa"/>
            <w:bottom w:w="0" w:type="dxa"/>
            <w:right w:w="108" w:type="dxa"/>
          </w:tblCellMar>
        </w:tblPrEx>
        <w:trPr>
          <w:cantSplit/>
          <w:trHeight w:val="177" w:hRule="atLeast"/>
        </w:trPr>
        <w:tc>
          <w:tcPr>
            <w:tcW w:w="2061" w:type="dxa"/>
            <w:tcBorders>
              <w:top w:val="single" w:color="auto" w:sz="6" w:space="0"/>
              <w:left w:val="single" w:color="auto" w:sz="6" w:space="0"/>
              <w:bottom w:val="single" w:color="auto" w:sz="6" w:space="0"/>
              <w:right w:val="single" w:color="auto" w:sz="6" w:space="0"/>
            </w:tcBorders>
            <w:vAlign w:val="center"/>
          </w:tcPr>
          <w:p w14:paraId="42C80F03">
            <w:pPr>
              <w:keepNext w:val="0"/>
              <w:keepLines w:val="0"/>
              <w:suppressLineNumbers w:val="0"/>
              <w:autoSpaceDE w:val="0"/>
              <w:autoSpaceDN w:val="0"/>
              <w:spacing w:before="0" w:beforeAutospacing="0" w:after="0" w:afterAutospacing="0" w:line="360" w:lineRule="auto"/>
              <w:ind w:left="0" w:right="0"/>
              <w:jc w:val="center"/>
              <w:rPr>
                <w:rFonts w:hint="default" w:ascii="方正仿宋_GB2312" w:hAnsi="仿宋" w:eastAsia="方正仿宋_GB2312" w:cs="方正仿宋_GB2312"/>
                <w:color w:val="auto"/>
                <w:sz w:val="24"/>
                <w:highlight w:val="none"/>
              </w:rPr>
            </w:pPr>
            <w:r>
              <w:rPr>
                <w:rFonts w:hint="eastAsia" w:ascii="方正仿宋_GB2312" w:hAnsi="仿宋" w:eastAsia="方正仿宋_GB2312" w:cs="方正仿宋_GB2312"/>
                <w:color w:val="auto"/>
                <w:sz w:val="24"/>
                <w:highlight w:val="none"/>
              </w:rPr>
              <w:t>其他资质情况</w:t>
            </w:r>
          </w:p>
        </w:tc>
        <w:tc>
          <w:tcPr>
            <w:tcW w:w="1287" w:type="dxa"/>
            <w:tcBorders>
              <w:top w:val="single" w:color="auto" w:sz="6" w:space="0"/>
              <w:left w:val="single" w:color="auto" w:sz="6" w:space="0"/>
              <w:bottom w:val="single" w:color="auto" w:sz="6" w:space="0"/>
              <w:right w:val="single" w:color="auto" w:sz="4" w:space="0"/>
            </w:tcBorders>
            <w:vAlign w:val="center"/>
          </w:tcPr>
          <w:p w14:paraId="0BAB5BAA">
            <w:pPr>
              <w:keepNext w:val="0"/>
              <w:keepLines w:val="0"/>
              <w:suppressLineNumbers w:val="0"/>
              <w:autoSpaceDE w:val="0"/>
              <w:autoSpaceDN w:val="0"/>
              <w:spacing w:before="0" w:beforeAutospacing="0" w:after="0" w:afterAutospacing="0" w:line="360" w:lineRule="auto"/>
              <w:ind w:left="0" w:right="0"/>
              <w:jc w:val="center"/>
              <w:rPr>
                <w:rFonts w:hint="default" w:ascii="方正仿宋_GB2312" w:hAnsi="仿宋" w:eastAsia="方正仿宋_GB2312" w:cs="方正仿宋_GB2312"/>
                <w:color w:val="auto"/>
                <w:sz w:val="24"/>
                <w:highlight w:val="none"/>
              </w:rPr>
            </w:pPr>
          </w:p>
        </w:tc>
        <w:tc>
          <w:tcPr>
            <w:tcW w:w="1260" w:type="dxa"/>
            <w:tcBorders>
              <w:top w:val="single" w:color="auto" w:sz="6" w:space="0"/>
              <w:left w:val="single" w:color="auto" w:sz="4" w:space="0"/>
              <w:bottom w:val="single" w:color="auto" w:sz="6" w:space="0"/>
              <w:right w:val="single" w:color="auto" w:sz="6" w:space="0"/>
            </w:tcBorders>
            <w:vAlign w:val="center"/>
          </w:tcPr>
          <w:p w14:paraId="757B9C63">
            <w:pPr>
              <w:keepNext w:val="0"/>
              <w:keepLines w:val="0"/>
              <w:suppressLineNumbers w:val="0"/>
              <w:autoSpaceDE w:val="0"/>
              <w:autoSpaceDN w:val="0"/>
              <w:spacing w:before="0" w:beforeAutospacing="0" w:after="0" w:afterAutospacing="0" w:line="360" w:lineRule="auto"/>
              <w:ind w:left="0" w:right="0"/>
              <w:jc w:val="center"/>
              <w:rPr>
                <w:rFonts w:hint="default" w:ascii="方正仿宋_GB2312" w:hAnsi="仿宋" w:eastAsia="方正仿宋_GB2312" w:cs="方正仿宋_GB2312"/>
                <w:color w:val="auto"/>
                <w:sz w:val="24"/>
                <w:highlight w:val="none"/>
              </w:rPr>
            </w:pPr>
          </w:p>
        </w:tc>
        <w:tc>
          <w:tcPr>
            <w:tcW w:w="4147" w:type="dxa"/>
            <w:vMerge w:val="continue"/>
            <w:tcBorders>
              <w:top w:val="single" w:color="auto" w:sz="6" w:space="0"/>
              <w:left w:val="single" w:color="auto" w:sz="6" w:space="0"/>
              <w:bottom w:val="single" w:color="auto" w:sz="6" w:space="0"/>
              <w:right w:val="single" w:color="auto" w:sz="6" w:space="0"/>
            </w:tcBorders>
            <w:vAlign w:val="center"/>
          </w:tcPr>
          <w:p w14:paraId="4BE64794">
            <w:pPr>
              <w:keepNext w:val="0"/>
              <w:keepLines w:val="0"/>
              <w:widowControl/>
              <w:suppressLineNumbers w:val="0"/>
              <w:spacing w:before="0" w:beforeAutospacing="0" w:after="0" w:afterAutospacing="0"/>
              <w:ind w:left="0" w:right="0"/>
              <w:jc w:val="left"/>
              <w:rPr>
                <w:rFonts w:hint="default" w:ascii="方正仿宋_GB2312" w:hAnsi="仿宋" w:eastAsia="方正仿宋_GB2312" w:cs="方正仿宋_GB2312"/>
                <w:color w:val="auto"/>
                <w:sz w:val="24"/>
                <w:highlight w:val="none"/>
              </w:rPr>
            </w:pPr>
          </w:p>
        </w:tc>
      </w:tr>
      <w:tr w14:paraId="5968902B">
        <w:tblPrEx>
          <w:tblCellMar>
            <w:top w:w="0" w:type="dxa"/>
            <w:left w:w="108" w:type="dxa"/>
            <w:bottom w:w="0" w:type="dxa"/>
            <w:right w:w="108" w:type="dxa"/>
          </w:tblCellMar>
        </w:tblPrEx>
        <w:trPr>
          <w:cantSplit/>
          <w:trHeight w:val="169" w:hRule="atLeast"/>
        </w:trPr>
        <w:tc>
          <w:tcPr>
            <w:tcW w:w="2061" w:type="dxa"/>
            <w:tcBorders>
              <w:top w:val="single" w:color="auto" w:sz="6" w:space="0"/>
              <w:left w:val="single" w:color="auto" w:sz="6" w:space="0"/>
              <w:bottom w:val="single" w:color="auto" w:sz="6" w:space="0"/>
              <w:right w:val="single" w:color="auto" w:sz="6" w:space="0"/>
            </w:tcBorders>
            <w:shd w:val="clear" w:color="auto" w:fill="auto"/>
            <w:vAlign w:val="center"/>
          </w:tcPr>
          <w:p w14:paraId="76542D5D">
            <w:pPr>
              <w:keepNext w:val="0"/>
              <w:keepLines w:val="0"/>
              <w:suppressLineNumbers w:val="0"/>
              <w:autoSpaceDE w:val="0"/>
              <w:autoSpaceDN w:val="0"/>
              <w:spacing w:before="0" w:beforeAutospacing="0" w:after="0" w:afterAutospacing="0" w:line="360" w:lineRule="auto"/>
              <w:ind w:left="0" w:right="0"/>
              <w:jc w:val="center"/>
              <w:rPr>
                <w:rFonts w:hint="default" w:ascii="方正仿宋_GB2312" w:hAnsi="仿宋" w:eastAsia="方正仿宋_GB2312" w:cs="方正仿宋_GB2312"/>
                <w:color w:val="auto"/>
                <w:sz w:val="24"/>
                <w:highlight w:val="none"/>
              </w:rPr>
            </w:pPr>
            <w:r>
              <w:rPr>
                <w:rFonts w:hint="eastAsia" w:ascii="方正仿宋_GB2312" w:hAnsi="仿宋" w:eastAsia="方正仿宋_GB2312" w:cs="方正仿宋_GB2312"/>
                <w:color w:val="auto"/>
                <w:sz w:val="24"/>
                <w:highlight w:val="none"/>
              </w:rPr>
              <w:t>联系电话</w:t>
            </w:r>
          </w:p>
        </w:tc>
        <w:tc>
          <w:tcPr>
            <w:tcW w:w="1287" w:type="dxa"/>
            <w:tcBorders>
              <w:top w:val="single" w:color="auto" w:sz="6" w:space="0"/>
              <w:left w:val="single" w:color="auto" w:sz="6" w:space="0"/>
              <w:bottom w:val="single" w:color="auto" w:sz="6" w:space="0"/>
              <w:right w:val="single" w:color="auto" w:sz="4" w:space="0"/>
            </w:tcBorders>
            <w:shd w:val="clear" w:color="auto" w:fill="auto"/>
            <w:vAlign w:val="center"/>
          </w:tcPr>
          <w:p w14:paraId="09944C6F">
            <w:pPr>
              <w:keepNext w:val="0"/>
              <w:keepLines w:val="0"/>
              <w:suppressLineNumbers w:val="0"/>
              <w:autoSpaceDE w:val="0"/>
              <w:autoSpaceDN w:val="0"/>
              <w:spacing w:before="0" w:beforeAutospacing="0" w:after="0" w:afterAutospacing="0" w:line="360" w:lineRule="auto"/>
              <w:ind w:left="0" w:right="0"/>
              <w:jc w:val="center"/>
              <w:rPr>
                <w:rFonts w:hint="default" w:ascii="方正仿宋_GB2312" w:hAnsi="仿宋" w:eastAsia="方正仿宋_GB2312" w:cs="方正仿宋_GB2312"/>
                <w:color w:val="auto"/>
                <w:sz w:val="24"/>
                <w:highlight w:val="none"/>
              </w:rPr>
            </w:pPr>
          </w:p>
        </w:tc>
        <w:tc>
          <w:tcPr>
            <w:tcW w:w="1260" w:type="dxa"/>
            <w:tcBorders>
              <w:top w:val="single" w:color="auto" w:sz="6" w:space="0"/>
              <w:left w:val="single" w:color="auto" w:sz="4" w:space="0"/>
              <w:bottom w:val="single" w:color="auto" w:sz="6" w:space="0"/>
              <w:right w:val="single" w:color="auto" w:sz="6" w:space="0"/>
            </w:tcBorders>
            <w:shd w:val="clear" w:color="auto" w:fill="B3B3B3"/>
            <w:vAlign w:val="center"/>
          </w:tcPr>
          <w:p w14:paraId="61388E16">
            <w:pPr>
              <w:keepNext w:val="0"/>
              <w:keepLines w:val="0"/>
              <w:suppressLineNumbers w:val="0"/>
              <w:autoSpaceDE w:val="0"/>
              <w:autoSpaceDN w:val="0"/>
              <w:spacing w:before="0" w:beforeAutospacing="0" w:after="0" w:afterAutospacing="0" w:line="360" w:lineRule="auto"/>
              <w:ind w:left="0" w:right="0"/>
              <w:jc w:val="center"/>
              <w:rPr>
                <w:rFonts w:hint="default" w:ascii="方正仿宋_GB2312" w:hAnsi="仿宋" w:eastAsia="方正仿宋_GB2312" w:cs="方正仿宋_GB2312"/>
                <w:color w:val="auto"/>
                <w:sz w:val="24"/>
                <w:highlight w:val="none"/>
              </w:rPr>
            </w:pPr>
          </w:p>
        </w:tc>
        <w:tc>
          <w:tcPr>
            <w:tcW w:w="4147" w:type="dxa"/>
            <w:vMerge w:val="continue"/>
            <w:tcBorders>
              <w:top w:val="single" w:color="auto" w:sz="6" w:space="0"/>
              <w:left w:val="single" w:color="auto" w:sz="6" w:space="0"/>
              <w:bottom w:val="single" w:color="auto" w:sz="6" w:space="0"/>
              <w:right w:val="single" w:color="auto" w:sz="6" w:space="0"/>
            </w:tcBorders>
            <w:vAlign w:val="center"/>
          </w:tcPr>
          <w:p w14:paraId="461E74F6">
            <w:pPr>
              <w:keepNext w:val="0"/>
              <w:keepLines w:val="0"/>
              <w:widowControl/>
              <w:suppressLineNumbers w:val="0"/>
              <w:spacing w:before="0" w:beforeAutospacing="0" w:after="0" w:afterAutospacing="0"/>
              <w:ind w:left="0" w:right="0"/>
              <w:jc w:val="left"/>
              <w:rPr>
                <w:rFonts w:hint="default" w:ascii="方正仿宋_GB2312" w:hAnsi="仿宋" w:eastAsia="方正仿宋_GB2312" w:cs="方正仿宋_GB2312"/>
                <w:color w:val="auto"/>
                <w:sz w:val="24"/>
                <w:highlight w:val="none"/>
              </w:rPr>
            </w:pPr>
          </w:p>
        </w:tc>
      </w:tr>
    </w:tbl>
    <w:p w14:paraId="2ADCDFBB">
      <w:pPr>
        <w:autoSpaceDE w:val="0"/>
        <w:autoSpaceDN w:val="0"/>
        <w:spacing w:line="360" w:lineRule="auto"/>
        <w:rPr>
          <w:rFonts w:ascii="方正仿宋_GB2312" w:hAnsi="仿宋" w:eastAsia="方正仿宋_GB2312" w:cs="方正仿宋_GB2312"/>
          <w:b/>
          <w:color w:val="auto"/>
          <w:sz w:val="24"/>
          <w:highlight w:val="none"/>
        </w:rPr>
      </w:pPr>
      <w:r>
        <w:rPr>
          <w:rFonts w:hint="eastAsia" w:ascii="方正仿宋_GB2312" w:hAnsi="仿宋" w:eastAsia="方正仿宋_GB2312" w:cs="方正仿宋_GB2312"/>
          <w:b/>
          <w:color w:val="auto"/>
          <w:sz w:val="24"/>
          <w:highlight w:val="none"/>
        </w:rPr>
        <w:t>注：须随表提交相应的证书复印件并注明所在投标技术文件页码。</w:t>
      </w:r>
    </w:p>
    <w:p w14:paraId="343AF313">
      <w:pPr>
        <w:autoSpaceDE w:val="0"/>
        <w:autoSpaceDN w:val="0"/>
        <w:spacing w:line="360" w:lineRule="auto"/>
        <w:rPr>
          <w:rFonts w:ascii="方正仿宋_GB2312" w:hAnsi="仿宋" w:eastAsia="方正仿宋_GB2312" w:cs="方正仿宋_GB2312"/>
          <w:b/>
          <w:color w:val="auto"/>
          <w:sz w:val="24"/>
          <w:highlight w:val="none"/>
        </w:rPr>
      </w:pPr>
      <w:r>
        <w:rPr>
          <w:rFonts w:hint="eastAsia" w:ascii="方正仿宋_GB2312" w:hAnsi="仿宋" w:eastAsia="方正仿宋_GB2312" w:cs="方正仿宋_GB2312"/>
          <w:b/>
          <w:color w:val="auto"/>
          <w:sz w:val="24"/>
          <w:highlight w:val="none"/>
        </w:rPr>
        <w:t>附表B:本项目的项目小组人员情况表</w:t>
      </w:r>
      <w:r>
        <w:rPr>
          <w:rFonts w:hint="eastAsia" w:ascii="方正仿宋_GB2312" w:hAnsi="仿宋" w:eastAsia="方正仿宋_GB2312" w:cs="方正仿宋_GB2312"/>
          <w:color w:val="auto"/>
          <w:sz w:val="24"/>
          <w:highlight w:val="none"/>
        </w:rPr>
        <w:t>（按此格式自制）</w:t>
      </w:r>
    </w:p>
    <w:tbl>
      <w:tblPr>
        <w:tblStyle w:val="37"/>
        <w:tblW w:w="0" w:type="auto"/>
        <w:tblInd w:w="108" w:type="dxa"/>
        <w:tblLayout w:type="fixed"/>
        <w:tblCellMar>
          <w:top w:w="0" w:type="dxa"/>
          <w:left w:w="108" w:type="dxa"/>
          <w:bottom w:w="0" w:type="dxa"/>
          <w:right w:w="108" w:type="dxa"/>
        </w:tblCellMar>
      </w:tblPr>
      <w:tblGrid>
        <w:gridCol w:w="420"/>
        <w:gridCol w:w="787"/>
        <w:gridCol w:w="412"/>
        <w:gridCol w:w="586"/>
        <w:gridCol w:w="1035"/>
        <w:gridCol w:w="1080"/>
        <w:gridCol w:w="1080"/>
        <w:gridCol w:w="1260"/>
        <w:gridCol w:w="900"/>
        <w:gridCol w:w="1470"/>
      </w:tblGrid>
      <w:tr w14:paraId="59946FB2">
        <w:tblPrEx>
          <w:tblCellMar>
            <w:top w:w="0" w:type="dxa"/>
            <w:left w:w="108" w:type="dxa"/>
            <w:bottom w:w="0" w:type="dxa"/>
            <w:right w:w="108" w:type="dxa"/>
          </w:tblCellMar>
        </w:tblPrEx>
        <w:tc>
          <w:tcPr>
            <w:tcW w:w="420" w:type="dxa"/>
            <w:tcBorders>
              <w:top w:val="single" w:color="auto" w:sz="6" w:space="0"/>
              <w:left w:val="single" w:color="auto" w:sz="6" w:space="0"/>
              <w:bottom w:val="single" w:color="auto" w:sz="6" w:space="0"/>
              <w:right w:val="single" w:color="auto" w:sz="6" w:space="0"/>
            </w:tcBorders>
            <w:vAlign w:val="center"/>
          </w:tcPr>
          <w:p w14:paraId="0C0D11A0">
            <w:pPr>
              <w:keepNext w:val="0"/>
              <w:keepLines w:val="0"/>
              <w:suppressLineNumbers w:val="0"/>
              <w:autoSpaceDE w:val="0"/>
              <w:autoSpaceDN w:val="0"/>
              <w:spacing w:before="0" w:beforeAutospacing="0" w:after="0" w:afterAutospacing="0" w:line="360" w:lineRule="auto"/>
              <w:ind w:left="0" w:right="0"/>
              <w:jc w:val="center"/>
              <w:rPr>
                <w:rFonts w:hint="default" w:ascii="方正仿宋_GB2312" w:hAnsi="仿宋" w:eastAsia="方正仿宋_GB2312" w:cs="方正仿宋_GB2312"/>
                <w:color w:val="auto"/>
                <w:sz w:val="24"/>
                <w:highlight w:val="none"/>
              </w:rPr>
            </w:pPr>
            <w:r>
              <w:rPr>
                <w:rFonts w:hint="eastAsia" w:ascii="方正仿宋_GB2312" w:hAnsi="仿宋" w:eastAsia="方正仿宋_GB2312" w:cs="方正仿宋_GB2312"/>
                <w:color w:val="auto"/>
                <w:sz w:val="24"/>
                <w:highlight w:val="none"/>
              </w:rPr>
              <w:t>序号</w:t>
            </w:r>
          </w:p>
        </w:tc>
        <w:tc>
          <w:tcPr>
            <w:tcW w:w="787" w:type="dxa"/>
            <w:tcBorders>
              <w:top w:val="single" w:color="auto" w:sz="6" w:space="0"/>
              <w:left w:val="single" w:color="auto" w:sz="6" w:space="0"/>
              <w:bottom w:val="single" w:color="auto" w:sz="6" w:space="0"/>
              <w:right w:val="single" w:color="auto" w:sz="6" w:space="0"/>
            </w:tcBorders>
            <w:vAlign w:val="center"/>
          </w:tcPr>
          <w:p w14:paraId="1A8B1266">
            <w:pPr>
              <w:keepNext w:val="0"/>
              <w:keepLines w:val="0"/>
              <w:suppressLineNumbers w:val="0"/>
              <w:autoSpaceDE w:val="0"/>
              <w:autoSpaceDN w:val="0"/>
              <w:spacing w:before="0" w:beforeAutospacing="0" w:after="0" w:afterAutospacing="0" w:line="360" w:lineRule="auto"/>
              <w:ind w:left="0" w:right="0"/>
              <w:jc w:val="center"/>
              <w:rPr>
                <w:rFonts w:hint="default" w:ascii="方正仿宋_GB2312" w:hAnsi="仿宋" w:eastAsia="方正仿宋_GB2312" w:cs="方正仿宋_GB2312"/>
                <w:color w:val="auto"/>
                <w:sz w:val="24"/>
                <w:highlight w:val="none"/>
              </w:rPr>
            </w:pPr>
            <w:r>
              <w:rPr>
                <w:rFonts w:hint="eastAsia" w:ascii="方正仿宋_GB2312" w:hAnsi="仿宋" w:eastAsia="方正仿宋_GB2312" w:cs="方正仿宋_GB2312"/>
                <w:color w:val="auto"/>
                <w:sz w:val="24"/>
                <w:highlight w:val="none"/>
              </w:rPr>
              <w:t>姓名</w:t>
            </w:r>
          </w:p>
        </w:tc>
        <w:tc>
          <w:tcPr>
            <w:tcW w:w="412" w:type="dxa"/>
            <w:tcBorders>
              <w:top w:val="single" w:color="auto" w:sz="6" w:space="0"/>
              <w:left w:val="single" w:color="auto" w:sz="6" w:space="0"/>
              <w:bottom w:val="single" w:color="auto" w:sz="6" w:space="0"/>
              <w:right w:val="single" w:color="auto" w:sz="6" w:space="0"/>
            </w:tcBorders>
            <w:vAlign w:val="center"/>
          </w:tcPr>
          <w:p w14:paraId="7A13024E">
            <w:pPr>
              <w:keepNext w:val="0"/>
              <w:keepLines w:val="0"/>
              <w:suppressLineNumbers w:val="0"/>
              <w:autoSpaceDE w:val="0"/>
              <w:autoSpaceDN w:val="0"/>
              <w:spacing w:before="0" w:beforeAutospacing="0" w:after="0" w:afterAutospacing="0" w:line="360" w:lineRule="auto"/>
              <w:ind w:left="0" w:right="0"/>
              <w:jc w:val="center"/>
              <w:rPr>
                <w:rFonts w:hint="default" w:ascii="方正仿宋_GB2312" w:hAnsi="仿宋" w:eastAsia="方正仿宋_GB2312" w:cs="方正仿宋_GB2312"/>
                <w:color w:val="auto"/>
                <w:sz w:val="24"/>
                <w:highlight w:val="none"/>
              </w:rPr>
            </w:pPr>
            <w:r>
              <w:rPr>
                <w:rFonts w:hint="eastAsia" w:ascii="方正仿宋_GB2312" w:hAnsi="仿宋" w:eastAsia="方正仿宋_GB2312" w:cs="方正仿宋_GB2312"/>
                <w:color w:val="auto"/>
                <w:sz w:val="24"/>
                <w:highlight w:val="none"/>
              </w:rPr>
              <w:t>性别</w:t>
            </w:r>
          </w:p>
        </w:tc>
        <w:tc>
          <w:tcPr>
            <w:tcW w:w="586" w:type="dxa"/>
            <w:tcBorders>
              <w:top w:val="single" w:color="auto" w:sz="6" w:space="0"/>
              <w:left w:val="single" w:color="auto" w:sz="6" w:space="0"/>
              <w:bottom w:val="single" w:color="auto" w:sz="6" w:space="0"/>
              <w:right w:val="single" w:color="auto" w:sz="6" w:space="0"/>
            </w:tcBorders>
            <w:vAlign w:val="center"/>
          </w:tcPr>
          <w:p w14:paraId="18B330D9">
            <w:pPr>
              <w:keepNext w:val="0"/>
              <w:keepLines w:val="0"/>
              <w:suppressLineNumbers w:val="0"/>
              <w:autoSpaceDE w:val="0"/>
              <w:autoSpaceDN w:val="0"/>
              <w:spacing w:before="0" w:beforeAutospacing="0" w:after="0" w:afterAutospacing="0" w:line="360" w:lineRule="auto"/>
              <w:ind w:left="0" w:right="0"/>
              <w:jc w:val="center"/>
              <w:rPr>
                <w:rFonts w:hint="default" w:ascii="方正仿宋_GB2312" w:hAnsi="仿宋" w:eastAsia="方正仿宋_GB2312" w:cs="方正仿宋_GB2312"/>
                <w:color w:val="auto"/>
                <w:sz w:val="24"/>
                <w:highlight w:val="none"/>
              </w:rPr>
            </w:pPr>
            <w:r>
              <w:rPr>
                <w:rFonts w:hint="eastAsia" w:ascii="方正仿宋_GB2312" w:hAnsi="仿宋" w:eastAsia="方正仿宋_GB2312" w:cs="方正仿宋_GB2312"/>
                <w:color w:val="auto"/>
                <w:sz w:val="24"/>
                <w:highlight w:val="none"/>
              </w:rPr>
              <w:t>年龄</w:t>
            </w:r>
          </w:p>
        </w:tc>
        <w:tc>
          <w:tcPr>
            <w:tcW w:w="1035" w:type="dxa"/>
            <w:tcBorders>
              <w:top w:val="single" w:color="auto" w:sz="6" w:space="0"/>
              <w:left w:val="single" w:color="auto" w:sz="6" w:space="0"/>
              <w:bottom w:val="single" w:color="auto" w:sz="6" w:space="0"/>
              <w:right w:val="single" w:color="auto" w:sz="6" w:space="0"/>
            </w:tcBorders>
            <w:vAlign w:val="center"/>
          </w:tcPr>
          <w:p w14:paraId="3F505C6E">
            <w:pPr>
              <w:keepNext w:val="0"/>
              <w:keepLines w:val="0"/>
              <w:suppressLineNumbers w:val="0"/>
              <w:autoSpaceDE w:val="0"/>
              <w:autoSpaceDN w:val="0"/>
              <w:spacing w:before="0" w:beforeAutospacing="0" w:after="0" w:afterAutospacing="0" w:line="360" w:lineRule="auto"/>
              <w:ind w:left="0" w:right="0"/>
              <w:jc w:val="center"/>
              <w:rPr>
                <w:rFonts w:hint="default" w:ascii="方正仿宋_GB2312" w:hAnsi="仿宋" w:eastAsia="方正仿宋_GB2312" w:cs="方正仿宋_GB2312"/>
                <w:color w:val="auto"/>
                <w:sz w:val="24"/>
                <w:highlight w:val="none"/>
              </w:rPr>
            </w:pPr>
            <w:r>
              <w:rPr>
                <w:rFonts w:hint="eastAsia" w:ascii="方正仿宋_GB2312" w:hAnsi="仿宋" w:eastAsia="方正仿宋_GB2312" w:cs="方正仿宋_GB2312"/>
                <w:color w:val="auto"/>
                <w:sz w:val="24"/>
                <w:highlight w:val="none"/>
              </w:rPr>
              <w:t>学历</w:t>
            </w:r>
          </w:p>
          <w:p w14:paraId="63E85F57">
            <w:pPr>
              <w:keepNext w:val="0"/>
              <w:keepLines w:val="0"/>
              <w:suppressLineNumbers w:val="0"/>
              <w:autoSpaceDE w:val="0"/>
              <w:autoSpaceDN w:val="0"/>
              <w:spacing w:before="0" w:beforeAutospacing="0" w:after="0" w:afterAutospacing="0" w:line="360" w:lineRule="auto"/>
              <w:ind w:left="0" w:right="0"/>
              <w:jc w:val="center"/>
              <w:rPr>
                <w:rFonts w:hint="default" w:ascii="方正仿宋_GB2312" w:hAnsi="仿宋" w:eastAsia="方正仿宋_GB2312" w:cs="方正仿宋_GB2312"/>
                <w:color w:val="auto"/>
                <w:sz w:val="24"/>
                <w:highlight w:val="none"/>
              </w:rPr>
            </w:pPr>
            <w:r>
              <w:rPr>
                <w:rFonts w:hint="eastAsia" w:ascii="方正仿宋_GB2312" w:hAnsi="仿宋" w:eastAsia="方正仿宋_GB2312" w:cs="方正仿宋_GB2312"/>
                <w:color w:val="auto"/>
                <w:sz w:val="24"/>
                <w:highlight w:val="none"/>
              </w:rPr>
              <w:t>(页码)</w:t>
            </w:r>
          </w:p>
        </w:tc>
        <w:tc>
          <w:tcPr>
            <w:tcW w:w="1080" w:type="dxa"/>
            <w:tcBorders>
              <w:top w:val="single" w:color="auto" w:sz="6" w:space="0"/>
              <w:left w:val="single" w:color="auto" w:sz="6" w:space="0"/>
              <w:bottom w:val="single" w:color="auto" w:sz="6" w:space="0"/>
              <w:right w:val="single" w:color="auto" w:sz="6" w:space="0"/>
            </w:tcBorders>
            <w:vAlign w:val="center"/>
          </w:tcPr>
          <w:p w14:paraId="22B2D815">
            <w:pPr>
              <w:keepNext w:val="0"/>
              <w:keepLines w:val="0"/>
              <w:suppressLineNumbers w:val="0"/>
              <w:autoSpaceDE w:val="0"/>
              <w:autoSpaceDN w:val="0"/>
              <w:spacing w:before="0" w:beforeAutospacing="0" w:after="0" w:afterAutospacing="0" w:line="360" w:lineRule="auto"/>
              <w:ind w:left="0" w:right="0"/>
              <w:jc w:val="center"/>
              <w:rPr>
                <w:rFonts w:hint="default" w:ascii="方正仿宋_GB2312" w:hAnsi="仿宋" w:eastAsia="方正仿宋_GB2312" w:cs="方正仿宋_GB2312"/>
                <w:color w:val="auto"/>
                <w:sz w:val="24"/>
                <w:highlight w:val="none"/>
              </w:rPr>
            </w:pPr>
            <w:r>
              <w:rPr>
                <w:rFonts w:hint="eastAsia" w:ascii="方正仿宋_GB2312" w:hAnsi="仿宋" w:eastAsia="方正仿宋_GB2312" w:cs="方正仿宋_GB2312"/>
                <w:color w:val="auto"/>
                <w:sz w:val="24"/>
                <w:highlight w:val="none"/>
              </w:rPr>
              <w:t>专业</w:t>
            </w:r>
          </w:p>
          <w:p w14:paraId="03423281">
            <w:pPr>
              <w:keepNext w:val="0"/>
              <w:keepLines w:val="0"/>
              <w:suppressLineNumbers w:val="0"/>
              <w:autoSpaceDE w:val="0"/>
              <w:autoSpaceDN w:val="0"/>
              <w:spacing w:before="0" w:beforeAutospacing="0" w:after="0" w:afterAutospacing="0" w:line="360" w:lineRule="auto"/>
              <w:ind w:left="0" w:right="0"/>
              <w:jc w:val="center"/>
              <w:rPr>
                <w:rFonts w:hint="default" w:ascii="方正仿宋_GB2312" w:hAnsi="仿宋" w:eastAsia="方正仿宋_GB2312" w:cs="方正仿宋_GB2312"/>
                <w:color w:val="auto"/>
                <w:sz w:val="24"/>
                <w:highlight w:val="none"/>
              </w:rPr>
            </w:pPr>
            <w:r>
              <w:rPr>
                <w:rFonts w:hint="eastAsia" w:ascii="方正仿宋_GB2312" w:hAnsi="仿宋" w:eastAsia="方正仿宋_GB2312" w:cs="方正仿宋_GB2312"/>
                <w:color w:val="auto"/>
                <w:sz w:val="24"/>
                <w:highlight w:val="none"/>
              </w:rPr>
              <w:t>(页码)</w:t>
            </w:r>
          </w:p>
        </w:tc>
        <w:tc>
          <w:tcPr>
            <w:tcW w:w="1080" w:type="dxa"/>
            <w:tcBorders>
              <w:top w:val="single" w:color="auto" w:sz="6" w:space="0"/>
              <w:left w:val="single" w:color="auto" w:sz="6" w:space="0"/>
              <w:bottom w:val="single" w:color="auto" w:sz="6" w:space="0"/>
              <w:right w:val="single" w:color="auto" w:sz="6" w:space="0"/>
            </w:tcBorders>
            <w:vAlign w:val="center"/>
          </w:tcPr>
          <w:p w14:paraId="41E3EDF1">
            <w:pPr>
              <w:keepNext w:val="0"/>
              <w:keepLines w:val="0"/>
              <w:suppressLineNumbers w:val="0"/>
              <w:autoSpaceDE w:val="0"/>
              <w:autoSpaceDN w:val="0"/>
              <w:spacing w:before="0" w:beforeAutospacing="0" w:after="0" w:afterAutospacing="0" w:line="360" w:lineRule="auto"/>
              <w:ind w:left="0" w:right="0"/>
              <w:jc w:val="center"/>
              <w:rPr>
                <w:rFonts w:hint="default" w:ascii="方正仿宋_GB2312" w:hAnsi="仿宋" w:eastAsia="方正仿宋_GB2312" w:cs="方正仿宋_GB2312"/>
                <w:color w:val="auto"/>
                <w:sz w:val="24"/>
                <w:highlight w:val="none"/>
              </w:rPr>
            </w:pPr>
            <w:r>
              <w:rPr>
                <w:rFonts w:hint="eastAsia" w:ascii="方正仿宋_GB2312" w:hAnsi="仿宋" w:eastAsia="方正仿宋_GB2312" w:cs="方正仿宋_GB2312"/>
                <w:color w:val="auto"/>
                <w:sz w:val="24"/>
                <w:highlight w:val="none"/>
              </w:rPr>
              <w:t>职称</w:t>
            </w:r>
          </w:p>
          <w:p w14:paraId="3B7DE3FC">
            <w:pPr>
              <w:keepNext w:val="0"/>
              <w:keepLines w:val="0"/>
              <w:suppressLineNumbers w:val="0"/>
              <w:autoSpaceDE w:val="0"/>
              <w:autoSpaceDN w:val="0"/>
              <w:spacing w:before="0" w:beforeAutospacing="0" w:after="0" w:afterAutospacing="0" w:line="360" w:lineRule="auto"/>
              <w:ind w:left="0" w:right="0"/>
              <w:jc w:val="center"/>
              <w:rPr>
                <w:rFonts w:hint="default" w:ascii="方正仿宋_GB2312" w:hAnsi="仿宋" w:eastAsia="方正仿宋_GB2312" w:cs="方正仿宋_GB2312"/>
                <w:color w:val="auto"/>
                <w:sz w:val="24"/>
                <w:highlight w:val="none"/>
              </w:rPr>
            </w:pPr>
            <w:r>
              <w:rPr>
                <w:rFonts w:hint="eastAsia" w:ascii="方正仿宋_GB2312" w:hAnsi="仿宋" w:eastAsia="方正仿宋_GB2312" w:cs="方正仿宋_GB2312"/>
                <w:color w:val="auto"/>
                <w:sz w:val="24"/>
                <w:highlight w:val="none"/>
              </w:rPr>
              <w:t>(页码)</w:t>
            </w:r>
          </w:p>
        </w:tc>
        <w:tc>
          <w:tcPr>
            <w:tcW w:w="1260" w:type="dxa"/>
            <w:tcBorders>
              <w:top w:val="single" w:color="auto" w:sz="6" w:space="0"/>
              <w:left w:val="single" w:color="auto" w:sz="6" w:space="0"/>
              <w:bottom w:val="single" w:color="auto" w:sz="6" w:space="0"/>
              <w:right w:val="single" w:color="auto" w:sz="6" w:space="0"/>
            </w:tcBorders>
            <w:vAlign w:val="center"/>
          </w:tcPr>
          <w:p w14:paraId="66E6286A">
            <w:pPr>
              <w:keepNext w:val="0"/>
              <w:keepLines w:val="0"/>
              <w:suppressLineNumbers w:val="0"/>
              <w:autoSpaceDE w:val="0"/>
              <w:autoSpaceDN w:val="0"/>
              <w:spacing w:before="0" w:beforeAutospacing="0" w:after="0" w:afterAutospacing="0" w:line="360" w:lineRule="auto"/>
              <w:ind w:left="0" w:right="0"/>
              <w:jc w:val="center"/>
              <w:rPr>
                <w:rFonts w:hint="default" w:ascii="方正仿宋_GB2312" w:hAnsi="仿宋" w:eastAsia="方正仿宋_GB2312" w:cs="方正仿宋_GB2312"/>
                <w:color w:val="auto"/>
                <w:sz w:val="24"/>
                <w:highlight w:val="none"/>
              </w:rPr>
            </w:pPr>
            <w:r>
              <w:rPr>
                <w:rFonts w:hint="eastAsia" w:ascii="方正仿宋_GB2312" w:hAnsi="仿宋" w:eastAsia="方正仿宋_GB2312" w:cs="方正仿宋_GB2312"/>
                <w:color w:val="auto"/>
                <w:sz w:val="24"/>
                <w:highlight w:val="none"/>
              </w:rPr>
              <w:t>本项目中的职责</w:t>
            </w:r>
          </w:p>
        </w:tc>
        <w:tc>
          <w:tcPr>
            <w:tcW w:w="900" w:type="dxa"/>
            <w:tcBorders>
              <w:top w:val="single" w:color="auto" w:sz="6" w:space="0"/>
              <w:left w:val="single" w:color="auto" w:sz="6" w:space="0"/>
              <w:bottom w:val="single" w:color="auto" w:sz="6" w:space="0"/>
              <w:right w:val="single" w:color="auto" w:sz="6" w:space="0"/>
            </w:tcBorders>
            <w:vAlign w:val="center"/>
          </w:tcPr>
          <w:p w14:paraId="5EE6E862">
            <w:pPr>
              <w:keepNext w:val="0"/>
              <w:keepLines w:val="0"/>
              <w:suppressLineNumbers w:val="0"/>
              <w:autoSpaceDE w:val="0"/>
              <w:autoSpaceDN w:val="0"/>
              <w:spacing w:before="0" w:beforeAutospacing="0" w:after="0" w:afterAutospacing="0" w:line="360" w:lineRule="auto"/>
              <w:ind w:left="0" w:right="0"/>
              <w:jc w:val="center"/>
              <w:rPr>
                <w:rFonts w:hint="default" w:ascii="方正仿宋_GB2312" w:hAnsi="仿宋" w:eastAsia="方正仿宋_GB2312" w:cs="方正仿宋_GB2312"/>
                <w:color w:val="auto"/>
                <w:sz w:val="24"/>
                <w:highlight w:val="none"/>
              </w:rPr>
            </w:pPr>
            <w:r>
              <w:rPr>
                <w:rFonts w:hint="eastAsia" w:ascii="方正仿宋_GB2312" w:hAnsi="仿宋" w:eastAsia="方正仿宋_GB2312" w:cs="方正仿宋_GB2312"/>
                <w:color w:val="auto"/>
                <w:sz w:val="24"/>
                <w:highlight w:val="none"/>
              </w:rPr>
              <w:t>项目经历</w:t>
            </w:r>
          </w:p>
        </w:tc>
        <w:tc>
          <w:tcPr>
            <w:tcW w:w="1470" w:type="dxa"/>
            <w:tcBorders>
              <w:top w:val="single" w:color="auto" w:sz="6" w:space="0"/>
              <w:left w:val="single" w:color="auto" w:sz="6" w:space="0"/>
              <w:bottom w:val="single" w:color="auto" w:sz="6" w:space="0"/>
              <w:right w:val="single" w:color="auto" w:sz="6" w:space="0"/>
            </w:tcBorders>
            <w:vAlign w:val="center"/>
          </w:tcPr>
          <w:p w14:paraId="6627A637">
            <w:pPr>
              <w:keepNext w:val="0"/>
              <w:keepLines w:val="0"/>
              <w:suppressLineNumbers w:val="0"/>
              <w:autoSpaceDE w:val="0"/>
              <w:autoSpaceDN w:val="0"/>
              <w:spacing w:before="0" w:beforeAutospacing="0" w:after="0" w:afterAutospacing="0" w:line="360" w:lineRule="auto"/>
              <w:ind w:left="0" w:right="0"/>
              <w:jc w:val="center"/>
              <w:rPr>
                <w:rFonts w:hint="default" w:ascii="方正仿宋_GB2312" w:hAnsi="仿宋" w:eastAsia="方正仿宋_GB2312" w:cs="方正仿宋_GB2312"/>
                <w:color w:val="auto"/>
                <w:sz w:val="24"/>
                <w:highlight w:val="none"/>
              </w:rPr>
            </w:pPr>
            <w:r>
              <w:rPr>
                <w:rFonts w:hint="eastAsia" w:ascii="方正仿宋_GB2312" w:hAnsi="仿宋" w:eastAsia="方正仿宋_GB2312" w:cs="方正仿宋_GB2312"/>
                <w:color w:val="auto"/>
                <w:sz w:val="24"/>
                <w:highlight w:val="none"/>
              </w:rPr>
              <w:t>参与本项目的到位情况</w:t>
            </w:r>
          </w:p>
        </w:tc>
      </w:tr>
      <w:tr w14:paraId="22E7110E">
        <w:tblPrEx>
          <w:tblCellMar>
            <w:top w:w="0" w:type="dxa"/>
            <w:left w:w="108" w:type="dxa"/>
            <w:bottom w:w="0" w:type="dxa"/>
            <w:right w:w="108" w:type="dxa"/>
          </w:tblCellMar>
        </w:tblPrEx>
        <w:trPr>
          <w:trHeight w:val="479" w:hRule="atLeast"/>
        </w:trPr>
        <w:tc>
          <w:tcPr>
            <w:tcW w:w="420" w:type="dxa"/>
            <w:tcBorders>
              <w:top w:val="single" w:color="auto" w:sz="6" w:space="0"/>
              <w:left w:val="single" w:color="auto" w:sz="6" w:space="0"/>
              <w:bottom w:val="single" w:color="auto" w:sz="6" w:space="0"/>
              <w:right w:val="single" w:color="auto" w:sz="6" w:space="0"/>
            </w:tcBorders>
          </w:tcPr>
          <w:p w14:paraId="42120A06">
            <w:pPr>
              <w:keepNext w:val="0"/>
              <w:keepLines w:val="0"/>
              <w:suppressLineNumbers w:val="0"/>
              <w:autoSpaceDE w:val="0"/>
              <w:autoSpaceDN w:val="0"/>
              <w:spacing w:before="0" w:beforeAutospacing="0" w:after="0" w:afterAutospacing="0" w:line="360" w:lineRule="auto"/>
              <w:ind w:left="0" w:right="0"/>
              <w:jc w:val="center"/>
              <w:rPr>
                <w:rFonts w:hint="default" w:ascii="方正仿宋_GB2312" w:hAnsi="仿宋" w:eastAsia="方正仿宋_GB2312" w:cs="方正仿宋_GB2312"/>
                <w:color w:val="auto"/>
                <w:sz w:val="24"/>
                <w:highlight w:val="none"/>
              </w:rPr>
            </w:pPr>
          </w:p>
        </w:tc>
        <w:tc>
          <w:tcPr>
            <w:tcW w:w="787" w:type="dxa"/>
            <w:tcBorders>
              <w:top w:val="single" w:color="auto" w:sz="6" w:space="0"/>
              <w:left w:val="single" w:color="auto" w:sz="6" w:space="0"/>
              <w:bottom w:val="single" w:color="auto" w:sz="6" w:space="0"/>
              <w:right w:val="single" w:color="auto" w:sz="6" w:space="0"/>
            </w:tcBorders>
          </w:tcPr>
          <w:p w14:paraId="7E2411DB">
            <w:pPr>
              <w:keepNext w:val="0"/>
              <w:keepLines w:val="0"/>
              <w:suppressLineNumbers w:val="0"/>
              <w:autoSpaceDE w:val="0"/>
              <w:autoSpaceDN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p>
        </w:tc>
        <w:tc>
          <w:tcPr>
            <w:tcW w:w="412" w:type="dxa"/>
            <w:tcBorders>
              <w:top w:val="single" w:color="auto" w:sz="6" w:space="0"/>
              <w:left w:val="single" w:color="auto" w:sz="6" w:space="0"/>
              <w:bottom w:val="single" w:color="auto" w:sz="6" w:space="0"/>
              <w:right w:val="single" w:color="auto" w:sz="6" w:space="0"/>
            </w:tcBorders>
          </w:tcPr>
          <w:p w14:paraId="69A64F70">
            <w:pPr>
              <w:keepNext w:val="0"/>
              <w:keepLines w:val="0"/>
              <w:suppressLineNumbers w:val="0"/>
              <w:autoSpaceDE w:val="0"/>
              <w:autoSpaceDN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p>
        </w:tc>
        <w:tc>
          <w:tcPr>
            <w:tcW w:w="586" w:type="dxa"/>
            <w:tcBorders>
              <w:top w:val="single" w:color="auto" w:sz="6" w:space="0"/>
              <w:left w:val="single" w:color="auto" w:sz="6" w:space="0"/>
              <w:bottom w:val="single" w:color="auto" w:sz="6" w:space="0"/>
              <w:right w:val="single" w:color="auto" w:sz="6" w:space="0"/>
            </w:tcBorders>
          </w:tcPr>
          <w:p w14:paraId="3C28790B">
            <w:pPr>
              <w:keepNext w:val="0"/>
              <w:keepLines w:val="0"/>
              <w:suppressLineNumbers w:val="0"/>
              <w:autoSpaceDE w:val="0"/>
              <w:autoSpaceDN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p>
        </w:tc>
        <w:tc>
          <w:tcPr>
            <w:tcW w:w="1035" w:type="dxa"/>
            <w:tcBorders>
              <w:top w:val="single" w:color="auto" w:sz="6" w:space="0"/>
              <w:left w:val="single" w:color="auto" w:sz="6" w:space="0"/>
              <w:bottom w:val="single" w:color="auto" w:sz="6" w:space="0"/>
              <w:right w:val="single" w:color="auto" w:sz="6" w:space="0"/>
            </w:tcBorders>
          </w:tcPr>
          <w:p w14:paraId="7CDE6F2F">
            <w:pPr>
              <w:keepNext w:val="0"/>
              <w:keepLines w:val="0"/>
              <w:suppressLineNumbers w:val="0"/>
              <w:autoSpaceDE w:val="0"/>
              <w:autoSpaceDN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p>
        </w:tc>
        <w:tc>
          <w:tcPr>
            <w:tcW w:w="1080" w:type="dxa"/>
            <w:tcBorders>
              <w:top w:val="single" w:color="auto" w:sz="6" w:space="0"/>
              <w:left w:val="single" w:color="auto" w:sz="6" w:space="0"/>
              <w:bottom w:val="single" w:color="auto" w:sz="6" w:space="0"/>
              <w:right w:val="single" w:color="auto" w:sz="6" w:space="0"/>
            </w:tcBorders>
          </w:tcPr>
          <w:p w14:paraId="6309A7DE">
            <w:pPr>
              <w:keepNext w:val="0"/>
              <w:keepLines w:val="0"/>
              <w:suppressLineNumbers w:val="0"/>
              <w:autoSpaceDE w:val="0"/>
              <w:autoSpaceDN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p>
        </w:tc>
        <w:tc>
          <w:tcPr>
            <w:tcW w:w="1080" w:type="dxa"/>
            <w:tcBorders>
              <w:top w:val="single" w:color="auto" w:sz="6" w:space="0"/>
              <w:left w:val="single" w:color="auto" w:sz="6" w:space="0"/>
              <w:bottom w:val="single" w:color="auto" w:sz="6" w:space="0"/>
              <w:right w:val="single" w:color="auto" w:sz="6" w:space="0"/>
            </w:tcBorders>
          </w:tcPr>
          <w:p w14:paraId="60D1A7A1">
            <w:pPr>
              <w:keepNext w:val="0"/>
              <w:keepLines w:val="0"/>
              <w:suppressLineNumbers w:val="0"/>
              <w:autoSpaceDE w:val="0"/>
              <w:autoSpaceDN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p>
        </w:tc>
        <w:tc>
          <w:tcPr>
            <w:tcW w:w="1260" w:type="dxa"/>
            <w:tcBorders>
              <w:top w:val="single" w:color="auto" w:sz="6" w:space="0"/>
              <w:left w:val="single" w:color="auto" w:sz="6" w:space="0"/>
              <w:bottom w:val="single" w:color="auto" w:sz="6" w:space="0"/>
              <w:right w:val="single" w:color="auto" w:sz="6" w:space="0"/>
            </w:tcBorders>
          </w:tcPr>
          <w:p w14:paraId="10B93479">
            <w:pPr>
              <w:keepNext w:val="0"/>
              <w:keepLines w:val="0"/>
              <w:suppressLineNumbers w:val="0"/>
              <w:autoSpaceDE w:val="0"/>
              <w:autoSpaceDN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p>
        </w:tc>
        <w:tc>
          <w:tcPr>
            <w:tcW w:w="900" w:type="dxa"/>
            <w:tcBorders>
              <w:top w:val="single" w:color="auto" w:sz="6" w:space="0"/>
              <w:left w:val="single" w:color="auto" w:sz="6" w:space="0"/>
              <w:bottom w:val="single" w:color="auto" w:sz="6" w:space="0"/>
              <w:right w:val="single" w:color="auto" w:sz="6" w:space="0"/>
            </w:tcBorders>
          </w:tcPr>
          <w:p w14:paraId="16D54588">
            <w:pPr>
              <w:keepNext w:val="0"/>
              <w:keepLines w:val="0"/>
              <w:suppressLineNumbers w:val="0"/>
              <w:autoSpaceDE w:val="0"/>
              <w:autoSpaceDN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p>
        </w:tc>
        <w:tc>
          <w:tcPr>
            <w:tcW w:w="1470" w:type="dxa"/>
            <w:tcBorders>
              <w:top w:val="single" w:color="auto" w:sz="6" w:space="0"/>
              <w:left w:val="single" w:color="auto" w:sz="6" w:space="0"/>
              <w:bottom w:val="single" w:color="auto" w:sz="6" w:space="0"/>
              <w:right w:val="single" w:color="auto" w:sz="6" w:space="0"/>
            </w:tcBorders>
          </w:tcPr>
          <w:p w14:paraId="62901F98">
            <w:pPr>
              <w:keepNext w:val="0"/>
              <w:keepLines w:val="0"/>
              <w:suppressLineNumbers w:val="0"/>
              <w:autoSpaceDE w:val="0"/>
              <w:autoSpaceDN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p>
        </w:tc>
      </w:tr>
      <w:tr w14:paraId="191AA765">
        <w:tblPrEx>
          <w:tblCellMar>
            <w:top w:w="0" w:type="dxa"/>
            <w:left w:w="108" w:type="dxa"/>
            <w:bottom w:w="0" w:type="dxa"/>
            <w:right w:w="108" w:type="dxa"/>
          </w:tblCellMar>
        </w:tblPrEx>
        <w:trPr>
          <w:trHeight w:val="473" w:hRule="atLeast"/>
        </w:trPr>
        <w:tc>
          <w:tcPr>
            <w:tcW w:w="420" w:type="dxa"/>
            <w:tcBorders>
              <w:top w:val="single" w:color="auto" w:sz="6" w:space="0"/>
              <w:left w:val="single" w:color="auto" w:sz="6" w:space="0"/>
              <w:bottom w:val="single" w:color="auto" w:sz="6" w:space="0"/>
              <w:right w:val="single" w:color="auto" w:sz="6" w:space="0"/>
            </w:tcBorders>
          </w:tcPr>
          <w:p w14:paraId="33D65B4A">
            <w:pPr>
              <w:keepNext w:val="0"/>
              <w:keepLines w:val="0"/>
              <w:suppressLineNumbers w:val="0"/>
              <w:autoSpaceDE w:val="0"/>
              <w:autoSpaceDN w:val="0"/>
              <w:spacing w:before="0" w:beforeAutospacing="0" w:after="0" w:afterAutospacing="0" w:line="360" w:lineRule="auto"/>
              <w:ind w:left="0" w:right="0"/>
              <w:jc w:val="center"/>
              <w:rPr>
                <w:rFonts w:hint="default" w:ascii="方正仿宋_GB2312" w:hAnsi="仿宋" w:eastAsia="方正仿宋_GB2312" w:cs="方正仿宋_GB2312"/>
                <w:color w:val="auto"/>
                <w:sz w:val="24"/>
                <w:highlight w:val="none"/>
              </w:rPr>
            </w:pPr>
          </w:p>
        </w:tc>
        <w:tc>
          <w:tcPr>
            <w:tcW w:w="787" w:type="dxa"/>
            <w:tcBorders>
              <w:top w:val="single" w:color="auto" w:sz="6" w:space="0"/>
              <w:left w:val="single" w:color="auto" w:sz="6" w:space="0"/>
              <w:bottom w:val="single" w:color="auto" w:sz="6" w:space="0"/>
              <w:right w:val="single" w:color="auto" w:sz="6" w:space="0"/>
            </w:tcBorders>
          </w:tcPr>
          <w:p w14:paraId="089F752A">
            <w:pPr>
              <w:keepNext w:val="0"/>
              <w:keepLines w:val="0"/>
              <w:suppressLineNumbers w:val="0"/>
              <w:autoSpaceDE w:val="0"/>
              <w:autoSpaceDN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p>
        </w:tc>
        <w:tc>
          <w:tcPr>
            <w:tcW w:w="412" w:type="dxa"/>
            <w:tcBorders>
              <w:top w:val="single" w:color="auto" w:sz="6" w:space="0"/>
              <w:left w:val="single" w:color="auto" w:sz="6" w:space="0"/>
              <w:bottom w:val="single" w:color="auto" w:sz="6" w:space="0"/>
              <w:right w:val="single" w:color="auto" w:sz="6" w:space="0"/>
            </w:tcBorders>
          </w:tcPr>
          <w:p w14:paraId="5A7EA588">
            <w:pPr>
              <w:keepNext w:val="0"/>
              <w:keepLines w:val="0"/>
              <w:suppressLineNumbers w:val="0"/>
              <w:autoSpaceDE w:val="0"/>
              <w:autoSpaceDN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p>
        </w:tc>
        <w:tc>
          <w:tcPr>
            <w:tcW w:w="586" w:type="dxa"/>
            <w:tcBorders>
              <w:top w:val="single" w:color="auto" w:sz="6" w:space="0"/>
              <w:left w:val="single" w:color="auto" w:sz="6" w:space="0"/>
              <w:bottom w:val="single" w:color="auto" w:sz="6" w:space="0"/>
              <w:right w:val="single" w:color="auto" w:sz="6" w:space="0"/>
            </w:tcBorders>
          </w:tcPr>
          <w:p w14:paraId="48615BDE">
            <w:pPr>
              <w:keepNext w:val="0"/>
              <w:keepLines w:val="0"/>
              <w:suppressLineNumbers w:val="0"/>
              <w:autoSpaceDE w:val="0"/>
              <w:autoSpaceDN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p>
        </w:tc>
        <w:tc>
          <w:tcPr>
            <w:tcW w:w="1035" w:type="dxa"/>
            <w:tcBorders>
              <w:top w:val="single" w:color="auto" w:sz="6" w:space="0"/>
              <w:left w:val="single" w:color="auto" w:sz="6" w:space="0"/>
              <w:bottom w:val="single" w:color="auto" w:sz="6" w:space="0"/>
              <w:right w:val="single" w:color="auto" w:sz="6" w:space="0"/>
            </w:tcBorders>
          </w:tcPr>
          <w:p w14:paraId="58732FCE">
            <w:pPr>
              <w:keepNext w:val="0"/>
              <w:keepLines w:val="0"/>
              <w:suppressLineNumbers w:val="0"/>
              <w:autoSpaceDE w:val="0"/>
              <w:autoSpaceDN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p>
        </w:tc>
        <w:tc>
          <w:tcPr>
            <w:tcW w:w="1080" w:type="dxa"/>
            <w:tcBorders>
              <w:top w:val="single" w:color="auto" w:sz="6" w:space="0"/>
              <w:left w:val="single" w:color="auto" w:sz="6" w:space="0"/>
              <w:bottom w:val="single" w:color="auto" w:sz="6" w:space="0"/>
              <w:right w:val="single" w:color="auto" w:sz="6" w:space="0"/>
            </w:tcBorders>
          </w:tcPr>
          <w:p w14:paraId="0F368A22">
            <w:pPr>
              <w:keepNext w:val="0"/>
              <w:keepLines w:val="0"/>
              <w:suppressLineNumbers w:val="0"/>
              <w:autoSpaceDE w:val="0"/>
              <w:autoSpaceDN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p>
        </w:tc>
        <w:tc>
          <w:tcPr>
            <w:tcW w:w="1080" w:type="dxa"/>
            <w:tcBorders>
              <w:top w:val="single" w:color="auto" w:sz="6" w:space="0"/>
              <w:left w:val="single" w:color="auto" w:sz="6" w:space="0"/>
              <w:bottom w:val="single" w:color="auto" w:sz="6" w:space="0"/>
              <w:right w:val="single" w:color="auto" w:sz="6" w:space="0"/>
            </w:tcBorders>
          </w:tcPr>
          <w:p w14:paraId="65269EF3">
            <w:pPr>
              <w:keepNext w:val="0"/>
              <w:keepLines w:val="0"/>
              <w:suppressLineNumbers w:val="0"/>
              <w:autoSpaceDE w:val="0"/>
              <w:autoSpaceDN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p>
        </w:tc>
        <w:tc>
          <w:tcPr>
            <w:tcW w:w="1260" w:type="dxa"/>
            <w:tcBorders>
              <w:top w:val="single" w:color="auto" w:sz="6" w:space="0"/>
              <w:left w:val="single" w:color="auto" w:sz="6" w:space="0"/>
              <w:bottom w:val="single" w:color="auto" w:sz="6" w:space="0"/>
              <w:right w:val="single" w:color="auto" w:sz="6" w:space="0"/>
            </w:tcBorders>
          </w:tcPr>
          <w:p w14:paraId="5F09DBF8">
            <w:pPr>
              <w:keepNext w:val="0"/>
              <w:keepLines w:val="0"/>
              <w:suppressLineNumbers w:val="0"/>
              <w:autoSpaceDE w:val="0"/>
              <w:autoSpaceDN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p>
        </w:tc>
        <w:tc>
          <w:tcPr>
            <w:tcW w:w="900" w:type="dxa"/>
            <w:tcBorders>
              <w:top w:val="single" w:color="auto" w:sz="6" w:space="0"/>
              <w:left w:val="single" w:color="auto" w:sz="6" w:space="0"/>
              <w:bottom w:val="single" w:color="auto" w:sz="6" w:space="0"/>
              <w:right w:val="single" w:color="auto" w:sz="6" w:space="0"/>
            </w:tcBorders>
          </w:tcPr>
          <w:p w14:paraId="552D6916">
            <w:pPr>
              <w:keepNext w:val="0"/>
              <w:keepLines w:val="0"/>
              <w:suppressLineNumbers w:val="0"/>
              <w:autoSpaceDE w:val="0"/>
              <w:autoSpaceDN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p>
        </w:tc>
        <w:tc>
          <w:tcPr>
            <w:tcW w:w="1470" w:type="dxa"/>
            <w:tcBorders>
              <w:top w:val="single" w:color="auto" w:sz="6" w:space="0"/>
              <w:left w:val="single" w:color="auto" w:sz="6" w:space="0"/>
              <w:bottom w:val="single" w:color="auto" w:sz="6" w:space="0"/>
              <w:right w:val="single" w:color="auto" w:sz="6" w:space="0"/>
            </w:tcBorders>
          </w:tcPr>
          <w:p w14:paraId="1ED166D9">
            <w:pPr>
              <w:keepNext w:val="0"/>
              <w:keepLines w:val="0"/>
              <w:suppressLineNumbers w:val="0"/>
              <w:autoSpaceDE w:val="0"/>
              <w:autoSpaceDN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p>
        </w:tc>
      </w:tr>
    </w:tbl>
    <w:p w14:paraId="7C71BC8B">
      <w:pPr>
        <w:spacing w:line="360" w:lineRule="auto"/>
        <w:rPr>
          <w:rFonts w:ascii="方正仿宋_GB2312" w:hAnsi="仿宋" w:eastAsia="方正仿宋_GB2312" w:cs="方正仿宋_GB2312"/>
          <w:b/>
          <w:bCs/>
          <w:color w:val="auto"/>
          <w:sz w:val="24"/>
          <w:highlight w:val="none"/>
        </w:rPr>
      </w:pPr>
      <w:r>
        <w:rPr>
          <w:rFonts w:hint="eastAsia" w:ascii="方正仿宋_GB2312" w:hAnsi="仿宋" w:eastAsia="方正仿宋_GB2312" w:cs="方正仿宋_GB2312"/>
          <w:b/>
          <w:color w:val="auto"/>
          <w:sz w:val="24"/>
          <w:highlight w:val="none"/>
        </w:rPr>
        <w:t>注：投标人可按上述的格式自行编制，须随表提交相应的证书复印件并注明所在投标技术文件页码。</w:t>
      </w:r>
    </w:p>
    <w:p w14:paraId="41C80164">
      <w:pPr>
        <w:snapToGrid w:val="0"/>
        <w:spacing w:line="360" w:lineRule="auto"/>
        <w:ind w:firstLine="4320" w:firstLineChars="1800"/>
        <w:rPr>
          <w:rFonts w:hint="eastAsia" w:ascii="方正仿宋_GB2312" w:hAnsi="仿宋" w:eastAsia="方正仿宋_GB2312" w:cs="方正仿宋_GB2312"/>
          <w:color w:val="auto"/>
          <w:kern w:val="0"/>
          <w:sz w:val="24"/>
          <w:highlight w:val="none"/>
          <w:lang w:val="zh-CN"/>
        </w:rPr>
      </w:pPr>
    </w:p>
    <w:p w14:paraId="0BEB2451">
      <w:pPr>
        <w:snapToGrid w:val="0"/>
        <w:spacing w:line="360" w:lineRule="auto"/>
        <w:ind w:firstLine="6720" w:firstLineChars="2800"/>
        <w:rPr>
          <w:rFonts w:ascii="方正仿宋_GB2312" w:hAnsi="仿宋" w:eastAsia="方正仿宋_GB2312" w:cs="方正仿宋_GB2312"/>
          <w:color w:val="auto"/>
          <w:kern w:val="0"/>
          <w:sz w:val="24"/>
          <w:highlight w:val="none"/>
        </w:rPr>
      </w:pPr>
      <w:r>
        <w:rPr>
          <w:rFonts w:hint="eastAsia" w:ascii="方正仿宋_GB2312" w:hAnsi="仿宋" w:eastAsia="方正仿宋_GB2312" w:cs="方正仿宋_GB2312"/>
          <w:color w:val="auto"/>
          <w:kern w:val="0"/>
          <w:sz w:val="24"/>
          <w:highlight w:val="none"/>
          <w:lang w:val="zh-CN"/>
        </w:rPr>
        <w:t>投标人名称(电子签章)：</w:t>
      </w:r>
    </w:p>
    <w:p w14:paraId="58FCB38D">
      <w:pPr>
        <w:autoSpaceDE w:val="0"/>
        <w:autoSpaceDN w:val="0"/>
        <w:spacing w:line="360" w:lineRule="auto"/>
        <w:jc w:val="right"/>
        <w:rPr>
          <w:rFonts w:ascii="宋体" w:hAnsi="宋体"/>
          <w:color w:val="auto"/>
          <w:sz w:val="24"/>
          <w:highlight w:val="none"/>
        </w:rPr>
      </w:pPr>
      <w:r>
        <w:rPr>
          <w:rFonts w:hint="eastAsia" w:ascii="方正仿宋_GB2312" w:hAnsi="仿宋" w:eastAsia="方正仿宋_GB2312" w:cs="方正仿宋_GB2312"/>
          <w:color w:val="auto"/>
          <w:kern w:val="0"/>
          <w:sz w:val="24"/>
          <w:highlight w:val="none"/>
          <w:lang w:val="zh-CN"/>
        </w:rPr>
        <w:t>日期：  年  月   日</w:t>
      </w:r>
      <w:r>
        <w:rPr>
          <w:rFonts w:hint="eastAsia" w:ascii="宋体" w:hAnsi="宋体"/>
          <w:b/>
          <w:color w:val="auto"/>
          <w:sz w:val="24"/>
          <w:highlight w:val="none"/>
        </w:rPr>
        <w:br w:type="page"/>
      </w:r>
    </w:p>
    <w:p w14:paraId="793EACD0">
      <w:pPr>
        <w:snapToGrid w:val="0"/>
        <w:spacing w:before="165" w:beforeLines="50" w:after="50"/>
        <w:ind w:left="142"/>
        <w:jc w:val="center"/>
        <w:rPr>
          <w:rFonts w:ascii="宋体" w:hAnsi="宋体"/>
          <w:b/>
          <w:color w:val="auto"/>
          <w:sz w:val="32"/>
          <w:szCs w:val="32"/>
          <w:highlight w:val="none"/>
        </w:rPr>
      </w:pPr>
      <w:r>
        <w:rPr>
          <w:rFonts w:hint="eastAsia" w:ascii="宋体" w:hAnsi="宋体"/>
          <w:b/>
          <w:color w:val="auto"/>
          <w:sz w:val="32"/>
          <w:szCs w:val="32"/>
          <w:highlight w:val="none"/>
        </w:rPr>
        <w:t>五、投标人对项目的合理化建议和改进措施</w:t>
      </w:r>
    </w:p>
    <w:p w14:paraId="75527797">
      <w:pPr>
        <w:spacing w:line="360" w:lineRule="auto"/>
        <w:ind w:firstLine="4048" w:firstLineChars="1687"/>
        <w:rPr>
          <w:rFonts w:ascii="方正仿宋_GB2312" w:hAnsi="仿宋" w:eastAsia="方正仿宋_GB2312" w:cs="方正仿宋_GB2312"/>
          <w:color w:val="auto"/>
          <w:sz w:val="24"/>
          <w:highlight w:val="none"/>
        </w:rPr>
      </w:pPr>
      <w:r>
        <w:rPr>
          <w:rFonts w:hint="eastAsia" w:ascii="方正仿宋_GB2312" w:hAnsi="仿宋" w:eastAsia="方正仿宋_GB2312" w:cs="方正仿宋_GB2312"/>
          <w:color w:val="auto"/>
          <w:sz w:val="24"/>
          <w:highlight w:val="none"/>
        </w:rPr>
        <w:t>（格式自拟）</w:t>
      </w:r>
    </w:p>
    <w:p w14:paraId="7B25CA22">
      <w:pPr>
        <w:snapToGrid w:val="0"/>
        <w:spacing w:line="360" w:lineRule="auto"/>
        <w:ind w:firstLine="4935" w:firstLineChars="2350"/>
        <w:rPr>
          <w:rFonts w:hAnsi="宋体"/>
          <w:color w:val="auto"/>
          <w:szCs w:val="21"/>
          <w:highlight w:val="none"/>
        </w:rPr>
      </w:pPr>
    </w:p>
    <w:p w14:paraId="4F78795E">
      <w:pPr>
        <w:snapToGrid w:val="0"/>
        <w:spacing w:line="360" w:lineRule="auto"/>
        <w:ind w:firstLine="4935" w:firstLineChars="2350"/>
        <w:rPr>
          <w:rFonts w:hAnsi="宋体"/>
          <w:color w:val="auto"/>
          <w:szCs w:val="21"/>
          <w:highlight w:val="none"/>
        </w:rPr>
      </w:pPr>
    </w:p>
    <w:p w14:paraId="414584D2">
      <w:pPr>
        <w:snapToGrid w:val="0"/>
        <w:spacing w:line="360" w:lineRule="auto"/>
        <w:ind w:firstLine="4935" w:firstLineChars="2350"/>
        <w:rPr>
          <w:rFonts w:hAnsi="宋体"/>
          <w:color w:val="auto"/>
          <w:szCs w:val="21"/>
          <w:highlight w:val="none"/>
        </w:rPr>
      </w:pPr>
    </w:p>
    <w:p w14:paraId="092D27E9">
      <w:pPr>
        <w:snapToGrid w:val="0"/>
        <w:spacing w:line="360" w:lineRule="auto"/>
        <w:ind w:firstLine="4935" w:firstLineChars="2350"/>
        <w:rPr>
          <w:rFonts w:hAnsi="宋体"/>
          <w:color w:val="auto"/>
          <w:szCs w:val="21"/>
          <w:highlight w:val="none"/>
        </w:rPr>
      </w:pPr>
    </w:p>
    <w:p w14:paraId="1E1D4BD9">
      <w:pPr>
        <w:snapToGrid w:val="0"/>
        <w:spacing w:line="360" w:lineRule="auto"/>
        <w:ind w:firstLine="5640" w:firstLineChars="2350"/>
        <w:rPr>
          <w:rFonts w:ascii="方正仿宋_GB2312" w:hAnsi="仿宋" w:eastAsia="方正仿宋_GB2312" w:cs="方正仿宋_GB2312"/>
          <w:color w:val="auto"/>
          <w:kern w:val="0"/>
          <w:sz w:val="24"/>
          <w:highlight w:val="none"/>
        </w:rPr>
      </w:pPr>
      <w:r>
        <w:rPr>
          <w:rFonts w:hint="eastAsia" w:ascii="方正仿宋_GB2312" w:hAnsi="仿宋" w:eastAsia="方正仿宋_GB2312" w:cs="方正仿宋_GB2312"/>
          <w:color w:val="auto"/>
          <w:kern w:val="0"/>
          <w:sz w:val="24"/>
          <w:highlight w:val="none"/>
          <w:lang w:val="zh-CN"/>
        </w:rPr>
        <w:t>投标人名称(电子签章)：</w:t>
      </w:r>
    </w:p>
    <w:p w14:paraId="0B520940">
      <w:pPr>
        <w:snapToGrid w:val="0"/>
        <w:spacing w:line="360" w:lineRule="auto"/>
        <w:ind w:firstLine="5160" w:firstLineChars="2150"/>
        <w:rPr>
          <w:rFonts w:ascii="方正仿宋_GB2312" w:hAnsi="仿宋" w:eastAsia="方正仿宋_GB2312" w:cs="方正仿宋_GB2312"/>
          <w:color w:val="auto"/>
          <w:kern w:val="0"/>
          <w:sz w:val="24"/>
          <w:highlight w:val="none"/>
          <w:lang w:val="zh-CN"/>
        </w:rPr>
      </w:pPr>
      <w:r>
        <w:rPr>
          <w:rFonts w:hint="eastAsia" w:ascii="方正仿宋_GB2312" w:hAnsi="仿宋" w:eastAsia="方正仿宋_GB2312" w:cs="方正仿宋_GB2312"/>
          <w:color w:val="auto"/>
          <w:kern w:val="0"/>
          <w:sz w:val="24"/>
          <w:highlight w:val="none"/>
          <w:lang w:val="zh-CN"/>
        </w:rPr>
        <w:t>日期</w:t>
      </w:r>
      <w:r>
        <w:rPr>
          <w:rFonts w:hint="eastAsia" w:ascii="方正仿宋_GB2312" w:hAnsi="仿宋" w:eastAsia="方正仿宋_GB2312" w:cs="方正仿宋_GB2312"/>
          <w:color w:val="auto"/>
          <w:kern w:val="0"/>
          <w:sz w:val="24"/>
          <w:highlight w:val="none"/>
        </w:rPr>
        <w:t xml:space="preserve">：  年  </w:t>
      </w:r>
      <w:r>
        <w:rPr>
          <w:rFonts w:hint="eastAsia" w:ascii="方正仿宋_GB2312" w:hAnsi="仿宋" w:eastAsia="方正仿宋_GB2312" w:cs="方正仿宋_GB2312"/>
          <w:color w:val="auto"/>
          <w:kern w:val="0"/>
          <w:sz w:val="24"/>
          <w:highlight w:val="none"/>
          <w:lang w:val="zh-CN"/>
        </w:rPr>
        <w:t>月日</w:t>
      </w:r>
    </w:p>
    <w:p w14:paraId="6E13B035">
      <w:pPr>
        <w:spacing w:line="360" w:lineRule="auto"/>
        <w:jc w:val="center"/>
        <w:rPr>
          <w:rFonts w:ascii="宋体" w:hAnsi="宋体"/>
          <w:b/>
          <w:color w:val="auto"/>
          <w:sz w:val="32"/>
          <w:szCs w:val="32"/>
          <w:highlight w:val="none"/>
        </w:rPr>
      </w:pPr>
      <w:r>
        <w:rPr>
          <w:rFonts w:hint="eastAsia" w:ascii="宋体" w:hAnsi="宋体"/>
          <w:b/>
          <w:color w:val="auto"/>
          <w:sz w:val="32"/>
          <w:szCs w:val="32"/>
          <w:highlight w:val="none"/>
        </w:rPr>
        <w:t>六、优惠条件及特殊承诺</w:t>
      </w:r>
    </w:p>
    <w:p w14:paraId="7D8306FF">
      <w:pPr>
        <w:spacing w:line="360" w:lineRule="auto"/>
        <w:jc w:val="center"/>
        <w:rPr>
          <w:rFonts w:ascii="方正仿宋_GB2312" w:hAnsi="仿宋" w:eastAsia="方正仿宋_GB2312" w:cs="方正仿宋_GB2312"/>
          <w:color w:val="auto"/>
          <w:sz w:val="24"/>
          <w:highlight w:val="none"/>
        </w:rPr>
      </w:pPr>
      <w:r>
        <w:rPr>
          <w:rFonts w:hint="eastAsia" w:ascii="方正仿宋_GB2312" w:hAnsi="仿宋" w:eastAsia="方正仿宋_GB2312" w:cs="方正仿宋_GB2312"/>
          <w:color w:val="auto"/>
          <w:sz w:val="24"/>
          <w:highlight w:val="none"/>
        </w:rPr>
        <w:t>（由投标人根据采购需求自行编制）</w:t>
      </w:r>
    </w:p>
    <w:p w14:paraId="2B6318FE">
      <w:pPr>
        <w:spacing w:line="360" w:lineRule="auto"/>
        <w:jc w:val="center"/>
        <w:rPr>
          <w:rFonts w:ascii="方正仿宋_GB2312" w:hAnsi="仿宋" w:eastAsia="方正仿宋_GB2312" w:cs="方正仿宋_GB2312"/>
          <w:color w:val="auto"/>
          <w:sz w:val="18"/>
          <w:szCs w:val="18"/>
          <w:highlight w:val="none"/>
        </w:rPr>
      </w:pPr>
    </w:p>
    <w:p w14:paraId="017A92F1">
      <w:pPr>
        <w:snapToGrid w:val="0"/>
        <w:spacing w:line="360" w:lineRule="auto"/>
        <w:ind w:firstLine="5040" w:firstLineChars="2100"/>
        <w:rPr>
          <w:rFonts w:ascii="方正仿宋_GB2312" w:hAnsi="仿宋" w:eastAsia="方正仿宋_GB2312" w:cs="方正仿宋_GB2312"/>
          <w:color w:val="auto"/>
          <w:kern w:val="0"/>
          <w:sz w:val="24"/>
          <w:highlight w:val="none"/>
        </w:rPr>
      </w:pPr>
      <w:r>
        <w:rPr>
          <w:rFonts w:hint="eastAsia" w:ascii="方正仿宋_GB2312" w:hAnsi="仿宋" w:eastAsia="方正仿宋_GB2312" w:cs="方正仿宋_GB2312"/>
          <w:color w:val="auto"/>
          <w:kern w:val="0"/>
          <w:sz w:val="24"/>
          <w:highlight w:val="none"/>
          <w:lang w:val="zh-CN"/>
        </w:rPr>
        <w:t>投标人名称(电子签章)：</w:t>
      </w:r>
    </w:p>
    <w:p w14:paraId="08988D1B">
      <w:pPr>
        <w:snapToGrid w:val="0"/>
        <w:spacing w:line="360" w:lineRule="auto"/>
        <w:ind w:firstLine="5160" w:firstLineChars="2150"/>
        <w:rPr>
          <w:rFonts w:ascii="方正仿宋_GB2312" w:hAnsi="仿宋" w:eastAsia="方正仿宋_GB2312" w:cs="方正仿宋_GB2312"/>
          <w:color w:val="auto"/>
          <w:kern w:val="0"/>
          <w:sz w:val="24"/>
          <w:highlight w:val="none"/>
          <w:lang w:val="zh-CN"/>
        </w:rPr>
      </w:pPr>
      <w:r>
        <w:rPr>
          <w:rFonts w:hint="eastAsia" w:ascii="方正仿宋_GB2312" w:hAnsi="仿宋" w:eastAsia="方正仿宋_GB2312" w:cs="方正仿宋_GB2312"/>
          <w:color w:val="auto"/>
          <w:kern w:val="0"/>
          <w:sz w:val="24"/>
          <w:highlight w:val="none"/>
          <w:lang w:val="zh-CN"/>
        </w:rPr>
        <w:t>日期</w:t>
      </w:r>
      <w:r>
        <w:rPr>
          <w:rFonts w:hint="eastAsia" w:ascii="方正仿宋_GB2312" w:hAnsi="仿宋" w:eastAsia="方正仿宋_GB2312" w:cs="方正仿宋_GB2312"/>
          <w:color w:val="auto"/>
          <w:kern w:val="0"/>
          <w:sz w:val="24"/>
          <w:highlight w:val="none"/>
        </w:rPr>
        <w:t xml:space="preserve">：  年  </w:t>
      </w:r>
      <w:r>
        <w:rPr>
          <w:rFonts w:hint="eastAsia" w:ascii="方正仿宋_GB2312" w:hAnsi="仿宋" w:eastAsia="方正仿宋_GB2312" w:cs="方正仿宋_GB2312"/>
          <w:color w:val="auto"/>
          <w:kern w:val="0"/>
          <w:sz w:val="24"/>
          <w:highlight w:val="none"/>
          <w:lang w:val="zh-CN"/>
        </w:rPr>
        <w:t>月日</w:t>
      </w:r>
    </w:p>
    <w:p w14:paraId="1AC807A8">
      <w:pPr>
        <w:spacing w:line="360" w:lineRule="auto"/>
        <w:jc w:val="center"/>
        <w:rPr>
          <w:rFonts w:ascii="宋体" w:hAnsi="宋体"/>
          <w:b/>
          <w:color w:val="auto"/>
          <w:sz w:val="32"/>
          <w:szCs w:val="32"/>
          <w:highlight w:val="none"/>
        </w:rPr>
      </w:pPr>
      <w:r>
        <w:rPr>
          <w:rFonts w:hint="eastAsia" w:ascii="宋体" w:hAnsi="宋体"/>
          <w:b/>
          <w:color w:val="auto"/>
          <w:sz w:val="32"/>
          <w:szCs w:val="32"/>
          <w:highlight w:val="none"/>
        </w:rPr>
        <w:t>七、备品备件及供选择的配套零部件清单</w:t>
      </w:r>
    </w:p>
    <w:p w14:paraId="71A1AA4C">
      <w:pPr>
        <w:spacing w:line="360" w:lineRule="auto"/>
        <w:jc w:val="center"/>
        <w:rPr>
          <w:rFonts w:ascii="方正仿宋_GB2312" w:hAnsi="仿宋" w:eastAsia="方正仿宋_GB2312" w:cs="方正仿宋_GB2312"/>
          <w:color w:val="auto"/>
          <w:sz w:val="24"/>
          <w:highlight w:val="none"/>
        </w:rPr>
      </w:pPr>
      <w:r>
        <w:rPr>
          <w:rFonts w:hint="eastAsia" w:ascii="方正仿宋_GB2312" w:hAnsi="仿宋" w:eastAsia="方正仿宋_GB2312" w:cs="方正仿宋_GB2312"/>
          <w:color w:val="auto"/>
          <w:sz w:val="24"/>
          <w:highlight w:val="none"/>
        </w:rPr>
        <w:t>（由投标人根据采购需求自行编制）</w:t>
      </w:r>
    </w:p>
    <w:p w14:paraId="24365B33">
      <w:pPr>
        <w:autoSpaceDE w:val="0"/>
        <w:autoSpaceDN w:val="0"/>
        <w:spacing w:line="360" w:lineRule="auto"/>
        <w:ind w:firstLine="4440" w:firstLineChars="1850"/>
        <w:rPr>
          <w:rFonts w:ascii="方正仿宋_GB2312" w:hAnsi="仿宋" w:eastAsia="方正仿宋_GB2312" w:cs="方正仿宋_GB2312"/>
          <w:color w:val="auto"/>
          <w:kern w:val="0"/>
          <w:sz w:val="24"/>
          <w:highlight w:val="none"/>
        </w:rPr>
      </w:pPr>
    </w:p>
    <w:p w14:paraId="17A4EBB4">
      <w:pPr>
        <w:autoSpaceDE w:val="0"/>
        <w:autoSpaceDN w:val="0"/>
        <w:spacing w:line="360" w:lineRule="auto"/>
        <w:ind w:firstLine="4440" w:firstLineChars="1850"/>
        <w:rPr>
          <w:rFonts w:ascii="方正仿宋_GB2312" w:hAnsi="仿宋" w:eastAsia="方正仿宋_GB2312" w:cs="方正仿宋_GB2312"/>
          <w:color w:val="auto"/>
          <w:kern w:val="0"/>
          <w:sz w:val="24"/>
          <w:highlight w:val="none"/>
        </w:rPr>
      </w:pPr>
      <w:r>
        <w:rPr>
          <w:rFonts w:hint="eastAsia" w:ascii="方正仿宋_GB2312" w:hAnsi="仿宋" w:eastAsia="方正仿宋_GB2312" w:cs="方正仿宋_GB2312"/>
          <w:color w:val="auto"/>
          <w:kern w:val="0"/>
          <w:sz w:val="24"/>
          <w:highlight w:val="none"/>
        </w:rPr>
        <w:t>投标人名称（</w:t>
      </w:r>
      <w:r>
        <w:rPr>
          <w:rFonts w:hint="eastAsia" w:ascii="方正仿宋_GB2312" w:hAnsi="仿宋" w:eastAsia="方正仿宋_GB2312" w:cs="方正仿宋_GB2312"/>
          <w:color w:val="auto"/>
          <w:kern w:val="0"/>
          <w:sz w:val="24"/>
          <w:highlight w:val="none"/>
          <w:lang w:val="zh-CN"/>
        </w:rPr>
        <w:t>电子签章</w:t>
      </w:r>
      <w:r>
        <w:rPr>
          <w:rFonts w:hint="eastAsia" w:ascii="方正仿宋_GB2312" w:hAnsi="仿宋" w:eastAsia="方正仿宋_GB2312" w:cs="方正仿宋_GB2312"/>
          <w:color w:val="auto"/>
          <w:kern w:val="0"/>
          <w:sz w:val="24"/>
          <w:highlight w:val="none"/>
        </w:rPr>
        <w:t>）：</w:t>
      </w:r>
    </w:p>
    <w:p w14:paraId="092A03C2">
      <w:pPr>
        <w:autoSpaceDE w:val="0"/>
        <w:autoSpaceDN w:val="0"/>
        <w:spacing w:line="360" w:lineRule="auto"/>
        <w:rPr>
          <w:rFonts w:ascii="方正仿宋_GB2312" w:hAnsi="仿宋" w:eastAsia="方正仿宋_GB2312" w:cs="方正仿宋_GB2312"/>
          <w:b/>
          <w:bCs/>
          <w:color w:val="auto"/>
          <w:sz w:val="18"/>
          <w:szCs w:val="18"/>
          <w:highlight w:val="none"/>
        </w:rPr>
      </w:pPr>
      <w:r>
        <w:rPr>
          <w:rFonts w:hint="eastAsia" w:ascii="方正仿宋_GB2312" w:hAnsi="仿宋" w:eastAsia="方正仿宋_GB2312" w:cs="方正仿宋_GB2312"/>
          <w:color w:val="auto"/>
          <w:kern w:val="0"/>
          <w:sz w:val="24"/>
          <w:highlight w:val="none"/>
          <w:lang w:val="zh-CN"/>
        </w:rPr>
        <w:t>日期：  年  月   日</w:t>
      </w:r>
    </w:p>
    <w:p w14:paraId="11D7083A">
      <w:pPr>
        <w:spacing w:line="360" w:lineRule="auto"/>
        <w:jc w:val="center"/>
        <w:rPr>
          <w:rFonts w:ascii="宋体" w:hAnsi="宋体"/>
          <w:b/>
          <w:color w:val="auto"/>
          <w:sz w:val="32"/>
          <w:szCs w:val="32"/>
          <w:highlight w:val="none"/>
        </w:rPr>
      </w:pPr>
      <w:r>
        <w:rPr>
          <w:rFonts w:hint="eastAsia" w:ascii="宋体" w:hAnsi="宋体"/>
          <w:b/>
          <w:color w:val="auto"/>
          <w:sz w:val="32"/>
          <w:szCs w:val="32"/>
          <w:highlight w:val="none"/>
        </w:rPr>
        <w:t>八、培训计划</w:t>
      </w:r>
    </w:p>
    <w:p w14:paraId="68E59EDA">
      <w:pPr>
        <w:spacing w:line="360" w:lineRule="auto"/>
        <w:jc w:val="center"/>
        <w:rPr>
          <w:rFonts w:ascii="方正仿宋_GB2312" w:hAnsi="仿宋" w:eastAsia="方正仿宋_GB2312" w:cs="方正仿宋_GB2312"/>
          <w:color w:val="auto"/>
          <w:sz w:val="24"/>
          <w:highlight w:val="none"/>
        </w:rPr>
      </w:pPr>
      <w:r>
        <w:rPr>
          <w:rFonts w:hint="eastAsia" w:ascii="方正仿宋_GB2312" w:hAnsi="仿宋" w:eastAsia="方正仿宋_GB2312" w:cs="方正仿宋_GB2312"/>
          <w:color w:val="auto"/>
          <w:sz w:val="24"/>
          <w:highlight w:val="none"/>
        </w:rPr>
        <w:t>（由投标人根据采购需求自行编制）</w:t>
      </w:r>
    </w:p>
    <w:p w14:paraId="318AF2B6">
      <w:pPr>
        <w:keepNext/>
        <w:autoSpaceDE w:val="0"/>
        <w:autoSpaceDN w:val="0"/>
        <w:spacing w:line="360" w:lineRule="auto"/>
        <w:ind w:firstLine="477"/>
        <w:jc w:val="left"/>
        <w:rPr>
          <w:rFonts w:ascii="方正仿宋_GB2312" w:hAnsi="仿宋" w:eastAsia="方正仿宋_GB2312" w:cs="方正仿宋_GB2312"/>
          <w:b/>
          <w:color w:val="auto"/>
          <w:sz w:val="24"/>
          <w:highlight w:val="none"/>
        </w:rPr>
      </w:pPr>
      <w:r>
        <w:rPr>
          <w:rFonts w:hint="eastAsia" w:ascii="方正仿宋_GB2312" w:hAnsi="仿宋" w:eastAsia="方正仿宋_GB2312" w:cs="方正仿宋_GB2312"/>
          <w:b/>
          <w:color w:val="auto"/>
          <w:sz w:val="24"/>
          <w:highlight w:val="none"/>
        </w:rPr>
        <w:t>附表: 培训日程及费用</w:t>
      </w:r>
    </w:p>
    <w:tbl>
      <w:tblPr>
        <w:tblStyle w:val="37"/>
        <w:tblW w:w="0" w:type="auto"/>
        <w:tblInd w:w="120" w:type="dxa"/>
        <w:tblLayout w:type="fixed"/>
        <w:tblCellMar>
          <w:top w:w="0" w:type="dxa"/>
          <w:left w:w="120" w:type="dxa"/>
          <w:bottom w:w="0" w:type="dxa"/>
          <w:right w:w="120" w:type="dxa"/>
        </w:tblCellMar>
      </w:tblPr>
      <w:tblGrid>
        <w:gridCol w:w="1806"/>
        <w:gridCol w:w="1254"/>
        <w:gridCol w:w="930"/>
        <w:gridCol w:w="953"/>
        <w:gridCol w:w="997"/>
        <w:gridCol w:w="1440"/>
        <w:gridCol w:w="1620"/>
      </w:tblGrid>
      <w:tr w14:paraId="2698CC59">
        <w:tblPrEx>
          <w:tblCellMar>
            <w:top w:w="0" w:type="dxa"/>
            <w:left w:w="120" w:type="dxa"/>
            <w:bottom w:w="0" w:type="dxa"/>
            <w:right w:w="120" w:type="dxa"/>
          </w:tblCellMar>
        </w:tblPrEx>
        <w:trPr>
          <w:trHeight w:val="764" w:hRule="atLeast"/>
        </w:trPr>
        <w:tc>
          <w:tcPr>
            <w:tcW w:w="1806" w:type="dxa"/>
            <w:tcBorders>
              <w:top w:val="single" w:color="auto" w:sz="6" w:space="0"/>
              <w:left w:val="single" w:color="auto" w:sz="6" w:space="0"/>
              <w:bottom w:val="nil"/>
              <w:right w:val="nil"/>
            </w:tcBorders>
            <w:shd w:val="pct10" w:color="auto" w:fill="auto"/>
            <w:vAlign w:val="center"/>
          </w:tcPr>
          <w:p w14:paraId="19E6ECBA">
            <w:pPr>
              <w:keepNext w:val="0"/>
              <w:keepLines w:val="0"/>
              <w:suppressLineNumbers w:val="0"/>
              <w:tabs>
                <w:tab w:val="center" w:pos="1690"/>
              </w:tabs>
              <w:suppressAutoHyphens/>
              <w:autoSpaceDE w:val="0"/>
              <w:autoSpaceDN w:val="0"/>
              <w:spacing w:before="0" w:beforeAutospacing="0" w:after="0" w:afterAutospacing="0" w:line="360" w:lineRule="auto"/>
              <w:ind w:left="0" w:right="0"/>
              <w:jc w:val="center"/>
              <w:rPr>
                <w:rFonts w:hint="default" w:ascii="方正仿宋_GB2312" w:hAnsi="仿宋" w:eastAsia="方正仿宋_GB2312" w:cs="方正仿宋_GB2312"/>
                <w:color w:val="auto"/>
                <w:sz w:val="24"/>
                <w:highlight w:val="none"/>
              </w:rPr>
            </w:pPr>
            <w:r>
              <w:rPr>
                <w:rFonts w:hint="eastAsia" w:ascii="方正仿宋_GB2312" w:hAnsi="仿宋" w:eastAsia="方正仿宋_GB2312" w:cs="方正仿宋_GB2312"/>
                <w:color w:val="auto"/>
                <w:sz w:val="24"/>
                <w:highlight w:val="none"/>
              </w:rPr>
              <w:t>课程名称</w:t>
            </w:r>
          </w:p>
        </w:tc>
        <w:tc>
          <w:tcPr>
            <w:tcW w:w="1254" w:type="dxa"/>
            <w:tcBorders>
              <w:top w:val="single" w:color="auto" w:sz="6" w:space="0"/>
              <w:left w:val="single" w:color="auto" w:sz="6" w:space="0"/>
              <w:bottom w:val="nil"/>
              <w:right w:val="single" w:color="auto" w:sz="6" w:space="0"/>
            </w:tcBorders>
            <w:shd w:val="pct10" w:color="auto" w:fill="auto"/>
          </w:tcPr>
          <w:p w14:paraId="45ADE636">
            <w:pPr>
              <w:keepNext w:val="0"/>
              <w:keepLines w:val="0"/>
              <w:suppressLineNumbers w:val="0"/>
              <w:tabs>
                <w:tab w:val="center" w:pos="595"/>
              </w:tabs>
              <w:suppressAutoHyphens/>
              <w:autoSpaceDE w:val="0"/>
              <w:autoSpaceDN w:val="0"/>
              <w:spacing w:before="0" w:beforeAutospacing="0" w:after="0" w:afterAutospacing="0" w:line="360" w:lineRule="auto"/>
              <w:ind w:left="0" w:right="0"/>
              <w:jc w:val="center"/>
              <w:rPr>
                <w:rFonts w:hint="default" w:ascii="方正仿宋_GB2312" w:hAnsi="仿宋" w:eastAsia="方正仿宋_GB2312" w:cs="方正仿宋_GB2312"/>
                <w:color w:val="auto"/>
                <w:sz w:val="24"/>
                <w:highlight w:val="none"/>
              </w:rPr>
            </w:pPr>
            <w:r>
              <w:rPr>
                <w:rFonts w:hint="eastAsia" w:ascii="方正仿宋_GB2312" w:hAnsi="仿宋" w:eastAsia="方正仿宋_GB2312" w:cs="方正仿宋_GB2312"/>
                <w:color w:val="auto"/>
                <w:sz w:val="24"/>
                <w:highlight w:val="none"/>
              </w:rPr>
              <w:t>提供的资料</w:t>
            </w:r>
          </w:p>
        </w:tc>
        <w:tc>
          <w:tcPr>
            <w:tcW w:w="930" w:type="dxa"/>
            <w:tcBorders>
              <w:top w:val="single" w:color="auto" w:sz="6" w:space="0"/>
              <w:left w:val="single" w:color="auto" w:sz="6" w:space="0"/>
              <w:bottom w:val="nil"/>
              <w:right w:val="nil"/>
            </w:tcBorders>
            <w:shd w:val="pct10" w:color="auto" w:fill="auto"/>
            <w:vAlign w:val="center"/>
          </w:tcPr>
          <w:p w14:paraId="2A998857">
            <w:pPr>
              <w:keepNext w:val="0"/>
              <w:keepLines w:val="0"/>
              <w:suppressLineNumbers w:val="0"/>
              <w:tabs>
                <w:tab w:val="center" w:pos="595"/>
              </w:tabs>
              <w:suppressAutoHyphens/>
              <w:autoSpaceDE w:val="0"/>
              <w:autoSpaceDN w:val="0"/>
              <w:spacing w:before="0" w:beforeAutospacing="0" w:after="0" w:afterAutospacing="0" w:line="360" w:lineRule="auto"/>
              <w:ind w:left="0" w:right="0"/>
              <w:jc w:val="center"/>
              <w:rPr>
                <w:rFonts w:hint="default" w:ascii="方正仿宋_GB2312" w:hAnsi="仿宋" w:eastAsia="方正仿宋_GB2312" w:cs="方正仿宋_GB2312"/>
                <w:color w:val="auto"/>
                <w:sz w:val="24"/>
                <w:highlight w:val="none"/>
              </w:rPr>
            </w:pPr>
            <w:r>
              <w:rPr>
                <w:rFonts w:hint="eastAsia" w:ascii="方正仿宋_GB2312" w:hAnsi="仿宋" w:eastAsia="方正仿宋_GB2312" w:cs="方正仿宋_GB2312"/>
                <w:color w:val="auto"/>
                <w:sz w:val="24"/>
                <w:highlight w:val="none"/>
              </w:rPr>
              <w:t>持续时间</w:t>
            </w:r>
          </w:p>
        </w:tc>
        <w:tc>
          <w:tcPr>
            <w:tcW w:w="953" w:type="dxa"/>
            <w:tcBorders>
              <w:top w:val="single" w:color="auto" w:sz="6" w:space="0"/>
              <w:left w:val="single" w:color="auto" w:sz="6" w:space="0"/>
              <w:bottom w:val="nil"/>
              <w:right w:val="nil"/>
            </w:tcBorders>
            <w:shd w:val="pct10" w:color="auto" w:fill="auto"/>
            <w:vAlign w:val="center"/>
          </w:tcPr>
          <w:p w14:paraId="1F77EB3C">
            <w:pPr>
              <w:keepNext w:val="0"/>
              <w:keepLines w:val="0"/>
              <w:suppressLineNumbers w:val="0"/>
              <w:tabs>
                <w:tab w:val="center" w:pos="1028"/>
              </w:tabs>
              <w:suppressAutoHyphens/>
              <w:autoSpaceDE w:val="0"/>
              <w:autoSpaceDN w:val="0"/>
              <w:spacing w:before="0" w:beforeAutospacing="0" w:after="0" w:afterAutospacing="0" w:line="360" w:lineRule="auto"/>
              <w:ind w:left="0" w:right="0"/>
              <w:jc w:val="center"/>
              <w:rPr>
                <w:rFonts w:hint="default" w:ascii="方正仿宋_GB2312" w:hAnsi="仿宋" w:eastAsia="方正仿宋_GB2312" w:cs="方正仿宋_GB2312"/>
                <w:color w:val="auto"/>
                <w:sz w:val="24"/>
                <w:highlight w:val="none"/>
              </w:rPr>
            </w:pPr>
            <w:r>
              <w:rPr>
                <w:rFonts w:hint="eastAsia" w:ascii="方正仿宋_GB2312" w:hAnsi="仿宋" w:eastAsia="方正仿宋_GB2312" w:cs="方正仿宋_GB2312"/>
                <w:color w:val="auto"/>
                <w:sz w:val="24"/>
                <w:highlight w:val="none"/>
              </w:rPr>
              <w:t>授课教师</w:t>
            </w:r>
          </w:p>
        </w:tc>
        <w:tc>
          <w:tcPr>
            <w:tcW w:w="997" w:type="dxa"/>
            <w:tcBorders>
              <w:top w:val="single" w:color="auto" w:sz="6" w:space="0"/>
              <w:left w:val="single" w:color="auto" w:sz="6" w:space="0"/>
              <w:bottom w:val="nil"/>
              <w:right w:val="nil"/>
            </w:tcBorders>
            <w:shd w:val="pct10" w:color="auto" w:fill="auto"/>
            <w:vAlign w:val="center"/>
          </w:tcPr>
          <w:p w14:paraId="2AE85946">
            <w:pPr>
              <w:keepNext w:val="0"/>
              <w:keepLines w:val="0"/>
              <w:suppressLineNumbers w:val="0"/>
              <w:tabs>
                <w:tab w:val="center" w:pos="595"/>
              </w:tabs>
              <w:suppressAutoHyphens/>
              <w:autoSpaceDE w:val="0"/>
              <w:autoSpaceDN w:val="0"/>
              <w:spacing w:before="0" w:beforeAutospacing="0" w:after="0" w:afterAutospacing="0" w:line="360" w:lineRule="auto"/>
              <w:ind w:left="0" w:right="0"/>
              <w:jc w:val="center"/>
              <w:rPr>
                <w:rFonts w:hint="default" w:ascii="方正仿宋_GB2312" w:hAnsi="仿宋" w:eastAsia="方正仿宋_GB2312" w:cs="方正仿宋_GB2312"/>
                <w:color w:val="auto"/>
                <w:sz w:val="24"/>
                <w:highlight w:val="none"/>
              </w:rPr>
            </w:pPr>
            <w:r>
              <w:rPr>
                <w:rFonts w:hint="eastAsia" w:ascii="方正仿宋_GB2312" w:hAnsi="仿宋" w:eastAsia="方正仿宋_GB2312" w:cs="方正仿宋_GB2312"/>
                <w:color w:val="auto"/>
                <w:sz w:val="24"/>
                <w:highlight w:val="none"/>
              </w:rPr>
              <w:t>培训对象</w:t>
            </w:r>
          </w:p>
        </w:tc>
        <w:tc>
          <w:tcPr>
            <w:tcW w:w="1440" w:type="dxa"/>
            <w:tcBorders>
              <w:top w:val="single" w:color="auto" w:sz="6" w:space="0"/>
              <w:left w:val="single" w:color="auto" w:sz="6" w:space="0"/>
              <w:bottom w:val="nil"/>
              <w:right w:val="nil"/>
            </w:tcBorders>
            <w:shd w:val="pct10" w:color="auto" w:fill="auto"/>
            <w:vAlign w:val="center"/>
          </w:tcPr>
          <w:p w14:paraId="4672863F">
            <w:pPr>
              <w:keepNext w:val="0"/>
              <w:keepLines w:val="0"/>
              <w:suppressLineNumbers w:val="0"/>
              <w:tabs>
                <w:tab w:val="center" w:pos="520"/>
              </w:tabs>
              <w:suppressAutoHyphens/>
              <w:autoSpaceDE w:val="0"/>
              <w:autoSpaceDN w:val="0"/>
              <w:spacing w:before="0" w:beforeAutospacing="0" w:after="0" w:afterAutospacing="0" w:line="360" w:lineRule="auto"/>
              <w:ind w:left="0" w:right="0"/>
              <w:jc w:val="center"/>
              <w:rPr>
                <w:rFonts w:hint="default" w:ascii="方正仿宋_GB2312" w:hAnsi="仿宋" w:eastAsia="方正仿宋_GB2312" w:cs="方正仿宋_GB2312"/>
                <w:color w:val="auto"/>
                <w:sz w:val="24"/>
                <w:highlight w:val="none"/>
              </w:rPr>
            </w:pPr>
            <w:r>
              <w:rPr>
                <w:rFonts w:hint="eastAsia" w:ascii="方正仿宋_GB2312" w:hAnsi="仿宋" w:eastAsia="方正仿宋_GB2312" w:cs="方正仿宋_GB2312"/>
                <w:color w:val="auto"/>
                <w:sz w:val="24"/>
                <w:highlight w:val="none"/>
              </w:rPr>
              <w:t>培训地点</w:t>
            </w:r>
          </w:p>
        </w:tc>
        <w:tc>
          <w:tcPr>
            <w:tcW w:w="1620" w:type="dxa"/>
            <w:tcBorders>
              <w:top w:val="single" w:color="auto" w:sz="6" w:space="0"/>
              <w:left w:val="single" w:color="auto" w:sz="6" w:space="0"/>
              <w:bottom w:val="nil"/>
              <w:right w:val="single" w:color="auto" w:sz="6" w:space="0"/>
            </w:tcBorders>
            <w:shd w:val="pct10" w:color="auto" w:fill="auto"/>
            <w:vAlign w:val="center"/>
          </w:tcPr>
          <w:p w14:paraId="10C6DEBB">
            <w:pPr>
              <w:keepNext w:val="0"/>
              <w:keepLines w:val="0"/>
              <w:suppressLineNumbers w:val="0"/>
              <w:suppressAutoHyphens/>
              <w:autoSpaceDE w:val="0"/>
              <w:autoSpaceDN w:val="0"/>
              <w:spacing w:before="0" w:beforeAutospacing="0" w:after="0" w:afterAutospacing="0" w:line="360" w:lineRule="auto"/>
              <w:ind w:left="0" w:right="0"/>
              <w:jc w:val="center"/>
              <w:rPr>
                <w:rFonts w:hint="default" w:ascii="方正仿宋_GB2312" w:hAnsi="仿宋" w:eastAsia="方正仿宋_GB2312" w:cs="方正仿宋_GB2312"/>
                <w:color w:val="auto"/>
                <w:sz w:val="24"/>
                <w:highlight w:val="none"/>
              </w:rPr>
            </w:pPr>
            <w:r>
              <w:rPr>
                <w:rFonts w:hint="eastAsia" w:ascii="方正仿宋_GB2312" w:hAnsi="仿宋" w:eastAsia="方正仿宋_GB2312" w:cs="方正仿宋_GB2312"/>
                <w:color w:val="auto"/>
                <w:sz w:val="24"/>
                <w:highlight w:val="none"/>
              </w:rPr>
              <w:t>课程费用</w:t>
            </w:r>
          </w:p>
        </w:tc>
      </w:tr>
      <w:tr w14:paraId="5E3C62D7">
        <w:tblPrEx>
          <w:tblCellMar>
            <w:top w:w="0" w:type="dxa"/>
            <w:left w:w="120" w:type="dxa"/>
            <w:bottom w:w="0" w:type="dxa"/>
            <w:right w:w="120" w:type="dxa"/>
          </w:tblCellMar>
        </w:tblPrEx>
        <w:trPr>
          <w:trHeight w:val="281" w:hRule="atLeast"/>
        </w:trPr>
        <w:tc>
          <w:tcPr>
            <w:tcW w:w="1806" w:type="dxa"/>
            <w:tcBorders>
              <w:top w:val="single" w:color="auto" w:sz="6" w:space="0"/>
              <w:left w:val="single" w:color="auto" w:sz="6" w:space="0"/>
              <w:bottom w:val="nil"/>
              <w:right w:val="nil"/>
            </w:tcBorders>
          </w:tcPr>
          <w:p w14:paraId="01E44EC4">
            <w:pPr>
              <w:keepNext w:val="0"/>
              <w:keepLines w:val="0"/>
              <w:suppressLineNumbers w:val="0"/>
              <w:tabs>
                <w:tab w:val="left" w:pos="589"/>
                <w:tab w:val="left" w:pos="1303"/>
                <w:tab w:val="left" w:pos="2017"/>
                <w:tab w:val="left" w:pos="2731"/>
                <w:tab w:val="left" w:pos="3445"/>
                <w:tab w:val="left" w:pos="4159"/>
                <w:tab w:val="left" w:pos="4873"/>
              </w:tabs>
              <w:suppressAutoHyphens/>
              <w:autoSpaceDE w:val="0"/>
              <w:autoSpaceDN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p>
        </w:tc>
        <w:tc>
          <w:tcPr>
            <w:tcW w:w="1254" w:type="dxa"/>
            <w:tcBorders>
              <w:top w:val="single" w:color="auto" w:sz="6" w:space="0"/>
              <w:left w:val="single" w:color="auto" w:sz="6" w:space="0"/>
              <w:bottom w:val="nil"/>
              <w:right w:val="single" w:color="auto" w:sz="6" w:space="0"/>
            </w:tcBorders>
          </w:tcPr>
          <w:p w14:paraId="0208A5EC">
            <w:pPr>
              <w:keepNext w:val="0"/>
              <w:keepLines w:val="0"/>
              <w:suppressLineNumbers w:val="0"/>
              <w:tabs>
                <w:tab w:val="left" w:pos="556"/>
                <w:tab w:val="left" w:pos="1270"/>
                <w:tab w:val="left" w:pos="1984"/>
                <w:tab w:val="left" w:pos="2698"/>
                <w:tab w:val="left" w:pos="3412"/>
                <w:tab w:val="left" w:pos="4126"/>
                <w:tab w:val="left" w:pos="4840"/>
                <w:tab w:val="left" w:pos="5622"/>
                <w:tab w:val="left" w:pos="6054"/>
              </w:tabs>
              <w:suppressAutoHyphens/>
              <w:autoSpaceDE w:val="0"/>
              <w:autoSpaceDN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p>
        </w:tc>
        <w:tc>
          <w:tcPr>
            <w:tcW w:w="930" w:type="dxa"/>
            <w:tcBorders>
              <w:top w:val="single" w:color="auto" w:sz="6" w:space="0"/>
              <w:left w:val="single" w:color="auto" w:sz="6" w:space="0"/>
              <w:bottom w:val="nil"/>
              <w:right w:val="nil"/>
            </w:tcBorders>
          </w:tcPr>
          <w:p w14:paraId="440E16B3">
            <w:pPr>
              <w:keepNext w:val="0"/>
              <w:keepLines w:val="0"/>
              <w:suppressLineNumbers w:val="0"/>
              <w:tabs>
                <w:tab w:val="left" w:pos="556"/>
                <w:tab w:val="left" w:pos="1270"/>
                <w:tab w:val="left" w:pos="1984"/>
                <w:tab w:val="left" w:pos="2698"/>
                <w:tab w:val="left" w:pos="3412"/>
                <w:tab w:val="left" w:pos="4126"/>
                <w:tab w:val="left" w:pos="4840"/>
                <w:tab w:val="left" w:pos="5622"/>
                <w:tab w:val="left" w:pos="6054"/>
              </w:tabs>
              <w:suppressAutoHyphens/>
              <w:autoSpaceDE w:val="0"/>
              <w:autoSpaceDN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p>
        </w:tc>
        <w:tc>
          <w:tcPr>
            <w:tcW w:w="953" w:type="dxa"/>
            <w:tcBorders>
              <w:top w:val="single" w:color="auto" w:sz="6" w:space="0"/>
              <w:left w:val="single" w:color="auto" w:sz="6" w:space="0"/>
              <w:bottom w:val="nil"/>
              <w:right w:val="nil"/>
            </w:tcBorders>
          </w:tcPr>
          <w:p w14:paraId="39A7D3D2">
            <w:pPr>
              <w:keepNext w:val="0"/>
              <w:keepLines w:val="0"/>
              <w:suppressLineNumbers w:val="0"/>
              <w:tabs>
                <w:tab w:val="left" w:pos="573"/>
                <w:tab w:val="left" w:pos="1287"/>
                <w:tab w:val="left" w:pos="2001"/>
                <w:tab w:val="left" w:pos="2715"/>
                <w:tab w:val="left" w:pos="3429"/>
                <w:tab w:val="left" w:pos="4211"/>
                <w:tab w:val="left" w:pos="4643"/>
              </w:tabs>
              <w:suppressAutoHyphens/>
              <w:autoSpaceDE w:val="0"/>
              <w:autoSpaceDN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p>
        </w:tc>
        <w:tc>
          <w:tcPr>
            <w:tcW w:w="997" w:type="dxa"/>
            <w:tcBorders>
              <w:top w:val="single" w:color="auto" w:sz="6" w:space="0"/>
              <w:left w:val="single" w:color="auto" w:sz="6" w:space="0"/>
              <w:bottom w:val="nil"/>
              <w:right w:val="nil"/>
            </w:tcBorders>
          </w:tcPr>
          <w:p w14:paraId="4A9DD560">
            <w:pPr>
              <w:keepNext w:val="0"/>
              <w:keepLines w:val="0"/>
              <w:suppressLineNumbers w:val="0"/>
              <w:tabs>
                <w:tab w:val="left" w:pos="440"/>
                <w:tab w:val="left" w:pos="1154"/>
                <w:tab w:val="left" w:pos="1936"/>
                <w:tab w:val="left" w:pos="2368"/>
              </w:tabs>
              <w:suppressAutoHyphens/>
              <w:autoSpaceDE w:val="0"/>
              <w:autoSpaceDN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p>
        </w:tc>
        <w:tc>
          <w:tcPr>
            <w:tcW w:w="1440" w:type="dxa"/>
            <w:tcBorders>
              <w:top w:val="single" w:color="auto" w:sz="6" w:space="0"/>
              <w:left w:val="single" w:color="auto" w:sz="6" w:space="0"/>
              <w:bottom w:val="nil"/>
              <w:right w:val="nil"/>
            </w:tcBorders>
          </w:tcPr>
          <w:p w14:paraId="211517B3">
            <w:pPr>
              <w:keepNext w:val="0"/>
              <w:keepLines w:val="0"/>
              <w:suppressLineNumbers w:val="0"/>
              <w:tabs>
                <w:tab w:val="left" w:pos="589"/>
                <w:tab w:val="left" w:pos="1303"/>
                <w:tab w:val="left" w:pos="2017"/>
                <w:tab w:val="left" w:pos="2731"/>
                <w:tab w:val="left" w:pos="3445"/>
                <w:tab w:val="left" w:pos="4159"/>
                <w:tab w:val="left" w:pos="4873"/>
              </w:tabs>
              <w:suppressAutoHyphens/>
              <w:autoSpaceDE w:val="0"/>
              <w:autoSpaceDN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p>
        </w:tc>
        <w:tc>
          <w:tcPr>
            <w:tcW w:w="1620" w:type="dxa"/>
            <w:tcBorders>
              <w:top w:val="single" w:color="auto" w:sz="6" w:space="0"/>
              <w:left w:val="single" w:color="auto" w:sz="6" w:space="0"/>
              <w:bottom w:val="nil"/>
              <w:right w:val="single" w:color="auto" w:sz="6" w:space="0"/>
            </w:tcBorders>
          </w:tcPr>
          <w:p w14:paraId="403694DA">
            <w:pPr>
              <w:keepNext w:val="0"/>
              <w:keepLines w:val="0"/>
              <w:suppressLineNumbers w:val="0"/>
              <w:suppressAutoHyphens/>
              <w:autoSpaceDE w:val="0"/>
              <w:autoSpaceDN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p>
        </w:tc>
      </w:tr>
      <w:tr w14:paraId="78190858">
        <w:tblPrEx>
          <w:tblCellMar>
            <w:top w:w="0" w:type="dxa"/>
            <w:left w:w="120" w:type="dxa"/>
            <w:bottom w:w="0" w:type="dxa"/>
            <w:right w:w="120" w:type="dxa"/>
          </w:tblCellMar>
        </w:tblPrEx>
        <w:trPr>
          <w:trHeight w:val="273" w:hRule="atLeast"/>
        </w:trPr>
        <w:tc>
          <w:tcPr>
            <w:tcW w:w="1806" w:type="dxa"/>
            <w:tcBorders>
              <w:top w:val="single" w:color="auto" w:sz="6" w:space="0"/>
              <w:left w:val="single" w:color="auto" w:sz="6" w:space="0"/>
              <w:bottom w:val="nil"/>
              <w:right w:val="nil"/>
            </w:tcBorders>
          </w:tcPr>
          <w:p w14:paraId="3617A9D4">
            <w:pPr>
              <w:keepNext w:val="0"/>
              <w:keepLines w:val="0"/>
              <w:suppressLineNumbers w:val="0"/>
              <w:tabs>
                <w:tab w:val="left" w:pos="589"/>
                <w:tab w:val="left" w:pos="1303"/>
                <w:tab w:val="left" w:pos="2017"/>
                <w:tab w:val="left" w:pos="2731"/>
                <w:tab w:val="left" w:pos="3445"/>
                <w:tab w:val="left" w:pos="4159"/>
                <w:tab w:val="left" w:pos="4873"/>
              </w:tabs>
              <w:suppressAutoHyphens/>
              <w:autoSpaceDE w:val="0"/>
              <w:autoSpaceDN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p>
        </w:tc>
        <w:tc>
          <w:tcPr>
            <w:tcW w:w="1254" w:type="dxa"/>
            <w:tcBorders>
              <w:top w:val="single" w:color="auto" w:sz="6" w:space="0"/>
              <w:left w:val="single" w:color="auto" w:sz="6" w:space="0"/>
              <w:bottom w:val="nil"/>
              <w:right w:val="single" w:color="auto" w:sz="6" w:space="0"/>
            </w:tcBorders>
          </w:tcPr>
          <w:p w14:paraId="38994000">
            <w:pPr>
              <w:keepNext w:val="0"/>
              <w:keepLines w:val="0"/>
              <w:suppressLineNumbers w:val="0"/>
              <w:tabs>
                <w:tab w:val="left" w:pos="556"/>
                <w:tab w:val="left" w:pos="1270"/>
                <w:tab w:val="left" w:pos="1984"/>
                <w:tab w:val="left" w:pos="2698"/>
                <w:tab w:val="left" w:pos="3412"/>
                <w:tab w:val="left" w:pos="4126"/>
                <w:tab w:val="left" w:pos="4840"/>
                <w:tab w:val="left" w:pos="5622"/>
                <w:tab w:val="left" w:pos="6054"/>
              </w:tabs>
              <w:suppressAutoHyphens/>
              <w:autoSpaceDE w:val="0"/>
              <w:autoSpaceDN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p>
        </w:tc>
        <w:tc>
          <w:tcPr>
            <w:tcW w:w="930" w:type="dxa"/>
            <w:tcBorders>
              <w:top w:val="single" w:color="auto" w:sz="6" w:space="0"/>
              <w:left w:val="single" w:color="auto" w:sz="6" w:space="0"/>
              <w:bottom w:val="nil"/>
              <w:right w:val="nil"/>
            </w:tcBorders>
          </w:tcPr>
          <w:p w14:paraId="79283ACF">
            <w:pPr>
              <w:keepNext w:val="0"/>
              <w:keepLines w:val="0"/>
              <w:suppressLineNumbers w:val="0"/>
              <w:tabs>
                <w:tab w:val="left" w:pos="556"/>
                <w:tab w:val="left" w:pos="1270"/>
                <w:tab w:val="left" w:pos="1984"/>
                <w:tab w:val="left" w:pos="2698"/>
                <w:tab w:val="left" w:pos="3412"/>
                <w:tab w:val="left" w:pos="4126"/>
                <w:tab w:val="left" w:pos="4840"/>
                <w:tab w:val="left" w:pos="5622"/>
                <w:tab w:val="left" w:pos="6054"/>
              </w:tabs>
              <w:suppressAutoHyphens/>
              <w:autoSpaceDE w:val="0"/>
              <w:autoSpaceDN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p>
        </w:tc>
        <w:tc>
          <w:tcPr>
            <w:tcW w:w="953" w:type="dxa"/>
            <w:tcBorders>
              <w:top w:val="single" w:color="auto" w:sz="6" w:space="0"/>
              <w:left w:val="single" w:color="auto" w:sz="6" w:space="0"/>
              <w:bottom w:val="nil"/>
              <w:right w:val="nil"/>
            </w:tcBorders>
          </w:tcPr>
          <w:p w14:paraId="0067B6EA">
            <w:pPr>
              <w:keepNext w:val="0"/>
              <w:keepLines w:val="0"/>
              <w:suppressLineNumbers w:val="0"/>
              <w:tabs>
                <w:tab w:val="left" w:pos="573"/>
                <w:tab w:val="left" w:pos="1287"/>
                <w:tab w:val="left" w:pos="2001"/>
                <w:tab w:val="left" w:pos="2715"/>
                <w:tab w:val="left" w:pos="3429"/>
                <w:tab w:val="left" w:pos="4211"/>
                <w:tab w:val="left" w:pos="4643"/>
              </w:tabs>
              <w:suppressAutoHyphens/>
              <w:autoSpaceDE w:val="0"/>
              <w:autoSpaceDN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p>
        </w:tc>
        <w:tc>
          <w:tcPr>
            <w:tcW w:w="997" w:type="dxa"/>
            <w:tcBorders>
              <w:top w:val="single" w:color="auto" w:sz="6" w:space="0"/>
              <w:left w:val="single" w:color="auto" w:sz="6" w:space="0"/>
              <w:bottom w:val="nil"/>
              <w:right w:val="nil"/>
            </w:tcBorders>
          </w:tcPr>
          <w:p w14:paraId="12A1606E">
            <w:pPr>
              <w:keepNext w:val="0"/>
              <w:keepLines w:val="0"/>
              <w:suppressLineNumbers w:val="0"/>
              <w:tabs>
                <w:tab w:val="left" w:pos="440"/>
                <w:tab w:val="left" w:pos="1154"/>
                <w:tab w:val="left" w:pos="1936"/>
                <w:tab w:val="left" w:pos="2368"/>
              </w:tabs>
              <w:suppressAutoHyphens/>
              <w:autoSpaceDE w:val="0"/>
              <w:autoSpaceDN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p>
        </w:tc>
        <w:tc>
          <w:tcPr>
            <w:tcW w:w="1440" w:type="dxa"/>
            <w:tcBorders>
              <w:top w:val="single" w:color="auto" w:sz="6" w:space="0"/>
              <w:left w:val="single" w:color="auto" w:sz="6" w:space="0"/>
              <w:bottom w:val="nil"/>
              <w:right w:val="nil"/>
            </w:tcBorders>
          </w:tcPr>
          <w:p w14:paraId="4F79E6BC">
            <w:pPr>
              <w:keepNext w:val="0"/>
              <w:keepLines w:val="0"/>
              <w:suppressLineNumbers w:val="0"/>
              <w:tabs>
                <w:tab w:val="left" w:pos="7"/>
              </w:tabs>
              <w:suppressAutoHyphens/>
              <w:autoSpaceDE w:val="0"/>
              <w:autoSpaceDN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p>
        </w:tc>
        <w:tc>
          <w:tcPr>
            <w:tcW w:w="1620" w:type="dxa"/>
            <w:tcBorders>
              <w:top w:val="single" w:color="auto" w:sz="6" w:space="0"/>
              <w:left w:val="single" w:color="auto" w:sz="6" w:space="0"/>
              <w:bottom w:val="nil"/>
              <w:right w:val="single" w:color="auto" w:sz="6" w:space="0"/>
            </w:tcBorders>
          </w:tcPr>
          <w:p w14:paraId="25B1CFF0">
            <w:pPr>
              <w:keepNext w:val="0"/>
              <w:keepLines w:val="0"/>
              <w:suppressLineNumbers w:val="0"/>
              <w:suppressAutoHyphens/>
              <w:autoSpaceDE w:val="0"/>
              <w:autoSpaceDN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p>
        </w:tc>
      </w:tr>
      <w:tr w14:paraId="4A65BB94">
        <w:tblPrEx>
          <w:tblCellMar>
            <w:top w:w="0" w:type="dxa"/>
            <w:left w:w="120" w:type="dxa"/>
            <w:bottom w:w="0" w:type="dxa"/>
            <w:right w:w="120" w:type="dxa"/>
          </w:tblCellMar>
        </w:tblPrEx>
        <w:trPr>
          <w:trHeight w:val="110" w:hRule="atLeast"/>
        </w:trPr>
        <w:tc>
          <w:tcPr>
            <w:tcW w:w="1806" w:type="dxa"/>
            <w:tcBorders>
              <w:top w:val="single" w:color="auto" w:sz="6" w:space="0"/>
              <w:left w:val="single" w:color="auto" w:sz="6" w:space="0"/>
              <w:bottom w:val="single" w:color="auto" w:sz="6" w:space="0"/>
              <w:right w:val="single" w:color="auto" w:sz="6" w:space="0"/>
            </w:tcBorders>
            <w:vAlign w:val="center"/>
          </w:tcPr>
          <w:p w14:paraId="18C9CCE5">
            <w:pPr>
              <w:keepNext w:val="0"/>
              <w:keepLines w:val="0"/>
              <w:suppressLineNumbers w:val="0"/>
              <w:tabs>
                <w:tab w:val="left" w:pos="589"/>
                <w:tab w:val="left" w:pos="1303"/>
                <w:tab w:val="left" w:pos="2017"/>
                <w:tab w:val="left" w:pos="2731"/>
                <w:tab w:val="left" w:pos="3445"/>
                <w:tab w:val="left" w:pos="4159"/>
                <w:tab w:val="left" w:pos="4873"/>
              </w:tabs>
              <w:suppressAutoHyphens/>
              <w:autoSpaceDE w:val="0"/>
              <w:autoSpaceDN w:val="0"/>
              <w:spacing w:before="0" w:beforeAutospacing="0" w:after="0" w:afterAutospacing="0" w:line="360" w:lineRule="auto"/>
              <w:ind w:left="0" w:right="0"/>
              <w:jc w:val="center"/>
              <w:rPr>
                <w:rFonts w:hint="default" w:ascii="方正仿宋_GB2312" w:hAnsi="仿宋" w:eastAsia="方正仿宋_GB2312" w:cs="方正仿宋_GB2312"/>
                <w:color w:val="auto"/>
                <w:sz w:val="24"/>
                <w:highlight w:val="none"/>
              </w:rPr>
            </w:pPr>
            <w:r>
              <w:rPr>
                <w:rFonts w:hint="eastAsia" w:ascii="方正仿宋_GB2312" w:hAnsi="仿宋" w:eastAsia="方正仿宋_GB2312" w:cs="方正仿宋_GB2312"/>
                <w:color w:val="auto"/>
                <w:sz w:val="24"/>
                <w:highlight w:val="none"/>
              </w:rPr>
              <w:t>费用总计</w:t>
            </w:r>
          </w:p>
        </w:tc>
        <w:tc>
          <w:tcPr>
            <w:tcW w:w="1254" w:type="dxa"/>
            <w:tcBorders>
              <w:top w:val="single" w:color="auto" w:sz="6" w:space="0"/>
              <w:left w:val="single" w:color="auto" w:sz="6" w:space="0"/>
              <w:bottom w:val="single" w:color="auto" w:sz="6" w:space="0"/>
              <w:right w:val="single" w:color="auto" w:sz="6" w:space="0"/>
            </w:tcBorders>
          </w:tcPr>
          <w:p w14:paraId="7C4F2FB8">
            <w:pPr>
              <w:keepNext w:val="0"/>
              <w:keepLines w:val="0"/>
              <w:suppressLineNumbers w:val="0"/>
              <w:tabs>
                <w:tab w:val="left" w:pos="556"/>
                <w:tab w:val="left" w:pos="1270"/>
                <w:tab w:val="left" w:pos="1984"/>
                <w:tab w:val="left" w:pos="2698"/>
                <w:tab w:val="left" w:pos="3412"/>
                <w:tab w:val="left" w:pos="4126"/>
                <w:tab w:val="left" w:pos="4840"/>
                <w:tab w:val="left" w:pos="5622"/>
                <w:tab w:val="left" w:pos="6054"/>
              </w:tabs>
              <w:suppressAutoHyphens/>
              <w:autoSpaceDE w:val="0"/>
              <w:autoSpaceDN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p>
        </w:tc>
        <w:tc>
          <w:tcPr>
            <w:tcW w:w="930" w:type="dxa"/>
            <w:tcBorders>
              <w:top w:val="single" w:color="auto" w:sz="6" w:space="0"/>
              <w:left w:val="single" w:color="auto" w:sz="6" w:space="0"/>
              <w:bottom w:val="single" w:color="auto" w:sz="6" w:space="0"/>
              <w:right w:val="single" w:color="auto" w:sz="6" w:space="0"/>
            </w:tcBorders>
          </w:tcPr>
          <w:p w14:paraId="017EFC83">
            <w:pPr>
              <w:keepNext w:val="0"/>
              <w:keepLines w:val="0"/>
              <w:suppressLineNumbers w:val="0"/>
              <w:tabs>
                <w:tab w:val="left" w:pos="556"/>
                <w:tab w:val="left" w:pos="1270"/>
                <w:tab w:val="left" w:pos="1984"/>
                <w:tab w:val="left" w:pos="2698"/>
                <w:tab w:val="left" w:pos="3412"/>
                <w:tab w:val="left" w:pos="4126"/>
                <w:tab w:val="left" w:pos="4840"/>
                <w:tab w:val="left" w:pos="5622"/>
                <w:tab w:val="left" w:pos="6054"/>
              </w:tabs>
              <w:suppressAutoHyphens/>
              <w:autoSpaceDE w:val="0"/>
              <w:autoSpaceDN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p>
        </w:tc>
        <w:tc>
          <w:tcPr>
            <w:tcW w:w="953" w:type="dxa"/>
            <w:tcBorders>
              <w:top w:val="single" w:color="auto" w:sz="6" w:space="0"/>
              <w:left w:val="single" w:color="auto" w:sz="6" w:space="0"/>
              <w:bottom w:val="single" w:color="auto" w:sz="6" w:space="0"/>
              <w:right w:val="single" w:color="auto" w:sz="6" w:space="0"/>
            </w:tcBorders>
          </w:tcPr>
          <w:p w14:paraId="098527EE">
            <w:pPr>
              <w:keepNext w:val="0"/>
              <w:keepLines w:val="0"/>
              <w:suppressLineNumbers w:val="0"/>
              <w:tabs>
                <w:tab w:val="left" w:pos="573"/>
                <w:tab w:val="left" w:pos="1287"/>
                <w:tab w:val="left" w:pos="2001"/>
                <w:tab w:val="left" w:pos="2715"/>
                <w:tab w:val="left" w:pos="3429"/>
                <w:tab w:val="left" w:pos="4211"/>
                <w:tab w:val="left" w:pos="4643"/>
              </w:tabs>
              <w:suppressAutoHyphens/>
              <w:autoSpaceDE w:val="0"/>
              <w:autoSpaceDN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p>
        </w:tc>
        <w:tc>
          <w:tcPr>
            <w:tcW w:w="997" w:type="dxa"/>
            <w:tcBorders>
              <w:top w:val="single" w:color="auto" w:sz="6" w:space="0"/>
              <w:left w:val="single" w:color="auto" w:sz="6" w:space="0"/>
              <w:bottom w:val="single" w:color="auto" w:sz="6" w:space="0"/>
              <w:right w:val="single" w:color="auto" w:sz="6" w:space="0"/>
            </w:tcBorders>
          </w:tcPr>
          <w:p w14:paraId="5026362B">
            <w:pPr>
              <w:keepNext w:val="0"/>
              <w:keepLines w:val="0"/>
              <w:suppressLineNumbers w:val="0"/>
              <w:tabs>
                <w:tab w:val="left" w:pos="440"/>
                <w:tab w:val="left" w:pos="1154"/>
                <w:tab w:val="left" w:pos="1936"/>
                <w:tab w:val="left" w:pos="2368"/>
              </w:tabs>
              <w:suppressAutoHyphens/>
              <w:autoSpaceDE w:val="0"/>
              <w:autoSpaceDN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p>
        </w:tc>
        <w:tc>
          <w:tcPr>
            <w:tcW w:w="1440" w:type="dxa"/>
            <w:tcBorders>
              <w:top w:val="single" w:color="auto" w:sz="6" w:space="0"/>
              <w:left w:val="single" w:color="auto" w:sz="6" w:space="0"/>
              <w:bottom w:val="single" w:color="auto" w:sz="6" w:space="0"/>
              <w:right w:val="single" w:color="auto" w:sz="6" w:space="0"/>
            </w:tcBorders>
          </w:tcPr>
          <w:p w14:paraId="4171D896">
            <w:pPr>
              <w:keepNext w:val="0"/>
              <w:keepLines w:val="0"/>
              <w:suppressLineNumbers w:val="0"/>
              <w:tabs>
                <w:tab w:val="left" w:pos="7"/>
              </w:tabs>
              <w:suppressAutoHyphens/>
              <w:autoSpaceDE w:val="0"/>
              <w:autoSpaceDN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p>
        </w:tc>
        <w:tc>
          <w:tcPr>
            <w:tcW w:w="1620" w:type="dxa"/>
            <w:tcBorders>
              <w:top w:val="single" w:color="auto" w:sz="6" w:space="0"/>
              <w:left w:val="single" w:color="auto" w:sz="6" w:space="0"/>
              <w:bottom w:val="single" w:color="auto" w:sz="6" w:space="0"/>
              <w:right w:val="single" w:color="auto" w:sz="6" w:space="0"/>
            </w:tcBorders>
          </w:tcPr>
          <w:p w14:paraId="3A782F78">
            <w:pPr>
              <w:keepNext w:val="0"/>
              <w:keepLines w:val="0"/>
              <w:suppressLineNumbers w:val="0"/>
              <w:suppressAutoHyphens/>
              <w:autoSpaceDE w:val="0"/>
              <w:autoSpaceDN w:val="0"/>
              <w:spacing w:before="0" w:beforeAutospacing="0" w:after="0" w:afterAutospacing="0" w:line="360" w:lineRule="auto"/>
              <w:ind w:left="0" w:right="0"/>
              <w:rPr>
                <w:rFonts w:hint="default" w:ascii="方正仿宋_GB2312" w:hAnsi="仿宋" w:eastAsia="方正仿宋_GB2312" w:cs="方正仿宋_GB2312"/>
                <w:color w:val="auto"/>
                <w:sz w:val="24"/>
                <w:highlight w:val="none"/>
              </w:rPr>
            </w:pPr>
          </w:p>
        </w:tc>
      </w:tr>
    </w:tbl>
    <w:p w14:paraId="27CBA661">
      <w:pPr>
        <w:tabs>
          <w:tab w:val="left" w:pos="709"/>
          <w:tab w:val="left" w:pos="1005"/>
          <w:tab w:val="left" w:pos="2137"/>
          <w:tab w:val="left" w:pos="2851"/>
          <w:tab w:val="left" w:pos="3565"/>
          <w:tab w:val="left" w:pos="4279"/>
          <w:tab w:val="left" w:pos="4993"/>
          <w:tab w:val="left" w:pos="5707"/>
          <w:tab w:val="left" w:pos="6421"/>
          <w:tab w:val="left" w:pos="7135"/>
          <w:tab w:val="left" w:pos="7849"/>
          <w:tab w:val="left" w:pos="8563"/>
          <w:tab w:val="left" w:pos="9345"/>
          <w:tab w:val="left" w:pos="9777"/>
        </w:tabs>
        <w:suppressAutoHyphens/>
        <w:autoSpaceDE w:val="0"/>
        <w:autoSpaceDN w:val="0"/>
        <w:spacing w:line="360" w:lineRule="auto"/>
        <w:rPr>
          <w:rFonts w:ascii="方正仿宋_GB2312" w:hAnsi="仿宋" w:eastAsia="方正仿宋_GB2312" w:cs="方正仿宋_GB2312"/>
          <w:color w:val="auto"/>
          <w:sz w:val="24"/>
          <w:highlight w:val="none"/>
        </w:rPr>
      </w:pPr>
      <w:r>
        <w:rPr>
          <w:rFonts w:hint="eastAsia" w:ascii="方正仿宋_GB2312" w:hAnsi="仿宋" w:eastAsia="方正仿宋_GB2312" w:cs="方正仿宋_GB2312"/>
          <w:color w:val="auto"/>
          <w:sz w:val="24"/>
          <w:highlight w:val="none"/>
        </w:rPr>
        <w:t>注解:A</w:t>
      </w:r>
      <w:r>
        <w:rPr>
          <w:rFonts w:hint="eastAsia" w:ascii="方正仿宋_GB2312" w:hAnsi="仿宋" w:eastAsia="方正仿宋_GB2312" w:cs="方正仿宋_GB2312"/>
          <w:color w:val="auto"/>
          <w:sz w:val="24"/>
          <w:highlight w:val="none"/>
        </w:rPr>
        <w:tab/>
      </w:r>
      <w:r>
        <w:rPr>
          <w:rFonts w:hint="eastAsia" w:ascii="方正仿宋_GB2312" w:hAnsi="仿宋" w:eastAsia="方正仿宋_GB2312" w:cs="方正仿宋_GB2312"/>
          <w:color w:val="auto"/>
          <w:sz w:val="24"/>
          <w:highlight w:val="none"/>
        </w:rPr>
        <w:t>课程清单按时间顺序排列，并提供以下详细资料：</w:t>
      </w:r>
    </w:p>
    <w:p w14:paraId="11293448">
      <w:pPr>
        <w:numPr>
          <w:ilvl w:val="0"/>
          <w:numId w:val="5"/>
        </w:numPr>
        <w:tabs>
          <w:tab w:val="left" w:pos="840"/>
          <w:tab w:val="left" w:pos="1069"/>
          <w:tab w:val="left" w:pos="1423"/>
          <w:tab w:val="left" w:pos="2137"/>
          <w:tab w:val="left" w:pos="2851"/>
          <w:tab w:val="left" w:pos="3565"/>
          <w:tab w:val="left" w:pos="4279"/>
          <w:tab w:val="left" w:pos="4993"/>
          <w:tab w:val="left" w:pos="5707"/>
          <w:tab w:val="left" w:pos="6421"/>
          <w:tab w:val="left" w:pos="7135"/>
          <w:tab w:val="left" w:pos="7849"/>
          <w:tab w:val="left" w:pos="8563"/>
          <w:tab w:val="left" w:pos="9345"/>
          <w:tab w:val="left" w:pos="9777"/>
          <w:tab w:val="clear" w:pos="1140"/>
        </w:tabs>
        <w:suppressAutoHyphens/>
        <w:autoSpaceDE w:val="0"/>
        <w:autoSpaceDN w:val="0"/>
        <w:adjustRightInd w:val="0"/>
        <w:spacing w:line="360" w:lineRule="auto"/>
        <w:ind w:left="1069" w:hanging="420"/>
        <w:rPr>
          <w:rFonts w:ascii="方正仿宋_GB2312" w:hAnsi="仿宋" w:eastAsia="方正仿宋_GB2312" w:cs="方正仿宋_GB2312"/>
          <w:color w:val="auto"/>
          <w:sz w:val="24"/>
          <w:highlight w:val="none"/>
        </w:rPr>
      </w:pPr>
      <w:r>
        <w:rPr>
          <w:rFonts w:hint="eastAsia" w:ascii="方正仿宋_GB2312" w:hAnsi="仿宋" w:eastAsia="方正仿宋_GB2312" w:cs="方正仿宋_GB2312"/>
          <w:color w:val="auto"/>
          <w:sz w:val="24"/>
          <w:highlight w:val="none"/>
        </w:rPr>
        <w:t>课程概要</w:t>
      </w:r>
    </w:p>
    <w:p w14:paraId="1CF712F7">
      <w:pPr>
        <w:numPr>
          <w:ilvl w:val="0"/>
          <w:numId w:val="5"/>
        </w:numPr>
        <w:tabs>
          <w:tab w:val="left" w:pos="840"/>
          <w:tab w:val="left" w:pos="1069"/>
          <w:tab w:val="left" w:pos="1423"/>
          <w:tab w:val="left" w:pos="2137"/>
          <w:tab w:val="left" w:pos="2851"/>
          <w:tab w:val="left" w:pos="3565"/>
          <w:tab w:val="left" w:pos="4279"/>
          <w:tab w:val="left" w:pos="4993"/>
          <w:tab w:val="left" w:pos="5707"/>
          <w:tab w:val="left" w:pos="6421"/>
          <w:tab w:val="left" w:pos="7135"/>
          <w:tab w:val="left" w:pos="7849"/>
          <w:tab w:val="left" w:pos="8563"/>
          <w:tab w:val="left" w:pos="9345"/>
          <w:tab w:val="left" w:pos="9777"/>
          <w:tab w:val="clear" w:pos="1140"/>
        </w:tabs>
        <w:suppressAutoHyphens/>
        <w:autoSpaceDE w:val="0"/>
        <w:autoSpaceDN w:val="0"/>
        <w:adjustRightInd w:val="0"/>
        <w:spacing w:line="360" w:lineRule="auto"/>
        <w:ind w:left="1069" w:hanging="420"/>
        <w:rPr>
          <w:rFonts w:ascii="方正仿宋_GB2312" w:hAnsi="仿宋" w:eastAsia="方正仿宋_GB2312" w:cs="方正仿宋_GB2312"/>
          <w:color w:val="auto"/>
          <w:sz w:val="24"/>
          <w:highlight w:val="none"/>
        </w:rPr>
      </w:pPr>
      <w:r>
        <w:rPr>
          <w:rFonts w:hint="eastAsia" w:ascii="方正仿宋_GB2312" w:hAnsi="仿宋" w:eastAsia="方正仿宋_GB2312" w:cs="方正仿宋_GB2312"/>
          <w:color w:val="auto"/>
          <w:sz w:val="24"/>
          <w:highlight w:val="none"/>
        </w:rPr>
        <w:t>课程目的</w:t>
      </w:r>
    </w:p>
    <w:p w14:paraId="642AC222">
      <w:pPr>
        <w:numPr>
          <w:ilvl w:val="0"/>
          <w:numId w:val="5"/>
        </w:numPr>
        <w:tabs>
          <w:tab w:val="left" w:pos="840"/>
          <w:tab w:val="left" w:pos="1069"/>
          <w:tab w:val="left" w:pos="1423"/>
          <w:tab w:val="left" w:pos="2137"/>
          <w:tab w:val="left" w:pos="2851"/>
          <w:tab w:val="left" w:pos="3565"/>
          <w:tab w:val="left" w:pos="4279"/>
          <w:tab w:val="left" w:pos="4993"/>
          <w:tab w:val="left" w:pos="5707"/>
          <w:tab w:val="left" w:pos="6421"/>
          <w:tab w:val="left" w:pos="7135"/>
          <w:tab w:val="left" w:pos="7849"/>
          <w:tab w:val="left" w:pos="8563"/>
          <w:tab w:val="left" w:pos="9345"/>
          <w:tab w:val="left" w:pos="9777"/>
          <w:tab w:val="clear" w:pos="1140"/>
        </w:tabs>
        <w:suppressAutoHyphens/>
        <w:autoSpaceDE w:val="0"/>
        <w:autoSpaceDN w:val="0"/>
        <w:adjustRightInd w:val="0"/>
        <w:spacing w:line="360" w:lineRule="auto"/>
        <w:ind w:left="1069" w:hanging="420"/>
        <w:rPr>
          <w:rFonts w:ascii="方正仿宋_GB2312" w:hAnsi="仿宋" w:eastAsia="方正仿宋_GB2312" w:cs="方正仿宋_GB2312"/>
          <w:color w:val="auto"/>
          <w:sz w:val="24"/>
          <w:highlight w:val="none"/>
        </w:rPr>
      </w:pPr>
      <w:r>
        <w:rPr>
          <w:rFonts w:hint="eastAsia" w:ascii="方正仿宋_GB2312" w:hAnsi="仿宋" w:eastAsia="方正仿宋_GB2312" w:cs="方正仿宋_GB2312"/>
          <w:color w:val="auto"/>
          <w:sz w:val="24"/>
          <w:highlight w:val="none"/>
        </w:rPr>
        <w:t>教学方式</w:t>
      </w:r>
    </w:p>
    <w:p w14:paraId="2436B634">
      <w:pPr>
        <w:numPr>
          <w:ilvl w:val="0"/>
          <w:numId w:val="5"/>
        </w:numPr>
        <w:tabs>
          <w:tab w:val="left" w:pos="840"/>
          <w:tab w:val="left" w:pos="1069"/>
          <w:tab w:val="left" w:pos="1423"/>
          <w:tab w:val="left" w:pos="2137"/>
          <w:tab w:val="left" w:pos="2851"/>
          <w:tab w:val="left" w:pos="3565"/>
          <w:tab w:val="left" w:pos="4279"/>
          <w:tab w:val="left" w:pos="4993"/>
          <w:tab w:val="left" w:pos="5707"/>
          <w:tab w:val="left" w:pos="6421"/>
          <w:tab w:val="left" w:pos="7135"/>
          <w:tab w:val="left" w:pos="7849"/>
          <w:tab w:val="left" w:pos="8563"/>
          <w:tab w:val="left" w:pos="9345"/>
          <w:tab w:val="left" w:pos="9777"/>
          <w:tab w:val="clear" w:pos="1140"/>
        </w:tabs>
        <w:suppressAutoHyphens/>
        <w:autoSpaceDE w:val="0"/>
        <w:autoSpaceDN w:val="0"/>
        <w:adjustRightInd w:val="0"/>
        <w:spacing w:line="360" w:lineRule="auto"/>
        <w:ind w:left="1069" w:hanging="420"/>
        <w:rPr>
          <w:rFonts w:ascii="方正仿宋_GB2312" w:hAnsi="仿宋" w:eastAsia="方正仿宋_GB2312" w:cs="方正仿宋_GB2312"/>
          <w:color w:val="auto"/>
          <w:sz w:val="24"/>
          <w:highlight w:val="none"/>
        </w:rPr>
      </w:pPr>
      <w:r>
        <w:rPr>
          <w:rFonts w:hint="eastAsia" w:ascii="方正仿宋_GB2312" w:hAnsi="仿宋" w:eastAsia="方正仿宋_GB2312" w:cs="方正仿宋_GB2312"/>
          <w:color w:val="auto"/>
          <w:sz w:val="24"/>
          <w:highlight w:val="none"/>
        </w:rPr>
        <w:t>先决条件</w:t>
      </w:r>
    </w:p>
    <w:p w14:paraId="58086BE5">
      <w:pPr>
        <w:numPr>
          <w:ilvl w:val="0"/>
          <w:numId w:val="5"/>
        </w:numPr>
        <w:tabs>
          <w:tab w:val="left" w:pos="840"/>
          <w:tab w:val="left" w:pos="1069"/>
          <w:tab w:val="left" w:pos="1423"/>
          <w:tab w:val="left" w:pos="2137"/>
          <w:tab w:val="left" w:pos="2851"/>
          <w:tab w:val="left" w:pos="3565"/>
          <w:tab w:val="left" w:pos="4279"/>
          <w:tab w:val="left" w:pos="4993"/>
          <w:tab w:val="left" w:pos="5707"/>
          <w:tab w:val="left" w:pos="6421"/>
          <w:tab w:val="left" w:pos="7135"/>
          <w:tab w:val="left" w:pos="7849"/>
          <w:tab w:val="left" w:pos="8563"/>
          <w:tab w:val="left" w:pos="9345"/>
          <w:tab w:val="left" w:pos="9777"/>
          <w:tab w:val="clear" w:pos="1140"/>
        </w:tabs>
        <w:suppressAutoHyphens/>
        <w:autoSpaceDE w:val="0"/>
        <w:autoSpaceDN w:val="0"/>
        <w:adjustRightInd w:val="0"/>
        <w:spacing w:line="360" w:lineRule="auto"/>
        <w:ind w:left="1069" w:hanging="420"/>
        <w:rPr>
          <w:rFonts w:ascii="方正仿宋_GB2312" w:hAnsi="仿宋" w:eastAsia="方正仿宋_GB2312" w:cs="方正仿宋_GB2312"/>
          <w:color w:val="auto"/>
          <w:sz w:val="24"/>
          <w:highlight w:val="none"/>
        </w:rPr>
      </w:pPr>
      <w:r>
        <w:rPr>
          <w:rFonts w:hint="eastAsia" w:ascii="方正仿宋_GB2312" w:hAnsi="仿宋" w:eastAsia="方正仿宋_GB2312" w:cs="方正仿宋_GB2312"/>
          <w:color w:val="auto"/>
          <w:sz w:val="24"/>
          <w:highlight w:val="none"/>
        </w:rPr>
        <w:t>教材目录</w:t>
      </w:r>
    </w:p>
    <w:p w14:paraId="36045503">
      <w:pPr>
        <w:autoSpaceDE w:val="0"/>
        <w:autoSpaceDN w:val="0"/>
        <w:spacing w:line="360" w:lineRule="auto"/>
        <w:rPr>
          <w:rFonts w:ascii="方正仿宋_GB2312" w:hAnsi="仿宋" w:eastAsia="方正仿宋_GB2312" w:cs="方正仿宋_GB2312"/>
          <w:color w:val="auto"/>
          <w:sz w:val="24"/>
          <w:highlight w:val="none"/>
        </w:rPr>
      </w:pPr>
      <w:r>
        <w:rPr>
          <w:rFonts w:hint="eastAsia" w:ascii="方正仿宋_GB2312" w:hAnsi="仿宋" w:eastAsia="方正仿宋_GB2312" w:cs="方正仿宋_GB2312"/>
          <w:color w:val="auto"/>
          <w:sz w:val="24"/>
          <w:highlight w:val="none"/>
        </w:rPr>
        <w:t>B  按照附表A提供授课教师的简历</w:t>
      </w:r>
    </w:p>
    <w:p w14:paraId="1052D3EB">
      <w:pPr>
        <w:autoSpaceDE w:val="0"/>
        <w:autoSpaceDN w:val="0"/>
        <w:spacing w:line="360" w:lineRule="auto"/>
        <w:rPr>
          <w:rFonts w:ascii="方正仿宋_GB2312" w:hAnsi="仿宋" w:eastAsia="方正仿宋_GB2312" w:cs="方正仿宋_GB2312"/>
          <w:b/>
          <w:color w:val="auto"/>
          <w:sz w:val="24"/>
          <w:highlight w:val="none"/>
        </w:rPr>
      </w:pPr>
      <w:r>
        <w:rPr>
          <w:rFonts w:hint="eastAsia" w:ascii="方正仿宋_GB2312" w:hAnsi="仿宋" w:eastAsia="方正仿宋_GB2312" w:cs="方正仿宋_GB2312"/>
          <w:b/>
          <w:color w:val="auto"/>
          <w:sz w:val="24"/>
          <w:highlight w:val="none"/>
        </w:rPr>
        <w:t>注：须随表提交相应的证书复印件并注明所在投标技术文件页码。</w:t>
      </w:r>
    </w:p>
    <w:p w14:paraId="1E17B1C9">
      <w:pPr>
        <w:autoSpaceDE w:val="0"/>
        <w:autoSpaceDN w:val="0"/>
        <w:spacing w:line="360" w:lineRule="auto"/>
        <w:ind w:firstLine="4800" w:firstLineChars="2000"/>
        <w:rPr>
          <w:rFonts w:ascii="方正仿宋_GB2312" w:hAnsi="仿宋" w:eastAsia="方正仿宋_GB2312" w:cs="方正仿宋_GB2312"/>
          <w:color w:val="auto"/>
          <w:sz w:val="24"/>
          <w:highlight w:val="none"/>
        </w:rPr>
      </w:pPr>
      <w:r>
        <w:rPr>
          <w:rFonts w:hint="eastAsia" w:ascii="方正仿宋_GB2312" w:hAnsi="仿宋" w:eastAsia="方正仿宋_GB2312" w:cs="方正仿宋_GB2312"/>
          <w:color w:val="auto"/>
          <w:kern w:val="0"/>
          <w:sz w:val="24"/>
          <w:highlight w:val="none"/>
        </w:rPr>
        <w:t>投标人名称（</w:t>
      </w:r>
      <w:r>
        <w:rPr>
          <w:rFonts w:hint="eastAsia" w:ascii="方正仿宋_GB2312" w:hAnsi="仿宋" w:eastAsia="方正仿宋_GB2312" w:cs="方正仿宋_GB2312"/>
          <w:color w:val="auto"/>
          <w:kern w:val="0"/>
          <w:sz w:val="24"/>
          <w:highlight w:val="none"/>
          <w:lang w:val="zh-CN"/>
        </w:rPr>
        <w:t>电子签章</w:t>
      </w:r>
      <w:r>
        <w:rPr>
          <w:rFonts w:hint="eastAsia" w:ascii="方正仿宋_GB2312" w:hAnsi="仿宋" w:eastAsia="方正仿宋_GB2312" w:cs="方正仿宋_GB2312"/>
          <w:color w:val="auto"/>
          <w:kern w:val="0"/>
          <w:sz w:val="24"/>
          <w:highlight w:val="none"/>
        </w:rPr>
        <w:t xml:space="preserve">）：                       </w:t>
      </w:r>
    </w:p>
    <w:p w14:paraId="26BA275E">
      <w:pPr>
        <w:autoSpaceDE w:val="0"/>
        <w:autoSpaceDN w:val="0"/>
        <w:spacing w:line="360" w:lineRule="auto"/>
        <w:rPr>
          <w:rFonts w:ascii="方正仿宋_GB2312" w:hAnsi="仿宋" w:eastAsia="方正仿宋_GB2312" w:cs="方正仿宋_GB2312"/>
          <w:color w:val="auto"/>
          <w:kern w:val="0"/>
          <w:sz w:val="24"/>
          <w:highlight w:val="none"/>
        </w:rPr>
      </w:pPr>
      <w:r>
        <w:rPr>
          <w:rFonts w:hint="eastAsia" w:ascii="方正仿宋_GB2312" w:hAnsi="仿宋" w:eastAsia="方正仿宋_GB2312" w:cs="方正仿宋_GB2312"/>
          <w:color w:val="auto"/>
          <w:kern w:val="0"/>
          <w:sz w:val="24"/>
          <w:highlight w:val="none"/>
          <w:lang w:val="zh-CN"/>
        </w:rPr>
        <w:t>日期：  年  月   日</w:t>
      </w:r>
    </w:p>
    <w:p w14:paraId="44A96B0F">
      <w:pPr>
        <w:autoSpaceDE w:val="0"/>
        <w:autoSpaceDN w:val="0"/>
        <w:spacing w:line="360" w:lineRule="auto"/>
        <w:ind w:firstLine="120"/>
        <w:rPr>
          <w:rFonts w:ascii="方正仿宋_GB2312" w:hAnsi="仿宋" w:eastAsia="方正仿宋_GB2312" w:cs="方正仿宋_GB2312"/>
          <w:color w:val="auto"/>
          <w:sz w:val="24"/>
          <w:highlight w:val="none"/>
        </w:rPr>
      </w:pPr>
    </w:p>
    <w:p w14:paraId="4380C481">
      <w:pPr>
        <w:spacing w:line="360" w:lineRule="auto"/>
        <w:jc w:val="center"/>
        <w:rPr>
          <w:rFonts w:ascii="宋体" w:hAnsi="宋体"/>
          <w:b/>
          <w:color w:val="auto"/>
          <w:sz w:val="32"/>
          <w:szCs w:val="32"/>
          <w:highlight w:val="none"/>
        </w:rPr>
      </w:pPr>
      <w:r>
        <w:rPr>
          <w:rFonts w:hint="eastAsia" w:ascii="宋体" w:hAnsi="宋体"/>
          <w:b/>
          <w:color w:val="auto"/>
          <w:sz w:val="32"/>
          <w:szCs w:val="32"/>
          <w:highlight w:val="none"/>
        </w:rPr>
        <w:t>九、认为需要的其他技术文件或说明</w:t>
      </w:r>
    </w:p>
    <w:p w14:paraId="20D32CA2">
      <w:pPr>
        <w:spacing w:line="360" w:lineRule="auto"/>
        <w:jc w:val="center"/>
        <w:rPr>
          <w:rFonts w:ascii="方正仿宋_GB2312" w:hAnsi="仿宋" w:eastAsia="方正仿宋_GB2312" w:cs="方正仿宋_GB2312"/>
          <w:color w:val="auto"/>
          <w:sz w:val="24"/>
          <w:highlight w:val="none"/>
        </w:rPr>
      </w:pPr>
      <w:r>
        <w:rPr>
          <w:rFonts w:hint="eastAsia" w:ascii="方正仿宋_GB2312" w:hAnsi="仿宋" w:eastAsia="方正仿宋_GB2312" w:cs="方正仿宋_GB2312"/>
          <w:color w:val="auto"/>
          <w:sz w:val="24"/>
          <w:highlight w:val="none"/>
        </w:rPr>
        <w:t>（由投标人根据采购需求自行编制）</w:t>
      </w:r>
    </w:p>
    <w:p w14:paraId="5B5425B4">
      <w:pPr>
        <w:spacing w:line="360" w:lineRule="auto"/>
        <w:jc w:val="center"/>
        <w:rPr>
          <w:rFonts w:ascii="方正仿宋_GB2312" w:hAnsi="仿宋" w:eastAsia="方正仿宋_GB2312" w:cs="方正仿宋_GB2312"/>
          <w:color w:val="auto"/>
          <w:sz w:val="24"/>
          <w:highlight w:val="none"/>
        </w:rPr>
      </w:pPr>
    </w:p>
    <w:p w14:paraId="134FDB70">
      <w:pPr>
        <w:autoSpaceDE w:val="0"/>
        <w:autoSpaceDN w:val="0"/>
        <w:spacing w:line="360" w:lineRule="auto"/>
        <w:ind w:firstLine="4800" w:firstLineChars="2000"/>
        <w:rPr>
          <w:rFonts w:ascii="方正仿宋_GB2312" w:hAnsi="仿宋" w:eastAsia="方正仿宋_GB2312" w:cs="方正仿宋_GB2312"/>
          <w:color w:val="auto"/>
          <w:sz w:val="24"/>
          <w:highlight w:val="none"/>
        </w:rPr>
      </w:pPr>
      <w:r>
        <w:rPr>
          <w:rFonts w:hint="eastAsia" w:ascii="方正仿宋_GB2312" w:hAnsi="仿宋" w:eastAsia="方正仿宋_GB2312" w:cs="方正仿宋_GB2312"/>
          <w:color w:val="auto"/>
          <w:kern w:val="0"/>
          <w:sz w:val="24"/>
          <w:highlight w:val="none"/>
        </w:rPr>
        <w:t>投标人名称（电子</w:t>
      </w:r>
      <w:r>
        <w:rPr>
          <w:rFonts w:hint="eastAsia" w:ascii="方正仿宋_GB2312" w:hAnsi="仿宋" w:eastAsia="方正仿宋_GB2312" w:cs="方正仿宋_GB2312"/>
          <w:color w:val="auto"/>
          <w:kern w:val="0"/>
          <w:sz w:val="24"/>
          <w:highlight w:val="none"/>
          <w:lang w:val="zh-CN"/>
        </w:rPr>
        <w:t>签章</w:t>
      </w:r>
      <w:r>
        <w:rPr>
          <w:rFonts w:hint="eastAsia" w:ascii="方正仿宋_GB2312" w:hAnsi="仿宋" w:eastAsia="方正仿宋_GB2312" w:cs="方正仿宋_GB2312"/>
          <w:color w:val="auto"/>
          <w:kern w:val="0"/>
          <w:sz w:val="24"/>
          <w:highlight w:val="none"/>
        </w:rPr>
        <w:t xml:space="preserve">）：                       </w:t>
      </w:r>
    </w:p>
    <w:p w14:paraId="1FCC7BC1">
      <w:pPr>
        <w:autoSpaceDE w:val="0"/>
        <w:autoSpaceDN w:val="0"/>
        <w:spacing w:line="360" w:lineRule="auto"/>
        <w:rPr>
          <w:rFonts w:ascii="方正仿宋_GB2312" w:hAnsi="仿宋" w:eastAsia="方正仿宋_GB2312" w:cs="方正仿宋_GB2312"/>
          <w:b/>
          <w:bCs/>
          <w:color w:val="auto"/>
          <w:sz w:val="30"/>
          <w:szCs w:val="30"/>
          <w:highlight w:val="none"/>
        </w:rPr>
      </w:pPr>
      <w:r>
        <w:rPr>
          <w:rFonts w:hint="eastAsia" w:ascii="方正仿宋_GB2312" w:hAnsi="仿宋" w:eastAsia="方正仿宋_GB2312" w:cs="方正仿宋_GB2312"/>
          <w:color w:val="auto"/>
          <w:kern w:val="0"/>
          <w:sz w:val="24"/>
          <w:highlight w:val="none"/>
          <w:lang w:val="zh-CN"/>
        </w:rPr>
        <w:t>日期：  年  月   日</w:t>
      </w:r>
    </w:p>
    <w:p w14:paraId="316B5AEF">
      <w:pPr>
        <w:widowControl/>
        <w:jc w:val="left"/>
        <w:rPr>
          <w:rFonts w:ascii="宋体" w:hAnsi="宋体"/>
          <w:b/>
          <w:bCs/>
          <w:color w:val="auto"/>
          <w:sz w:val="24"/>
          <w:highlight w:val="none"/>
        </w:rPr>
        <w:sectPr>
          <w:pgSz w:w="11906" w:h="16838"/>
          <w:pgMar w:top="1134" w:right="1134" w:bottom="1134" w:left="1134" w:header="720" w:footer="720" w:gutter="0"/>
          <w:pgNumType w:fmt="decimal"/>
          <w:cols w:space="720" w:num="1"/>
          <w:docGrid w:type="lines" w:linePitch="331" w:charSpace="0"/>
        </w:sectPr>
      </w:pPr>
    </w:p>
    <w:p w14:paraId="208011D4">
      <w:pPr>
        <w:pStyle w:val="7"/>
        <w:jc w:val="center"/>
        <w:outlineLvl w:val="1"/>
        <w:rPr>
          <w:rFonts w:hAnsi="宋体"/>
          <w:b/>
          <w:bCs/>
          <w:color w:val="auto"/>
          <w:sz w:val="28"/>
          <w:szCs w:val="28"/>
          <w:highlight w:val="none"/>
        </w:rPr>
      </w:pPr>
      <w:bookmarkStart w:id="329" w:name="_Toc187761576"/>
      <w:r>
        <w:rPr>
          <w:rFonts w:hint="eastAsia" w:hAnsi="宋体"/>
          <w:b/>
          <w:bCs/>
          <w:color w:val="auto"/>
          <w:sz w:val="28"/>
          <w:szCs w:val="28"/>
          <w:highlight w:val="none"/>
        </w:rPr>
        <w:t>第五节 报价文件格式</w:t>
      </w:r>
      <w:bookmarkEnd w:id="329"/>
    </w:p>
    <w:p w14:paraId="5C09A51A">
      <w:pPr>
        <w:snapToGrid w:val="0"/>
        <w:spacing w:before="165" w:beforeLines="50" w:after="50" w:line="400" w:lineRule="exact"/>
        <w:rPr>
          <w:rFonts w:ascii="宋体" w:hAnsi="宋体"/>
          <w:bCs/>
          <w:color w:val="auto"/>
          <w:sz w:val="32"/>
          <w:szCs w:val="20"/>
          <w:highlight w:val="none"/>
        </w:rPr>
      </w:pPr>
      <w:r>
        <w:rPr>
          <w:rFonts w:hint="eastAsia" w:ascii="宋体" w:hAnsi="宋体"/>
          <w:bCs/>
          <w:color w:val="auto"/>
          <w:highlight w:val="none"/>
        </w:rPr>
        <w:t>电子投标文件</w:t>
      </w:r>
    </w:p>
    <w:p w14:paraId="714BB732">
      <w:pPr>
        <w:snapToGrid w:val="0"/>
        <w:spacing w:before="165" w:beforeLines="50" w:after="50" w:line="400" w:lineRule="exact"/>
        <w:jc w:val="center"/>
        <w:rPr>
          <w:rFonts w:ascii="宋体" w:hAnsi="宋体"/>
          <w:bCs/>
          <w:color w:val="auto"/>
          <w:sz w:val="24"/>
          <w:szCs w:val="20"/>
          <w:highlight w:val="none"/>
        </w:rPr>
      </w:pPr>
    </w:p>
    <w:p w14:paraId="1373D9F4">
      <w:pPr>
        <w:snapToGrid w:val="0"/>
        <w:spacing w:before="165" w:beforeLines="50" w:after="50" w:line="400" w:lineRule="exact"/>
        <w:jc w:val="center"/>
        <w:rPr>
          <w:rFonts w:ascii="宋体" w:hAnsi="宋体"/>
          <w:b/>
          <w:bCs/>
          <w:color w:val="auto"/>
          <w:sz w:val="32"/>
          <w:szCs w:val="32"/>
          <w:highlight w:val="none"/>
        </w:rPr>
      </w:pPr>
      <w:r>
        <w:rPr>
          <w:rFonts w:hint="eastAsia" w:ascii="宋体" w:hAnsi="宋体"/>
          <w:b/>
          <w:bCs/>
          <w:color w:val="auto"/>
          <w:sz w:val="32"/>
          <w:szCs w:val="32"/>
          <w:highlight w:val="none"/>
        </w:rPr>
        <w:t>报价文件（封面）</w:t>
      </w:r>
    </w:p>
    <w:p w14:paraId="0B1B9B46">
      <w:pPr>
        <w:snapToGrid w:val="0"/>
        <w:spacing w:before="165" w:beforeLines="50" w:after="50" w:line="400" w:lineRule="exact"/>
        <w:rPr>
          <w:rFonts w:ascii="宋体" w:hAnsi="宋体"/>
          <w:bCs/>
          <w:color w:val="auto"/>
          <w:sz w:val="24"/>
          <w:szCs w:val="20"/>
          <w:highlight w:val="none"/>
        </w:rPr>
      </w:pPr>
    </w:p>
    <w:p w14:paraId="7C6A25B0">
      <w:pPr>
        <w:snapToGrid w:val="0"/>
        <w:spacing w:before="165" w:beforeLines="50" w:after="50" w:line="400" w:lineRule="exact"/>
        <w:rPr>
          <w:rFonts w:ascii="宋体" w:hAnsi="宋体"/>
          <w:bCs/>
          <w:color w:val="auto"/>
          <w:sz w:val="24"/>
          <w:szCs w:val="20"/>
          <w:highlight w:val="none"/>
        </w:rPr>
      </w:pPr>
    </w:p>
    <w:p w14:paraId="79748D5C">
      <w:pPr>
        <w:snapToGrid w:val="0"/>
        <w:spacing w:before="165" w:beforeLines="50" w:after="50" w:line="400" w:lineRule="exact"/>
        <w:rPr>
          <w:rFonts w:ascii="宋体" w:hAnsi="宋体"/>
          <w:bCs/>
          <w:color w:val="auto"/>
          <w:sz w:val="24"/>
          <w:szCs w:val="20"/>
          <w:highlight w:val="none"/>
        </w:rPr>
      </w:pPr>
    </w:p>
    <w:p w14:paraId="0C441E99">
      <w:pPr>
        <w:snapToGrid w:val="0"/>
        <w:spacing w:before="165" w:beforeLines="50" w:after="50" w:line="400" w:lineRule="exact"/>
        <w:rPr>
          <w:rFonts w:ascii="宋体" w:hAnsi="宋体"/>
          <w:bCs/>
          <w:color w:val="auto"/>
          <w:sz w:val="24"/>
          <w:szCs w:val="20"/>
          <w:highlight w:val="none"/>
        </w:rPr>
      </w:pPr>
    </w:p>
    <w:p w14:paraId="7E483FB4">
      <w:pPr>
        <w:snapToGrid w:val="0"/>
        <w:spacing w:before="165" w:beforeLines="50" w:after="50" w:line="400" w:lineRule="exact"/>
        <w:ind w:firstLine="360" w:firstLineChars="150"/>
        <w:rPr>
          <w:rFonts w:ascii="宋体" w:hAnsi="宋体"/>
          <w:bCs/>
          <w:color w:val="auto"/>
          <w:sz w:val="24"/>
          <w:highlight w:val="none"/>
        </w:rPr>
      </w:pPr>
      <w:r>
        <w:rPr>
          <w:rFonts w:hint="eastAsia" w:ascii="宋体" w:hAnsi="宋体"/>
          <w:bCs/>
          <w:color w:val="auto"/>
          <w:sz w:val="24"/>
          <w:highlight w:val="none"/>
        </w:rPr>
        <w:t xml:space="preserve">项目名称： </w:t>
      </w:r>
      <w:bookmarkStart w:id="330" w:name="PO_3000001866_PM002_10"/>
      <w:r>
        <w:rPr>
          <w:rFonts w:hint="eastAsia" w:ascii="宋体" w:hAnsi="宋体"/>
          <w:bCs/>
          <w:color w:val="auto"/>
          <w:sz w:val="24"/>
          <w:highlight w:val="none"/>
        </w:rPr>
        <w:t>[项目采购-项目名称]</w:t>
      </w:r>
      <w:bookmarkEnd w:id="330"/>
    </w:p>
    <w:p w14:paraId="03506A7A">
      <w:pPr>
        <w:snapToGrid w:val="0"/>
        <w:spacing w:before="165" w:beforeLines="50" w:after="50" w:line="400" w:lineRule="exact"/>
        <w:ind w:firstLine="360" w:firstLineChars="150"/>
        <w:rPr>
          <w:rFonts w:ascii="宋体" w:hAnsi="宋体"/>
          <w:bCs/>
          <w:color w:val="auto"/>
          <w:sz w:val="24"/>
          <w:highlight w:val="none"/>
        </w:rPr>
      </w:pPr>
    </w:p>
    <w:p w14:paraId="3CC4BAD3">
      <w:pPr>
        <w:snapToGrid w:val="0"/>
        <w:spacing w:before="165" w:beforeLines="50" w:after="50" w:line="400" w:lineRule="exact"/>
        <w:ind w:firstLine="360" w:firstLineChars="150"/>
        <w:rPr>
          <w:rFonts w:ascii="宋体" w:hAnsi="宋体"/>
          <w:bCs/>
          <w:color w:val="auto"/>
          <w:sz w:val="24"/>
          <w:highlight w:val="none"/>
        </w:rPr>
      </w:pPr>
      <w:r>
        <w:rPr>
          <w:rFonts w:hint="eastAsia" w:ascii="宋体" w:hAnsi="宋体"/>
          <w:bCs/>
          <w:color w:val="auto"/>
          <w:sz w:val="24"/>
          <w:highlight w:val="none"/>
        </w:rPr>
        <w:t xml:space="preserve">项目编号： </w:t>
      </w:r>
      <w:bookmarkStart w:id="331" w:name="PO_3000001866_PM001_7"/>
      <w:r>
        <w:rPr>
          <w:rFonts w:hint="eastAsia" w:ascii="宋体" w:hAnsi="宋体"/>
          <w:bCs/>
          <w:color w:val="auto"/>
          <w:sz w:val="24"/>
          <w:highlight w:val="none"/>
        </w:rPr>
        <w:t>[项目采购-项目编号]</w:t>
      </w:r>
      <w:bookmarkEnd w:id="331"/>
    </w:p>
    <w:p w14:paraId="6B82D08E">
      <w:pPr>
        <w:snapToGrid w:val="0"/>
        <w:spacing w:before="165" w:beforeLines="50" w:after="50" w:line="400" w:lineRule="exact"/>
        <w:ind w:firstLine="360" w:firstLineChars="150"/>
        <w:rPr>
          <w:rFonts w:ascii="宋体" w:hAnsi="宋体"/>
          <w:bCs/>
          <w:color w:val="auto"/>
          <w:sz w:val="24"/>
          <w:highlight w:val="none"/>
        </w:rPr>
      </w:pPr>
    </w:p>
    <w:p w14:paraId="161F6152">
      <w:pPr>
        <w:snapToGrid w:val="0"/>
        <w:spacing w:before="165" w:beforeLines="50" w:after="50" w:line="400" w:lineRule="exact"/>
        <w:ind w:firstLine="360" w:firstLineChars="150"/>
        <w:rPr>
          <w:rFonts w:ascii="宋体" w:hAnsi="宋体"/>
          <w:bCs/>
          <w:color w:val="auto"/>
          <w:sz w:val="24"/>
          <w:highlight w:val="none"/>
        </w:rPr>
      </w:pPr>
      <w:r>
        <w:rPr>
          <w:rFonts w:hint="eastAsia" w:ascii="宋体" w:hAnsi="宋体"/>
          <w:bCs/>
          <w:color w:val="auto"/>
          <w:sz w:val="24"/>
          <w:highlight w:val="none"/>
        </w:rPr>
        <w:t>所投分标：</w:t>
      </w:r>
    </w:p>
    <w:p w14:paraId="681B30A1">
      <w:pPr>
        <w:snapToGrid w:val="0"/>
        <w:spacing w:before="165" w:beforeLines="50" w:after="50" w:line="400" w:lineRule="exact"/>
        <w:ind w:firstLine="360" w:firstLineChars="150"/>
        <w:rPr>
          <w:rFonts w:ascii="宋体" w:hAnsi="宋体"/>
          <w:bCs/>
          <w:color w:val="auto"/>
          <w:sz w:val="24"/>
          <w:highlight w:val="none"/>
        </w:rPr>
      </w:pPr>
    </w:p>
    <w:p w14:paraId="18D5FD68">
      <w:pPr>
        <w:snapToGrid w:val="0"/>
        <w:spacing w:before="165" w:beforeLines="50" w:after="50" w:line="400" w:lineRule="exact"/>
        <w:ind w:firstLine="360" w:firstLineChars="150"/>
        <w:rPr>
          <w:rFonts w:ascii="宋体" w:hAnsi="宋体"/>
          <w:bCs/>
          <w:color w:val="auto"/>
          <w:sz w:val="24"/>
          <w:highlight w:val="none"/>
        </w:rPr>
      </w:pPr>
      <w:r>
        <w:rPr>
          <w:rFonts w:hint="eastAsia" w:ascii="宋体" w:hAnsi="宋体"/>
          <w:bCs/>
          <w:color w:val="auto"/>
          <w:sz w:val="24"/>
          <w:highlight w:val="none"/>
        </w:rPr>
        <w:t>投标人名称：</w:t>
      </w:r>
    </w:p>
    <w:p w14:paraId="1050F0C1">
      <w:pPr>
        <w:snapToGrid w:val="0"/>
        <w:spacing w:before="165" w:beforeLines="50" w:after="50" w:line="400" w:lineRule="exact"/>
        <w:ind w:firstLine="360" w:firstLineChars="150"/>
        <w:rPr>
          <w:rFonts w:ascii="宋体" w:hAnsi="宋体"/>
          <w:bCs/>
          <w:color w:val="auto"/>
          <w:sz w:val="24"/>
          <w:highlight w:val="none"/>
        </w:rPr>
      </w:pPr>
    </w:p>
    <w:p w14:paraId="791627D4">
      <w:pPr>
        <w:snapToGrid w:val="0"/>
        <w:spacing w:before="165" w:beforeLines="50" w:after="50" w:line="400" w:lineRule="exact"/>
        <w:ind w:firstLine="360" w:firstLineChars="150"/>
        <w:rPr>
          <w:rFonts w:ascii="宋体" w:hAnsi="宋体"/>
          <w:bCs/>
          <w:color w:val="auto"/>
          <w:sz w:val="24"/>
          <w:highlight w:val="none"/>
        </w:rPr>
      </w:pPr>
      <w:r>
        <w:rPr>
          <w:rFonts w:hint="eastAsia" w:ascii="宋体" w:hAnsi="宋体"/>
          <w:bCs/>
          <w:color w:val="auto"/>
          <w:sz w:val="24"/>
          <w:highlight w:val="none"/>
        </w:rPr>
        <w:t>投标人地址：</w:t>
      </w:r>
    </w:p>
    <w:p w14:paraId="665DEE2D">
      <w:pPr>
        <w:pStyle w:val="15"/>
        <w:snapToGrid w:val="0"/>
        <w:spacing w:before="50" w:after="50" w:line="400" w:lineRule="exact"/>
        <w:ind w:firstLine="960" w:firstLineChars="400"/>
        <w:rPr>
          <w:rFonts w:ascii="宋体" w:hAnsi="宋体"/>
          <w:bCs/>
          <w:color w:val="auto"/>
          <w:sz w:val="24"/>
          <w:szCs w:val="24"/>
          <w:highlight w:val="none"/>
        </w:rPr>
      </w:pPr>
    </w:p>
    <w:p w14:paraId="5132B5FC">
      <w:pPr>
        <w:snapToGrid w:val="0"/>
        <w:spacing w:before="165" w:beforeLines="50" w:after="50" w:line="400" w:lineRule="exact"/>
        <w:rPr>
          <w:rFonts w:ascii="宋体" w:hAnsi="宋体"/>
          <w:color w:val="auto"/>
          <w:sz w:val="24"/>
          <w:highlight w:val="none"/>
        </w:rPr>
      </w:pPr>
      <w:r>
        <w:rPr>
          <w:rFonts w:hint="eastAsia" w:ascii="宋体" w:hAnsi="宋体"/>
          <w:color w:val="auto"/>
          <w:sz w:val="24"/>
          <w:highlight w:val="none"/>
        </w:rPr>
        <w:t xml:space="preserve">                                                       年  月  日</w:t>
      </w:r>
    </w:p>
    <w:p w14:paraId="1651D579">
      <w:pPr>
        <w:widowControl/>
        <w:jc w:val="left"/>
        <w:rPr>
          <w:rFonts w:ascii="宋体" w:hAnsi="宋体"/>
          <w:color w:val="auto"/>
          <w:sz w:val="24"/>
          <w:highlight w:val="none"/>
        </w:rPr>
        <w:sectPr>
          <w:pgSz w:w="11906" w:h="16838"/>
          <w:pgMar w:top="1134" w:right="1134" w:bottom="1134" w:left="1134" w:header="720" w:footer="720" w:gutter="0"/>
          <w:pgNumType w:fmt="decimal"/>
          <w:cols w:space="720" w:num="1"/>
          <w:docGrid w:type="lines" w:linePitch="331" w:charSpace="0"/>
        </w:sectPr>
      </w:pPr>
    </w:p>
    <w:p w14:paraId="682C3777">
      <w:pPr>
        <w:rPr>
          <w:rFonts w:ascii="宋体" w:hAnsi="宋体" w:cs="宋体"/>
          <w:color w:val="auto"/>
          <w:highlight w:val="none"/>
        </w:rPr>
      </w:pPr>
    </w:p>
    <w:p w14:paraId="52D567CF">
      <w:pPr>
        <w:snapToGrid w:val="0"/>
        <w:spacing w:before="165" w:beforeLines="50" w:after="50" w:line="400" w:lineRule="exact"/>
        <w:jc w:val="center"/>
        <w:rPr>
          <w:rFonts w:ascii="宋体" w:hAnsi="宋体"/>
          <w:b/>
          <w:bCs/>
          <w:color w:val="auto"/>
          <w:sz w:val="32"/>
          <w:szCs w:val="32"/>
          <w:highlight w:val="none"/>
        </w:rPr>
      </w:pPr>
      <w:r>
        <w:rPr>
          <w:rFonts w:hint="eastAsia" w:ascii="宋体" w:hAnsi="宋体"/>
          <w:b/>
          <w:bCs/>
          <w:color w:val="auto"/>
          <w:sz w:val="32"/>
          <w:szCs w:val="32"/>
          <w:highlight w:val="none"/>
        </w:rPr>
        <w:t>报价文件目录</w:t>
      </w:r>
    </w:p>
    <w:p w14:paraId="0380334E">
      <w:pPr>
        <w:rPr>
          <w:rFonts w:ascii="宋体" w:hAnsi="宋体" w:cs="宋体"/>
          <w:color w:val="auto"/>
          <w:highlight w:val="none"/>
        </w:rPr>
      </w:pPr>
    </w:p>
    <w:p w14:paraId="2CA56244">
      <w:pPr>
        <w:rPr>
          <w:rFonts w:ascii="方正仿宋_GB2312" w:hAnsi="仿宋" w:eastAsia="方正仿宋_GB2312" w:cs="方正仿宋_GB2312"/>
          <w:color w:val="auto"/>
          <w:kern w:val="0"/>
          <w:sz w:val="24"/>
          <w:highlight w:val="none"/>
        </w:rPr>
      </w:pPr>
      <w:r>
        <w:rPr>
          <w:rFonts w:hint="eastAsia" w:ascii="方正仿宋_GB2312" w:hAnsi="仿宋" w:eastAsia="方正仿宋_GB2312" w:cs="方正仿宋_GB2312"/>
          <w:color w:val="auto"/>
          <w:kern w:val="0"/>
          <w:sz w:val="24"/>
          <w:highlight w:val="none"/>
        </w:rPr>
        <w:t>一、投标函………………………………………………………（页码）</w:t>
      </w:r>
    </w:p>
    <w:p w14:paraId="7132B0DB">
      <w:pPr>
        <w:rPr>
          <w:rFonts w:hint="eastAsia" w:ascii="方正仿宋_GB2312" w:hAnsi="仿宋" w:eastAsia="方正仿宋_GB2312" w:cs="方正仿宋_GB2312"/>
          <w:color w:val="auto"/>
          <w:kern w:val="0"/>
          <w:sz w:val="24"/>
          <w:highlight w:val="none"/>
        </w:rPr>
      </w:pPr>
      <w:r>
        <w:rPr>
          <w:rFonts w:hint="eastAsia" w:ascii="方正仿宋_GB2312" w:hAnsi="仿宋" w:eastAsia="方正仿宋_GB2312" w:cs="方正仿宋_GB2312"/>
          <w:color w:val="auto"/>
          <w:kern w:val="0"/>
          <w:sz w:val="24"/>
          <w:highlight w:val="none"/>
        </w:rPr>
        <w:t>二、开标一览表…………………………………………………（页码）</w:t>
      </w:r>
    </w:p>
    <w:p w14:paraId="3E2D7EDA">
      <w:pPr>
        <w:rPr>
          <w:rFonts w:hint="eastAsia" w:ascii="方正仿宋_GB2312" w:hAnsi="仿宋" w:eastAsia="方正仿宋_GB2312" w:cs="方正仿宋_GB2312"/>
          <w:color w:val="auto"/>
          <w:kern w:val="0"/>
          <w:sz w:val="24"/>
          <w:highlight w:val="none"/>
        </w:rPr>
      </w:pPr>
      <w:r>
        <w:rPr>
          <w:rFonts w:hint="eastAsia" w:ascii="方正仿宋_GB2312" w:hAnsi="仿宋" w:eastAsia="方正仿宋_GB2312" w:cs="方正仿宋_GB2312"/>
          <w:color w:val="auto"/>
          <w:kern w:val="0"/>
          <w:sz w:val="24"/>
          <w:highlight w:val="none"/>
          <w:lang w:val="en-US" w:eastAsia="zh-CN"/>
        </w:rPr>
        <w:t>三、</w:t>
      </w:r>
      <w:r>
        <w:rPr>
          <w:rFonts w:hint="eastAsia" w:ascii="方正仿宋_GB2312" w:hAnsi="仿宋" w:eastAsia="方正仿宋_GB2312" w:cs="方正仿宋_GB2312"/>
          <w:color w:val="auto"/>
          <w:kern w:val="0"/>
          <w:sz w:val="24"/>
          <w:highlight w:val="none"/>
        </w:rPr>
        <w:t>投标人针对报价需要说明的其他文件和说明……………（页码）</w:t>
      </w:r>
    </w:p>
    <w:p w14:paraId="4351FED4">
      <w:pPr>
        <w:rPr>
          <w:rFonts w:hint="eastAsia" w:ascii="Times New Roman" w:hAnsi="Times New Roman"/>
          <w:b/>
          <w:bCs/>
          <w:color w:val="auto"/>
          <w:sz w:val="30"/>
          <w:szCs w:val="30"/>
          <w:highlight w:val="none"/>
        </w:rPr>
      </w:pPr>
      <w:r>
        <w:rPr>
          <w:rFonts w:hint="eastAsia" w:ascii="Times New Roman" w:hAnsi="Times New Roman"/>
          <w:b/>
          <w:bCs/>
          <w:color w:val="auto"/>
          <w:sz w:val="30"/>
          <w:szCs w:val="30"/>
          <w:highlight w:val="none"/>
        </w:rPr>
        <w:br w:type="page"/>
      </w:r>
    </w:p>
    <w:p w14:paraId="15452E9D">
      <w:pPr>
        <w:pStyle w:val="7"/>
        <w:spacing w:line="500" w:lineRule="exact"/>
        <w:jc w:val="center"/>
        <w:rPr>
          <w:rFonts w:ascii="Times New Roman" w:hAnsi="Times New Roman"/>
          <w:b/>
          <w:bCs/>
          <w:color w:val="auto"/>
          <w:sz w:val="30"/>
          <w:szCs w:val="30"/>
          <w:highlight w:val="none"/>
        </w:rPr>
      </w:pPr>
      <w:r>
        <w:rPr>
          <w:rFonts w:hint="eastAsia" w:ascii="Times New Roman" w:hAnsi="Times New Roman"/>
          <w:b/>
          <w:bCs/>
          <w:color w:val="auto"/>
          <w:sz w:val="30"/>
          <w:szCs w:val="30"/>
          <w:highlight w:val="none"/>
        </w:rPr>
        <w:t>一、投标函</w:t>
      </w:r>
    </w:p>
    <w:p w14:paraId="21E5E089">
      <w:pPr>
        <w:pStyle w:val="7"/>
        <w:spacing w:line="440" w:lineRule="exact"/>
        <w:ind w:firstLine="420" w:firstLineChars="200"/>
        <w:rPr>
          <w:rFonts w:ascii="Times New Roman" w:hAnsi="Times New Roman"/>
          <w:color w:val="auto"/>
          <w:highlight w:val="none"/>
        </w:rPr>
      </w:pPr>
      <w:r>
        <w:rPr>
          <w:rFonts w:hint="eastAsia" w:ascii="Times New Roman" w:hAnsi="Times New Roman"/>
          <w:color w:val="auto"/>
          <w:highlight w:val="none"/>
        </w:rPr>
        <w:t>致：</w:t>
      </w:r>
      <w:bookmarkStart w:id="332" w:name="PO_3000001866_PM031_4"/>
      <w:r>
        <w:rPr>
          <w:rFonts w:ascii="Times New Roman" w:hAnsi="Times New Roman"/>
          <w:color w:val="auto"/>
          <w:highlight w:val="none"/>
          <w:u w:val="single"/>
        </w:rPr>
        <w:t>[</w:t>
      </w:r>
      <w:r>
        <w:rPr>
          <w:rFonts w:hint="eastAsia" w:ascii="Times New Roman" w:hAnsi="Times New Roman"/>
          <w:color w:val="auto"/>
          <w:highlight w:val="none"/>
          <w:u w:val="single"/>
        </w:rPr>
        <w:t>项目采购</w:t>
      </w:r>
      <w:r>
        <w:rPr>
          <w:rFonts w:ascii="Times New Roman" w:hAnsi="Times New Roman"/>
          <w:color w:val="auto"/>
          <w:highlight w:val="none"/>
          <w:u w:val="single"/>
        </w:rPr>
        <w:t>-</w:t>
      </w:r>
      <w:r>
        <w:rPr>
          <w:rFonts w:hint="eastAsia" w:ascii="Times New Roman" w:hAnsi="Times New Roman"/>
          <w:color w:val="auto"/>
          <w:highlight w:val="none"/>
          <w:u w:val="single"/>
        </w:rPr>
        <w:t>采购组织机构</w:t>
      </w:r>
      <w:r>
        <w:rPr>
          <w:rFonts w:ascii="Times New Roman" w:hAnsi="Times New Roman"/>
          <w:color w:val="auto"/>
          <w:highlight w:val="none"/>
          <w:u w:val="single"/>
        </w:rPr>
        <w:t>_]</w:t>
      </w:r>
      <w:bookmarkEnd w:id="332"/>
    </w:p>
    <w:p w14:paraId="6C25FD5F">
      <w:pPr>
        <w:pStyle w:val="7"/>
        <w:spacing w:line="440" w:lineRule="exact"/>
        <w:ind w:firstLine="420" w:firstLineChars="200"/>
        <w:rPr>
          <w:color w:val="auto"/>
          <w:highlight w:val="none"/>
        </w:rPr>
      </w:pPr>
      <w:r>
        <w:rPr>
          <w:rFonts w:hint="eastAsia"/>
          <w:color w:val="auto"/>
          <w:highlight w:val="none"/>
        </w:rPr>
        <w:t>我方已仔细阅读了贵方组织的</w:t>
      </w:r>
      <w:bookmarkStart w:id="333" w:name="PO_3000001866_PM002_3"/>
      <w:r>
        <w:rPr>
          <w:rFonts w:ascii="Times New Roman" w:hAnsi="Times New Roman"/>
          <w:color w:val="auto"/>
          <w:highlight w:val="none"/>
          <w:u w:val="single"/>
        </w:rPr>
        <w:t>[</w:t>
      </w:r>
      <w:r>
        <w:rPr>
          <w:rFonts w:hint="eastAsia" w:ascii="Times New Roman" w:hAnsi="Times New Roman"/>
          <w:color w:val="auto"/>
          <w:highlight w:val="none"/>
          <w:u w:val="single"/>
        </w:rPr>
        <w:t>项目采购</w:t>
      </w:r>
      <w:r>
        <w:rPr>
          <w:rFonts w:ascii="Times New Roman" w:hAnsi="Times New Roman"/>
          <w:color w:val="auto"/>
          <w:highlight w:val="none"/>
          <w:u w:val="single"/>
        </w:rPr>
        <w:t>-</w:t>
      </w:r>
      <w:r>
        <w:rPr>
          <w:rFonts w:hint="eastAsia" w:ascii="Times New Roman" w:hAnsi="Times New Roman"/>
          <w:color w:val="auto"/>
          <w:highlight w:val="none"/>
          <w:u w:val="single"/>
        </w:rPr>
        <w:t>项目名称</w:t>
      </w:r>
      <w:r>
        <w:rPr>
          <w:rFonts w:ascii="Times New Roman" w:hAnsi="Times New Roman"/>
          <w:color w:val="auto"/>
          <w:highlight w:val="none"/>
          <w:u w:val="single"/>
        </w:rPr>
        <w:t>_]</w:t>
      </w:r>
      <w:bookmarkEnd w:id="333"/>
      <w:r>
        <w:rPr>
          <w:rFonts w:hint="eastAsia"/>
          <w:color w:val="auto"/>
          <w:highlight w:val="none"/>
        </w:rPr>
        <w:t>项目（项目编号：</w:t>
      </w:r>
      <w:bookmarkStart w:id="334" w:name="PO_3000001866_PM001_3"/>
      <w:r>
        <w:rPr>
          <w:rFonts w:hint="eastAsia"/>
          <w:color w:val="auto"/>
          <w:highlight w:val="none"/>
        </w:rPr>
        <w:t>[项目采购-项目编号_]</w:t>
      </w:r>
      <w:bookmarkEnd w:id="334"/>
      <w:r>
        <w:rPr>
          <w:rFonts w:hint="eastAsia"/>
          <w:color w:val="auto"/>
          <w:highlight w:val="none"/>
        </w:rPr>
        <w:t xml:space="preserve">）的招标文件的全部内容，授权(全权代表姓名) (职务、职称)为全权代表，现正式递交下述文件参加贵方组织的本次政府采购活动： </w:t>
      </w:r>
    </w:p>
    <w:p w14:paraId="24C3743C">
      <w:pPr>
        <w:pStyle w:val="7"/>
        <w:spacing w:line="440" w:lineRule="exact"/>
        <w:ind w:firstLine="420" w:firstLineChars="200"/>
        <w:rPr>
          <w:color w:val="auto"/>
          <w:highlight w:val="none"/>
        </w:rPr>
      </w:pPr>
      <w:r>
        <w:rPr>
          <w:rFonts w:hint="eastAsia"/>
          <w:color w:val="auto"/>
          <w:highlight w:val="none"/>
        </w:rPr>
        <w:t>一、报价文件电子版一份（包含按投标人须知前附表要求提交的全部文件）；</w:t>
      </w:r>
    </w:p>
    <w:p w14:paraId="72120AD6">
      <w:pPr>
        <w:pStyle w:val="7"/>
        <w:spacing w:line="440" w:lineRule="exact"/>
        <w:ind w:firstLine="482"/>
        <w:rPr>
          <w:color w:val="auto"/>
          <w:highlight w:val="none"/>
        </w:rPr>
      </w:pPr>
      <w:r>
        <w:rPr>
          <w:rFonts w:hint="eastAsia"/>
          <w:color w:val="auto"/>
          <w:highlight w:val="none"/>
        </w:rPr>
        <w:t>二、资格文件电子版一份（包含按投标人须知前附表要求提交的全部文件）；</w:t>
      </w:r>
    </w:p>
    <w:p w14:paraId="277E2240">
      <w:pPr>
        <w:pStyle w:val="7"/>
        <w:spacing w:line="440" w:lineRule="exact"/>
        <w:ind w:firstLine="482"/>
        <w:rPr>
          <w:color w:val="auto"/>
          <w:highlight w:val="none"/>
        </w:rPr>
      </w:pPr>
      <w:r>
        <w:rPr>
          <w:rFonts w:hint="eastAsia"/>
          <w:color w:val="auto"/>
          <w:highlight w:val="none"/>
        </w:rPr>
        <w:t>三、</w:t>
      </w:r>
      <w:r>
        <w:rPr>
          <w:rFonts w:hint="eastAsia" w:hAnsi="宋体"/>
          <w:color w:val="auto"/>
          <w:highlight w:val="none"/>
        </w:rPr>
        <w:t>技术</w:t>
      </w:r>
      <w:r>
        <w:rPr>
          <w:rFonts w:hint="eastAsia"/>
          <w:color w:val="auto"/>
          <w:highlight w:val="none"/>
        </w:rPr>
        <w:t>文件电子版一份（包含按投标人须知前附表要求提交的全部文件）；</w:t>
      </w:r>
    </w:p>
    <w:p w14:paraId="7F9F37BD">
      <w:pPr>
        <w:pStyle w:val="7"/>
        <w:spacing w:line="440" w:lineRule="exact"/>
        <w:ind w:firstLine="482"/>
        <w:rPr>
          <w:color w:val="auto"/>
          <w:highlight w:val="none"/>
        </w:rPr>
      </w:pPr>
      <w:r>
        <w:rPr>
          <w:rFonts w:hint="eastAsia" w:hAnsi="宋体"/>
          <w:color w:val="auto"/>
          <w:highlight w:val="none"/>
        </w:rPr>
        <w:t>四、</w:t>
      </w:r>
      <w:r>
        <w:rPr>
          <w:rFonts w:hint="eastAsia"/>
          <w:color w:val="auto"/>
          <w:highlight w:val="none"/>
        </w:rPr>
        <w:t>商务</w:t>
      </w:r>
      <w:r>
        <w:rPr>
          <w:rFonts w:hint="eastAsia" w:hAnsi="宋体"/>
          <w:color w:val="auto"/>
          <w:highlight w:val="none"/>
        </w:rPr>
        <w:t>文件</w:t>
      </w:r>
      <w:r>
        <w:rPr>
          <w:rFonts w:hint="eastAsia"/>
          <w:color w:val="auto"/>
          <w:highlight w:val="none"/>
        </w:rPr>
        <w:t>电子版一份（包含按投标人须知前附表要求提交的全部文件）；</w:t>
      </w:r>
    </w:p>
    <w:p w14:paraId="0F31A21B">
      <w:pPr>
        <w:pStyle w:val="7"/>
        <w:spacing w:line="440" w:lineRule="exact"/>
        <w:ind w:firstLine="482"/>
        <w:rPr>
          <w:rFonts w:ascii="Times New Roman" w:hAnsi="Times New Roman"/>
          <w:color w:val="auto"/>
          <w:highlight w:val="none"/>
        </w:rPr>
      </w:pPr>
      <w:r>
        <w:rPr>
          <w:rFonts w:hint="eastAsia"/>
          <w:color w:val="auto"/>
          <w:highlight w:val="none"/>
        </w:rPr>
        <w:t>据此函，签字人兹宣布：</w:t>
      </w:r>
    </w:p>
    <w:p w14:paraId="732A26A7">
      <w:pPr>
        <w:pStyle w:val="7"/>
        <w:spacing w:line="440" w:lineRule="exact"/>
        <w:ind w:firstLine="420" w:firstLineChars="200"/>
        <w:rPr>
          <w:rFonts w:ascii="Times New Roman" w:hAnsi="Times New Roman"/>
          <w:color w:val="auto"/>
          <w:highlight w:val="none"/>
        </w:rPr>
      </w:pPr>
      <w:r>
        <w:rPr>
          <w:rFonts w:hint="eastAsia"/>
          <w:color w:val="auto"/>
          <w:highlight w:val="none"/>
        </w:rPr>
        <w:t>1、我方愿意以（大写）人民币元 (¥元)的投标总报价，提交服务成果时间（无分标时填写），提供本项目</w:t>
      </w:r>
      <w:r>
        <w:rPr>
          <w:rFonts w:hint="eastAsia" w:hAnsi="Times New Roman"/>
          <w:color w:val="auto"/>
          <w:highlight w:val="none"/>
        </w:rPr>
        <w:t>招标文件第二章</w:t>
      </w:r>
      <w:r>
        <w:rPr>
          <w:rFonts w:hint="eastAsia"/>
          <w:color w:val="auto"/>
          <w:highlight w:val="none"/>
        </w:rPr>
        <w:t>“服务需求”中的相应的采购内容。</w:t>
      </w:r>
    </w:p>
    <w:p w14:paraId="4623A055">
      <w:pPr>
        <w:pStyle w:val="7"/>
        <w:spacing w:line="440" w:lineRule="exact"/>
        <w:ind w:firstLine="420" w:firstLineChars="200"/>
        <w:rPr>
          <w:rFonts w:ascii="Times New Roman" w:hAnsi="Times New Roman"/>
          <w:color w:val="auto"/>
          <w:highlight w:val="none"/>
        </w:rPr>
      </w:pPr>
      <w:r>
        <w:rPr>
          <w:rFonts w:hint="eastAsia"/>
          <w:color w:val="auto"/>
          <w:highlight w:val="none"/>
        </w:rPr>
        <w:t>其中（有分标时填写）：</w:t>
      </w:r>
    </w:p>
    <w:p w14:paraId="13D68BC4">
      <w:pPr>
        <w:pStyle w:val="7"/>
        <w:spacing w:line="360" w:lineRule="exact"/>
        <w:ind w:firstLine="420" w:firstLineChars="200"/>
        <w:rPr>
          <w:color w:val="auto"/>
          <w:highlight w:val="none"/>
          <w:u w:val="single"/>
        </w:rPr>
      </w:pPr>
      <w:r>
        <w:rPr>
          <w:rFonts w:hint="eastAsia"/>
          <w:color w:val="auto"/>
          <w:highlight w:val="none"/>
        </w:rPr>
        <w:t>分标报价为（大写）人民币元 (¥元)，提交服务成果时间：；</w:t>
      </w:r>
    </w:p>
    <w:p w14:paraId="37CDF515">
      <w:pPr>
        <w:pStyle w:val="7"/>
        <w:spacing w:line="360" w:lineRule="exact"/>
        <w:ind w:firstLine="420" w:firstLineChars="200"/>
        <w:rPr>
          <w:color w:val="auto"/>
          <w:highlight w:val="none"/>
          <w:u w:val="single"/>
        </w:rPr>
      </w:pPr>
      <w:r>
        <w:rPr>
          <w:rFonts w:hint="eastAsia"/>
          <w:color w:val="auto"/>
          <w:highlight w:val="none"/>
        </w:rPr>
        <w:t>分标报价为（大写）人民币元 (¥元)，提交服务成果时间：；</w:t>
      </w:r>
    </w:p>
    <w:p w14:paraId="3C98EA6D">
      <w:pPr>
        <w:pStyle w:val="7"/>
        <w:spacing w:line="360" w:lineRule="exact"/>
        <w:ind w:firstLine="420" w:firstLineChars="200"/>
        <w:rPr>
          <w:color w:val="auto"/>
          <w:highlight w:val="none"/>
          <w:u w:val="single"/>
        </w:rPr>
      </w:pPr>
      <w:r>
        <w:rPr>
          <w:rFonts w:hint="eastAsia"/>
          <w:color w:val="auto"/>
          <w:highlight w:val="none"/>
        </w:rPr>
        <w:t>......</w:t>
      </w:r>
    </w:p>
    <w:p w14:paraId="0051205F">
      <w:pPr>
        <w:pStyle w:val="7"/>
        <w:spacing w:line="360" w:lineRule="exact"/>
        <w:ind w:firstLine="420" w:firstLineChars="200"/>
        <w:rPr>
          <w:color w:val="auto"/>
          <w:highlight w:val="none"/>
          <w:u w:val="single"/>
        </w:rPr>
      </w:pPr>
      <w:r>
        <w:rPr>
          <w:rFonts w:hint="eastAsia"/>
          <w:color w:val="auto"/>
          <w:highlight w:val="none"/>
        </w:rPr>
        <w:t>2、我方同意自本项目招标文件“第三章 投标人须知”第一节 投标人须知前附表 第21.2项规定的投标截止时间（开标时间）起遵循</w:t>
      </w:r>
      <w:r>
        <w:rPr>
          <w:rFonts w:hint="eastAsia" w:hAnsi="宋体"/>
          <w:color w:val="auto"/>
          <w:highlight w:val="none"/>
        </w:rPr>
        <w:t>本投标函</w:t>
      </w:r>
      <w:r>
        <w:rPr>
          <w:rFonts w:hint="eastAsia"/>
          <w:color w:val="auto"/>
          <w:highlight w:val="none"/>
        </w:rPr>
        <w:t>，并承诺在“投标人须知前附表”第17.2项规定的投标有效期内不修改、撤销投标文件。</w:t>
      </w:r>
    </w:p>
    <w:p w14:paraId="51AC4C2C">
      <w:pPr>
        <w:pStyle w:val="7"/>
        <w:spacing w:line="360" w:lineRule="exact"/>
        <w:ind w:firstLine="420" w:firstLineChars="200"/>
        <w:rPr>
          <w:color w:val="auto"/>
          <w:highlight w:val="none"/>
          <w:u w:val="single"/>
        </w:rPr>
      </w:pPr>
      <w:r>
        <w:rPr>
          <w:rFonts w:hint="eastAsia"/>
          <w:color w:val="auto"/>
          <w:highlight w:val="none"/>
        </w:rPr>
        <w:t>3、我方所递交的投标文件及有关资料都是内容完整、真实和准确的。</w:t>
      </w:r>
    </w:p>
    <w:p w14:paraId="00C470A5">
      <w:pPr>
        <w:pStyle w:val="7"/>
        <w:spacing w:line="440" w:lineRule="exact"/>
        <w:ind w:firstLine="482"/>
        <w:rPr>
          <w:color w:val="auto"/>
          <w:highlight w:val="none"/>
        </w:rPr>
      </w:pPr>
      <w:r>
        <w:rPr>
          <w:rFonts w:hint="eastAsia"/>
          <w:color w:val="auto"/>
          <w:highlight w:val="none"/>
        </w:rPr>
        <w:t>4、</w:t>
      </w:r>
      <w:r>
        <w:rPr>
          <w:rFonts w:hint="eastAsia"/>
          <w:color w:val="auto"/>
          <w:szCs w:val="21"/>
          <w:highlight w:val="none"/>
        </w:rPr>
        <w:t>如本项目采购内容涉及须符合国家强制规定的，我方承诺我方本次投标（包括资格条件和所投产品）均符合国家有关强制规定。</w:t>
      </w:r>
    </w:p>
    <w:p w14:paraId="157F0F92">
      <w:pPr>
        <w:pStyle w:val="7"/>
        <w:spacing w:line="440" w:lineRule="exact"/>
        <w:ind w:firstLine="420" w:firstLineChars="200"/>
        <w:rPr>
          <w:color w:val="auto"/>
          <w:highlight w:val="none"/>
        </w:rPr>
      </w:pPr>
      <w:r>
        <w:rPr>
          <w:rFonts w:hint="eastAsia"/>
          <w:color w:val="auto"/>
          <w:highlight w:val="none"/>
        </w:rPr>
        <w:t>5、如我方中标，我方承诺在收到中标通知书后，在中标通知书规定的期限内，</w:t>
      </w:r>
      <w:r>
        <w:rPr>
          <w:rFonts w:hint="eastAsia" w:hAnsi="宋体"/>
          <w:color w:val="auto"/>
          <w:highlight w:val="none"/>
        </w:rPr>
        <w:t>根据招标文件、我方的投标文件及有关澄清承诺书的要求按第五章“拟签订的合同文本”与采购人订立书面合同，并按照合同约定</w:t>
      </w:r>
      <w:r>
        <w:rPr>
          <w:rFonts w:hint="eastAsia"/>
          <w:color w:val="auto"/>
          <w:highlight w:val="none"/>
        </w:rPr>
        <w:t>承担完成合同的责任和义务。</w:t>
      </w:r>
    </w:p>
    <w:p w14:paraId="286651A9">
      <w:pPr>
        <w:pStyle w:val="7"/>
        <w:spacing w:line="440" w:lineRule="exact"/>
        <w:ind w:firstLine="420" w:firstLineChars="200"/>
        <w:rPr>
          <w:color w:val="auto"/>
          <w:highlight w:val="none"/>
        </w:rPr>
      </w:pPr>
      <w:r>
        <w:rPr>
          <w:rFonts w:hint="eastAsia"/>
          <w:color w:val="auto"/>
          <w:highlight w:val="none"/>
        </w:rPr>
        <w:t>6、我方已详细审核招标文件，我方知道必须放弃提出含糊不清或误解问题的权利。</w:t>
      </w:r>
    </w:p>
    <w:p w14:paraId="56CEA6FF">
      <w:pPr>
        <w:pStyle w:val="7"/>
        <w:spacing w:line="440" w:lineRule="exact"/>
        <w:ind w:firstLine="420" w:firstLineChars="200"/>
        <w:rPr>
          <w:color w:val="auto"/>
          <w:highlight w:val="none"/>
        </w:rPr>
      </w:pPr>
      <w:r>
        <w:rPr>
          <w:rFonts w:hint="eastAsia"/>
          <w:color w:val="auto"/>
          <w:highlight w:val="none"/>
        </w:rPr>
        <w:t>7、我方同意应贵方要求提供与本次投标有关的任何数据或资料。若贵方需要，我方愿意提供我方作出的一切承诺的证明材料。</w:t>
      </w:r>
    </w:p>
    <w:p w14:paraId="55D3B6EF">
      <w:pPr>
        <w:pStyle w:val="7"/>
        <w:spacing w:line="440" w:lineRule="exact"/>
        <w:ind w:firstLine="420" w:firstLineChars="200"/>
        <w:rPr>
          <w:color w:val="auto"/>
          <w:highlight w:val="none"/>
        </w:rPr>
      </w:pPr>
      <w:r>
        <w:rPr>
          <w:rFonts w:hint="eastAsia"/>
          <w:color w:val="auto"/>
          <w:highlight w:val="none"/>
        </w:rPr>
        <w:t>8、我方完全理解贵方不一定接受投标报价最低的投标人为中标供应商的行为。</w:t>
      </w:r>
    </w:p>
    <w:p w14:paraId="04980374">
      <w:pPr>
        <w:pStyle w:val="7"/>
        <w:spacing w:line="440" w:lineRule="exact"/>
        <w:ind w:firstLine="420" w:firstLineChars="200"/>
        <w:rPr>
          <w:color w:val="auto"/>
          <w:highlight w:val="none"/>
        </w:rPr>
      </w:pPr>
      <w:r>
        <w:rPr>
          <w:rFonts w:hint="eastAsia"/>
          <w:color w:val="auto"/>
          <w:highlight w:val="none"/>
        </w:rPr>
        <w:t>9、我方将严格遵守《中华人民共和国政府采购法》第七十七条的规定，即供应商有下列情形之一的，处以采购金额千分之五以上千分之十</w:t>
      </w:r>
      <w:r>
        <w:rPr>
          <w:rFonts w:hint="eastAsia" w:hAnsi="宋体"/>
          <w:color w:val="auto"/>
          <w:highlight w:val="none"/>
        </w:rPr>
        <w:t>以下的罚款，列入不良行为记录名单，在一至三年内禁止参加政府采购活动，有违法所得的，并处没收违法所得，情节严重的，由工商行政管理机关吊销营业执照；构成犯罪的，依法追究刑事责任：</w:t>
      </w:r>
    </w:p>
    <w:p w14:paraId="30177BA9">
      <w:pPr>
        <w:pStyle w:val="7"/>
        <w:numPr>
          <w:ilvl w:val="0"/>
          <w:numId w:val="5"/>
        </w:numPr>
        <w:spacing w:line="440" w:lineRule="exact"/>
        <w:rPr>
          <w:rFonts w:hAnsi="宋体"/>
          <w:color w:val="auto"/>
          <w:highlight w:val="none"/>
        </w:rPr>
      </w:pPr>
      <w:r>
        <w:rPr>
          <w:rFonts w:hint="eastAsia" w:hAnsi="宋体"/>
          <w:color w:val="auto"/>
          <w:highlight w:val="none"/>
        </w:rPr>
        <w:t>提供虚假材料谋取中标、成交的；</w:t>
      </w:r>
    </w:p>
    <w:p w14:paraId="05A11A79">
      <w:pPr>
        <w:pStyle w:val="7"/>
        <w:numPr>
          <w:ilvl w:val="0"/>
          <w:numId w:val="5"/>
        </w:numPr>
        <w:spacing w:line="440" w:lineRule="exact"/>
        <w:rPr>
          <w:rFonts w:hAnsi="宋体"/>
          <w:color w:val="auto"/>
          <w:highlight w:val="none"/>
        </w:rPr>
      </w:pPr>
      <w:r>
        <w:rPr>
          <w:rFonts w:hint="eastAsia" w:hAnsi="宋体"/>
          <w:color w:val="auto"/>
          <w:highlight w:val="none"/>
        </w:rPr>
        <w:t>采取不正当手段诋毁、排挤其他供应商的；</w:t>
      </w:r>
    </w:p>
    <w:p w14:paraId="4EA5B229">
      <w:pPr>
        <w:pStyle w:val="7"/>
        <w:numPr>
          <w:ilvl w:val="0"/>
          <w:numId w:val="5"/>
        </w:numPr>
        <w:spacing w:line="440" w:lineRule="exact"/>
        <w:rPr>
          <w:color w:val="auto"/>
          <w:highlight w:val="none"/>
        </w:rPr>
      </w:pPr>
      <w:r>
        <w:rPr>
          <w:rFonts w:hint="eastAsia" w:hAnsi="宋体"/>
          <w:color w:val="auto"/>
          <w:highlight w:val="none"/>
        </w:rPr>
        <w:t>与采购人、其他供应商或者采购代理机构恶意串通的；</w:t>
      </w:r>
    </w:p>
    <w:p w14:paraId="301E8C05">
      <w:pPr>
        <w:pStyle w:val="7"/>
        <w:numPr>
          <w:ilvl w:val="0"/>
          <w:numId w:val="5"/>
        </w:numPr>
        <w:spacing w:line="440" w:lineRule="exact"/>
        <w:rPr>
          <w:color w:val="auto"/>
          <w:highlight w:val="none"/>
        </w:rPr>
      </w:pPr>
      <w:r>
        <w:rPr>
          <w:rFonts w:hint="eastAsia" w:hAnsi="宋体"/>
          <w:color w:val="auto"/>
          <w:highlight w:val="none"/>
        </w:rPr>
        <w:t>向采购人、采购代理机构行贿或者提供其他不正当利益的；</w:t>
      </w:r>
    </w:p>
    <w:p w14:paraId="3A73777F">
      <w:pPr>
        <w:pStyle w:val="7"/>
        <w:numPr>
          <w:ilvl w:val="0"/>
          <w:numId w:val="5"/>
        </w:numPr>
        <w:spacing w:line="440" w:lineRule="exact"/>
        <w:rPr>
          <w:color w:val="auto"/>
          <w:highlight w:val="none"/>
        </w:rPr>
      </w:pPr>
      <w:r>
        <w:rPr>
          <w:rFonts w:hint="eastAsia" w:hAnsi="宋体"/>
          <w:color w:val="auto"/>
          <w:highlight w:val="none"/>
        </w:rPr>
        <w:t>在招标采购过程中与采购人进行协商谈判的；</w:t>
      </w:r>
    </w:p>
    <w:p w14:paraId="78A02DB8">
      <w:pPr>
        <w:pStyle w:val="7"/>
        <w:numPr>
          <w:ilvl w:val="0"/>
          <w:numId w:val="5"/>
        </w:numPr>
        <w:spacing w:line="440" w:lineRule="exact"/>
        <w:rPr>
          <w:color w:val="auto"/>
          <w:highlight w:val="none"/>
        </w:rPr>
      </w:pPr>
      <w:r>
        <w:rPr>
          <w:rFonts w:hint="eastAsia" w:hAnsi="宋体"/>
          <w:color w:val="auto"/>
          <w:highlight w:val="none"/>
        </w:rPr>
        <w:t>拒绝有关部门监督检查或提供虚假情况的。</w:t>
      </w:r>
    </w:p>
    <w:p w14:paraId="785C0E64">
      <w:pPr>
        <w:pStyle w:val="7"/>
        <w:spacing w:line="440" w:lineRule="exact"/>
        <w:ind w:left="420"/>
        <w:rPr>
          <w:color w:val="auto"/>
          <w:highlight w:val="none"/>
        </w:rPr>
      </w:pPr>
      <w:r>
        <w:rPr>
          <w:rFonts w:hint="eastAsia"/>
          <w:color w:val="auto"/>
          <w:highlight w:val="none"/>
        </w:rPr>
        <w:t>10、我方及由本人担任法定代表人的其他机构最近三年内被处罚的违法行为有：</w:t>
      </w:r>
    </w:p>
    <w:p w14:paraId="43DC3679">
      <w:pPr>
        <w:pStyle w:val="7"/>
        <w:spacing w:line="440" w:lineRule="exact"/>
        <w:ind w:left="420"/>
        <w:rPr>
          <w:color w:val="auto"/>
          <w:highlight w:val="none"/>
        </w:rPr>
      </w:pPr>
    </w:p>
    <w:p w14:paraId="3DD80E25">
      <w:pPr>
        <w:pStyle w:val="7"/>
        <w:spacing w:line="360" w:lineRule="auto"/>
        <w:ind w:firstLine="420"/>
        <w:rPr>
          <w:color w:val="auto"/>
          <w:highlight w:val="none"/>
        </w:rPr>
      </w:pPr>
      <w:r>
        <w:rPr>
          <w:rFonts w:hint="eastAsia"/>
          <w:color w:val="auto"/>
          <w:highlight w:val="none"/>
        </w:rPr>
        <w:t>11、以上事项如有虚假或隐瞒，我方愿意承担一切后果，并不再寻求任何旨在减轻或免除法律责任的辩解。</w:t>
      </w:r>
    </w:p>
    <w:p w14:paraId="3428EA4C">
      <w:pPr>
        <w:pStyle w:val="7"/>
        <w:spacing w:line="360" w:lineRule="auto"/>
        <w:ind w:firstLine="420"/>
        <w:rPr>
          <w:color w:val="auto"/>
          <w:highlight w:val="none"/>
        </w:rPr>
      </w:pPr>
      <w:r>
        <w:rPr>
          <w:rFonts w:hint="eastAsia"/>
          <w:color w:val="auto"/>
          <w:highlight w:val="none"/>
        </w:rPr>
        <w:t>12、与本投标有关的一切正式往来信函请寄：</w:t>
      </w:r>
    </w:p>
    <w:p w14:paraId="46EC7C96">
      <w:pPr>
        <w:pStyle w:val="7"/>
        <w:spacing w:line="360" w:lineRule="auto"/>
        <w:ind w:firstLine="420"/>
        <w:rPr>
          <w:color w:val="auto"/>
          <w:highlight w:val="none"/>
        </w:rPr>
      </w:pPr>
      <w:r>
        <w:rPr>
          <w:rFonts w:hint="eastAsia"/>
          <w:color w:val="auto"/>
          <w:highlight w:val="none"/>
        </w:rPr>
        <w:t>地址：</w:t>
      </w:r>
    </w:p>
    <w:p w14:paraId="7C1A76D0">
      <w:pPr>
        <w:pStyle w:val="7"/>
        <w:spacing w:line="360" w:lineRule="auto"/>
        <w:ind w:firstLine="420"/>
        <w:rPr>
          <w:color w:val="auto"/>
          <w:highlight w:val="none"/>
          <w:u w:val="single"/>
        </w:rPr>
      </w:pPr>
      <w:r>
        <w:rPr>
          <w:rFonts w:hint="eastAsia"/>
          <w:color w:val="auto"/>
          <w:highlight w:val="none"/>
        </w:rPr>
        <w:t>电话：</w:t>
      </w:r>
      <w:r>
        <w:rPr>
          <w:rFonts w:hint="eastAsia"/>
          <w:color w:val="auto"/>
          <w:highlight w:val="none"/>
          <w:u w:val="single"/>
        </w:rPr>
        <w:t xml:space="preserve">                                      　　　　　　　　　</w:t>
      </w:r>
    </w:p>
    <w:p w14:paraId="6A40C439">
      <w:pPr>
        <w:pStyle w:val="7"/>
        <w:spacing w:line="360" w:lineRule="auto"/>
        <w:ind w:firstLine="420"/>
        <w:rPr>
          <w:color w:val="auto"/>
          <w:highlight w:val="none"/>
        </w:rPr>
      </w:pPr>
      <w:r>
        <w:rPr>
          <w:rFonts w:hint="eastAsia"/>
          <w:color w:val="auto"/>
          <w:highlight w:val="none"/>
        </w:rPr>
        <w:t>传真：</w:t>
      </w:r>
      <w:r>
        <w:rPr>
          <w:rFonts w:hint="eastAsia"/>
          <w:color w:val="auto"/>
          <w:highlight w:val="none"/>
          <w:u w:val="single"/>
        </w:rPr>
        <w:t>　　　　　　　　　　　　　　　　　　　　　　　　　　　　</w:t>
      </w:r>
    </w:p>
    <w:p w14:paraId="423AEAD7">
      <w:pPr>
        <w:pStyle w:val="7"/>
        <w:spacing w:line="360" w:lineRule="auto"/>
        <w:ind w:firstLine="420"/>
        <w:rPr>
          <w:color w:val="auto"/>
          <w:highlight w:val="none"/>
          <w:u w:val="single"/>
        </w:rPr>
      </w:pPr>
      <w:r>
        <w:rPr>
          <w:rFonts w:hint="eastAsia"/>
          <w:color w:val="auto"/>
          <w:highlight w:val="none"/>
        </w:rPr>
        <w:t>邮政编码：</w:t>
      </w:r>
    </w:p>
    <w:p w14:paraId="128D02DF">
      <w:pPr>
        <w:pStyle w:val="7"/>
        <w:spacing w:line="360" w:lineRule="auto"/>
        <w:ind w:firstLine="420"/>
        <w:rPr>
          <w:color w:val="auto"/>
          <w:highlight w:val="none"/>
          <w:u w:val="single"/>
        </w:rPr>
      </w:pPr>
      <w:r>
        <w:rPr>
          <w:rFonts w:hint="eastAsia"/>
          <w:color w:val="auto"/>
          <w:highlight w:val="none"/>
        </w:rPr>
        <w:t>开户名称：</w:t>
      </w:r>
    </w:p>
    <w:p w14:paraId="1CA0EE37">
      <w:pPr>
        <w:pStyle w:val="7"/>
        <w:spacing w:line="360" w:lineRule="auto"/>
        <w:ind w:firstLine="420"/>
        <w:rPr>
          <w:color w:val="auto"/>
          <w:highlight w:val="none"/>
          <w:u w:val="single"/>
        </w:rPr>
      </w:pPr>
      <w:r>
        <w:rPr>
          <w:rFonts w:hint="eastAsia"/>
          <w:color w:val="auto"/>
          <w:highlight w:val="none"/>
        </w:rPr>
        <w:t>开户银行：</w:t>
      </w:r>
    </w:p>
    <w:p w14:paraId="3A1C3F87">
      <w:pPr>
        <w:pStyle w:val="7"/>
        <w:spacing w:line="360" w:lineRule="auto"/>
        <w:ind w:firstLine="420"/>
        <w:rPr>
          <w:color w:val="auto"/>
          <w:highlight w:val="none"/>
          <w:u w:val="single"/>
        </w:rPr>
      </w:pPr>
      <w:r>
        <w:rPr>
          <w:rFonts w:hint="eastAsia"/>
          <w:color w:val="auto"/>
          <w:highlight w:val="none"/>
        </w:rPr>
        <w:t>银行账号：</w:t>
      </w:r>
    </w:p>
    <w:p w14:paraId="44E7CA85">
      <w:pPr>
        <w:snapToGrid w:val="0"/>
        <w:spacing w:line="360" w:lineRule="auto"/>
        <w:ind w:firstLine="5040" w:firstLineChars="2100"/>
        <w:rPr>
          <w:rFonts w:ascii="方正仿宋_GB2312" w:hAnsi="仿宋" w:eastAsia="方正仿宋_GB2312" w:cs="方正仿宋_GB2312"/>
          <w:color w:val="auto"/>
          <w:kern w:val="0"/>
          <w:sz w:val="24"/>
          <w:highlight w:val="none"/>
        </w:rPr>
      </w:pPr>
      <w:r>
        <w:rPr>
          <w:rFonts w:hint="eastAsia" w:ascii="方正仿宋_GB2312" w:hAnsi="仿宋" w:eastAsia="方正仿宋_GB2312" w:cs="方正仿宋_GB2312"/>
          <w:color w:val="auto"/>
          <w:kern w:val="0"/>
          <w:sz w:val="24"/>
          <w:highlight w:val="none"/>
          <w:lang w:val="zh-CN"/>
        </w:rPr>
        <w:t>投标人名称(电子签章)：</w:t>
      </w:r>
    </w:p>
    <w:p w14:paraId="22F90A48">
      <w:pPr>
        <w:snapToGrid w:val="0"/>
        <w:spacing w:line="360" w:lineRule="auto"/>
        <w:ind w:firstLine="5160" w:firstLineChars="2150"/>
        <w:rPr>
          <w:rFonts w:ascii="方正仿宋_GB2312" w:hAnsi="仿宋" w:eastAsia="方正仿宋_GB2312" w:cs="方正仿宋_GB2312"/>
          <w:color w:val="auto"/>
          <w:kern w:val="0"/>
          <w:sz w:val="24"/>
          <w:highlight w:val="none"/>
          <w:lang w:val="zh-CN"/>
        </w:rPr>
      </w:pPr>
      <w:r>
        <w:rPr>
          <w:rFonts w:hint="eastAsia" w:ascii="方正仿宋_GB2312" w:hAnsi="仿宋" w:eastAsia="方正仿宋_GB2312" w:cs="方正仿宋_GB2312"/>
          <w:color w:val="auto"/>
          <w:kern w:val="0"/>
          <w:sz w:val="24"/>
          <w:highlight w:val="none"/>
          <w:lang w:val="zh-CN"/>
        </w:rPr>
        <w:t>日期</w:t>
      </w:r>
      <w:r>
        <w:rPr>
          <w:rFonts w:hint="eastAsia" w:ascii="方正仿宋_GB2312" w:hAnsi="仿宋" w:eastAsia="方正仿宋_GB2312" w:cs="方正仿宋_GB2312"/>
          <w:color w:val="auto"/>
          <w:kern w:val="0"/>
          <w:sz w:val="24"/>
          <w:highlight w:val="none"/>
        </w:rPr>
        <w:t xml:space="preserve">：  年  </w:t>
      </w:r>
      <w:r>
        <w:rPr>
          <w:rFonts w:hint="eastAsia" w:ascii="方正仿宋_GB2312" w:hAnsi="仿宋" w:eastAsia="方正仿宋_GB2312" w:cs="方正仿宋_GB2312"/>
          <w:color w:val="auto"/>
          <w:kern w:val="0"/>
          <w:sz w:val="24"/>
          <w:highlight w:val="none"/>
          <w:lang w:val="zh-CN"/>
        </w:rPr>
        <w:t>月日</w:t>
      </w:r>
    </w:p>
    <w:p w14:paraId="43E69C1C">
      <w:pPr>
        <w:widowControl/>
        <w:spacing w:line="360" w:lineRule="auto"/>
        <w:jc w:val="left"/>
        <w:rPr>
          <w:rFonts w:ascii="方正仿宋_GB2312" w:hAnsi="仿宋" w:eastAsia="方正仿宋_GB2312" w:cs="方正仿宋_GB2312"/>
          <w:color w:val="auto"/>
          <w:kern w:val="0"/>
          <w:sz w:val="24"/>
          <w:highlight w:val="none"/>
          <w:lang w:val="zh-CN"/>
        </w:rPr>
        <w:sectPr>
          <w:pgSz w:w="11906" w:h="16838"/>
          <w:pgMar w:top="1134" w:right="1134" w:bottom="1134" w:left="1134" w:header="720" w:footer="720" w:gutter="0"/>
          <w:pgNumType w:fmt="decimal"/>
          <w:cols w:space="720" w:num="1"/>
          <w:docGrid w:type="lines" w:linePitch="331" w:charSpace="0"/>
        </w:sectPr>
      </w:pPr>
    </w:p>
    <w:p w14:paraId="7026B289">
      <w:pPr>
        <w:pStyle w:val="7"/>
        <w:spacing w:line="360" w:lineRule="auto"/>
        <w:jc w:val="center"/>
        <w:rPr>
          <w:b/>
          <w:color w:val="auto"/>
          <w:sz w:val="30"/>
          <w:szCs w:val="30"/>
          <w:highlight w:val="none"/>
        </w:rPr>
      </w:pPr>
      <w:r>
        <w:rPr>
          <w:rFonts w:hint="eastAsia" w:hAnsi="宋体"/>
          <w:color w:val="auto"/>
          <w:sz w:val="30"/>
          <w:highlight w:val="none"/>
        </w:rPr>
        <w:t>二、</w:t>
      </w:r>
      <w:r>
        <w:rPr>
          <w:rFonts w:hint="eastAsia"/>
          <w:b/>
          <w:color w:val="auto"/>
          <w:sz w:val="30"/>
          <w:szCs w:val="30"/>
          <w:highlight w:val="none"/>
        </w:rPr>
        <w:t>开标一览表</w:t>
      </w:r>
      <w:r>
        <w:rPr>
          <w:rFonts w:hint="eastAsia" w:ascii="方正仿宋_GB2312" w:hAnsi="仿宋" w:eastAsia="方正仿宋_GB2312" w:cs="方正仿宋_GB2312"/>
          <w:b/>
          <w:color w:val="auto"/>
          <w:kern w:val="0"/>
          <w:sz w:val="24"/>
          <w:highlight w:val="none"/>
          <w:lang w:val="zh-CN"/>
        </w:rPr>
        <w:t>(单位均为人民币元)</w:t>
      </w:r>
    </w:p>
    <w:p w14:paraId="6B114087">
      <w:pPr>
        <w:snapToGrid w:val="0"/>
        <w:spacing w:before="50" w:after="50" w:line="360" w:lineRule="auto"/>
        <w:rPr>
          <w:rFonts w:ascii="宋体" w:hAnsi="宋体"/>
          <w:color w:val="auto"/>
          <w:sz w:val="24"/>
          <w:highlight w:val="none"/>
          <w:u w:val="single"/>
        </w:rPr>
      </w:pPr>
      <w:r>
        <w:rPr>
          <w:rFonts w:hint="eastAsia" w:ascii="宋体" w:hAnsi="宋体"/>
          <w:color w:val="auto"/>
          <w:sz w:val="24"/>
          <w:highlight w:val="none"/>
        </w:rPr>
        <w:t>项目名称：</w:t>
      </w:r>
      <w:bookmarkStart w:id="335" w:name="PO_3000001866_PM002_7"/>
      <w:r>
        <w:rPr>
          <w:rFonts w:hint="eastAsia" w:ascii="宋体" w:hAnsi="宋体"/>
          <w:color w:val="auto"/>
          <w:sz w:val="24"/>
          <w:highlight w:val="none"/>
          <w:u w:val="single"/>
        </w:rPr>
        <w:t>[项目采购-项目名称]</w:t>
      </w:r>
      <w:bookmarkEnd w:id="335"/>
      <w:r>
        <w:rPr>
          <w:rFonts w:hint="eastAsia" w:ascii="宋体" w:hAnsi="宋体"/>
          <w:color w:val="auto"/>
          <w:sz w:val="24"/>
          <w:highlight w:val="none"/>
        </w:rPr>
        <w:t xml:space="preserve">  项目编号：</w:t>
      </w:r>
      <w:bookmarkStart w:id="336" w:name="PO_3000001866_PM001_4"/>
      <w:r>
        <w:rPr>
          <w:rFonts w:hint="eastAsia" w:ascii="宋体" w:hAnsi="宋体"/>
          <w:color w:val="auto"/>
          <w:sz w:val="24"/>
          <w:highlight w:val="none"/>
          <w:u w:val="single"/>
        </w:rPr>
        <w:t>[项目采购-项目编号_]</w:t>
      </w:r>
      <w:bookmarkEnd w:id="336"/>
      <w:r>
        <w:rPr>
          <w:rFonts w:hint="eastAsia" w:ascii="宋体" w:hAnsi="宋体"/>
          <w:color w:val="auto"/>
          <w:sz w:val="24"/>
          <w:highlight w:val="none"/>
        </w:rPr>
        <w:t xml:space="preserve"> 分标：</w:t>
      </w:r>
    </w:p>
    <w:p w14:paraId="054D82C7">
      <w:pPr>
        <w:pStyle w:val="7"/>
        <w:spacing w:line="360" w:lineRule="auto"/>
        <w:rPr>
          <w:rFonts w:hAnsi="宋体"/>
          <w:color w:val="auto"/>
          <w:sz w:val="24"/>
          <w:highlight w:val="none"/>
        </w:rPr>
      </w:pPr>
      <w:r>
        <w:rPr>
          <w:rFonts w:hint="eastAsia" w:hAnsi="宋体"/>
          <w:color w:val="auto"/>
          <w:sz w:val="24"/>
          <w:highlight w:val="none"/>
        </w:rPr>
        <w:t>投标人名称：</w:t>
      </w:r>
    </w:p>
    <w:p w14:paraId="576369B9">
      <w:pPr>
        <w:pStyle w:val="7"/>
        <w:spacing w:line="360" w:lineRule="auto"/>
        <w:rPr>
          <w:b/>
          <w:color w:val="auto"/>
          <w:sz w:val="32"/>
          <w:highlight w:val="none"/>
        </w:rPr>
      </w:pPr>
    </w:p>
    <w:tbl>
      <w:tblPr>
        <w:tblStyle w:val="37"/>
        <w:tblW w:w="9813" w:type="dxa"/>
        <w:tblInd w:w="113"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94"/>
        <w:gridCol w:w="1285"/>
        <w:gridCol w:w="2180"/>
        <w:gridCol w:w="964"/>
        <w:gridCol w:w="1260"/>
        <w:gridCol w:w="1516"/>
        <w:gridCol w:w="957"/>
        <w:gridCol w:w="957"/>
      </w:tblGrid>
      <w:tr w14:paraId="581985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33" w:hRule="atLeast"/>
        </w:trPr>
        <w:tc>
          <w:tcPr>
            <w:tcW w:w="694" w:type="dxa"/>
            <w:tcBorders>
              <w:top w:val="single" w:color="auto" w:sz="4" w:space="0"/>
              <w:left w:val="single" w:color="auto" w:sz="4" w:space="0"/>
              <w:bottom w:val="single" w:color="auto" w:sz="4" w:space="0"/>
              <w:right w:val="single" w:color="auto" w:sz="4" w:space="0"/>
            </w:tcBorders>
            <w:vAlign w:val="center"/>
          </w:tcPr>
          <w:p w14:paraId="4DF89A3C">
            <w:pPr>
              <w:keepNext w:val="0"/>
              <w:keepLines w:val="0"/>
              <w:suppressLineNumbers w:val="0"/>
              <w:spacing w:before="0" w:beforeAutospacing="0" w:after="0" w:afterAutospacing="0"/>
              <w:ind w:left="0" w:right="0"/>
              <w:rPr>
                <w:rFonts w:hint="default" w:ascii="宋体" w:hAnsi="宋体"/>
                <w:color w:val="auto"/>
                <w:szCs w:val="22"/>
                <w:highlight w:val="none"/>
              </w:rPr>
            </w:pPr>
            <w:r>
              <w:rPr>
                <w:rFonts w:hint="eastAsia" w:ascii="宋体" w:hAnsi="宋体"/>
                <w:color w:val="auto"/>
                <w:szCs w:val="22"/>
                <w:highlight w:val="none"/>
              </w:rPr>
              <w:t>序号</w:t>
            </w:r>
          </w:p>
        </w:tc>
        <w:tc>
          <w:tcPr>
            <w:tcW w:w="1285" w:type="dxa"/>
            <w:tcBorders>
              <w:top w:val="single" w:color="auto" w:sz="4" w:space="0"/>
              <w:left w:val="single" w:color="auto" w:sz="4" w:space="0"/>
              <w:bottom w:val="single" w:color="auto" w:sz="4" w:space="0"/>
              <w:right w:val="single" w:color="auto" w:sz="4" w:space="0"/>
            </w:tcBorders>
            <w:vAlign w:val="center"/>
          </w:tcPr>
          <w:p w14:paraId="14A89B61">
            <w:pPr>
              <w:keepNext w:val="0"/>
              <w:keepLines w:val="0"/>
              <w:suppressLineNumbers w:val="0"/>
              <w:spacing w:before="0" w:beforeAutospacing="0" w:after="0" w:afterAutospacing="0"/>
              <w:ind w:left="0" w:right="0"/>
              <w:rPr>
                <w:rFonts w:hint="default" w:ascii="宋体" w:hAnsi="宋体"/>
                <w:color w:val="auto"/>
                <w:szCs w:val="22"/>
                <w:highlight w:val="none"/>
              </w:rPr>
            </w:pPr>
            <w:r>
              <w:rPr>
                <w:rFonts w:hint="default" w:ascii="宋体" w:hAnsi="宋体"/>
                <w:color w:val="auto"/>
                <w:szCs w:val="22"/>
                <w:highlight w:val="none"/>
              </w:rPr>
              <w:t>采购标的（服务名称）</w:t>
            </w:r>
          </w:p>
        </w:tc>
        <w:tc>
          <w:tcPr>
            <w:tcW w:w="2180" w:type="dxa"/>
            <w:tcBorders>
              <w:top w:val="single" w:color="auto" w:sz="4" w:space="0"/>
              <w:left w:val="single" w:color="auto" w:sz="4" w:space="0"/>
              <w:bottom w:val="single" w:color="auto" w:sz="4" w:space="0"/>
              <w:right w:val="single" w:color="auto" w:sz="4" w:space="0"/>
            </w:tcBorders>
            <w:vAlign w:val="center"/>
          </w:tcPr>
          <w:p w14:paraId="6EEBC26A">
            <w:pPr>
              <w:keepNext w:val="0"/>
              <w:keepLines w:val="0"/>
              <w:suppressLineNumbers w:val="0"/>
              <w:spacing w:before="0" w:beforeAutospacing="0" w:after="0" w:afterAutospacing="0"/>
              <w:ind w:left="0" w:right="0"/>
              <w:jc w:val="center"/>
              <w:rPr>
                <w:rFonts w:hint="default" w:ascii="宋体" w:hAnsi="宋体"/>
                <w:color w:val="auto"/>
                <w:szCs w:val="22"/>
                <w:highlight w:val="none"/>
              </w:rPr>
            </w:pPr>
            <w:r>
              <w:rPr>
                <w:rFonts w:hint="eastAsia" w:ascii="宋体" w:hAnsi="宋体"/>
                <w:color w:val="auto"/>
                <w:szCs w:val="22"/>
                <w:highlight w:val="none"/>
              </w:rPr>
              <w:t>具体服务内容（含具体服务范围、服务时间、服务标准等内容）</w:t>
            </w:r>
          </w:p>
        </w:tc>
        <w:tc>
          <w:tcPr>
            <w:tcW w:w="964" w:type="dxa"/>
            <w:tcBorders>
              <w:top w:val="single" w:color="auto" w:sz="4" w:space="0"/>
              <w:left w:val="single" w:color="auto" w:sz="4" w:space="0"/>
              <w:bottom w:val="single" w:color="auto" w:sz="4" w:space="0"/>
              <w:right w:val="single" w:color="auto" w:sz="4" w:space="0"/>
            </w:tcBorders>
            <w:vAlign w:val="center"/>
          </w:tcPr>
          <w:p w14:paraId="4B30352D">
            <w:pPr>
              <w:keepNext w:val="0"/>
              <w:keepLines w:val="0"/>
              <w:suppressLineNumbers w:val="0"/>
              <w:spacing w:before="0" w:beforeAutospacing="0" w:after="0" w:afterAutospacing="0"/>
              <w:ind w:left="0" w:right="0"/>
              <w:jc w:val="center"/>
              <w:rPr>
                <w:rFonts w:hint="default" w:ascii="宋体" w:hAnsi="宋体"/>
                <w:color w:val="auto"/>
                <w:szCs w:val="22"/>
                <w:highlight w:val="none"/>
              </w:rPr>
            </w:pPr>
            <w:r>
              <w:rPr>
                <w:rFonts w:hint="eastAsia" w:ascii="宋体" w:hAnsi="宋体"/>
                <w:color w:val="auto"/>
                <w:szCs w:val="22"/>
                <w:highlight w:val="none"/>
              </w:rPr>
              <w:t>数量①</w:t>
            </w:r>
          </w:p>
        </w:tc>
        <w:tc>
          <w:tcPr>
            <w:tcW w:w="1260" w:type="dxa"/>
            <w:tcBorders>
              <w:top w:val="single" w:color="auto" w:sz="4" w:space="0"/>
              <w:left w:val="single" w:color="auto" w:sz="4" w:space="0"/>
              <w:bottom w:val="single" w:color="auto" w:sz="4" w:space="0"/>
              <w:right w:val="single" w:color="auto" w:sz="4" w:space="0"/>
            </w:tcBorders>
            <w:vAlign w:val="center"/>
          </w:tcPr>
          <w:p w14:paraId="41084DDB">
            <w:pPr>
              <w:keepNext w:val="0"/>
              <w:keepLines w:val="0"/>
              <w:suppressLineNumbers w:val="0"/>
              <w:spacing w:before="0" w:beforeAutospacing="0" w:after="0" w:afterAutospacing="0"/>
              <w:ind w:left="0" w:right="0"/>
              <w:rPr>
                <w:rFonts w:hint="default" w:ascii="宋体" w:hAnsi="宋体"/>
                <w:color w:val="auto"/>
                <w:szCs w:val="22"/>
                <w:highlight w:val="none"/>
              </w:rPr>
            </w:pPr>
            <w:r>
              <w:rPr>
                <w:rFonts w:hint="eastAsia" w:ascii="宋体" w:hAnsi="宋体"/>
                <w:color w:val="auto"/>
                <w:szCs w:val="22"/>
                <w:highlight w:val="none"/>
              </w:rPr>
              <w:t>单价(元)②</w:t>
            </w:r>
          </w:p>
        </w:tc>
        <w:tc>
          <w:tcPr>
            <w:tcW w:w="1516" w:type="dxa"/>
            <w:tcBorders>
              <w:top w:val="single" w:color="auto" w:sz="4" w:space="0"/>
              <w:left w:val="single" w:color="auto" w:sz="4" w:space="0"/>
              <w:bottom w:val="single" w:color="auto" w:sz="4" w:space="0"/>
              <w:right w:val="single" w:color="auto" w:sz="4" w:space="0"/>
            </w:tcBorders>
            <w:vAlign w:val="center"/>
          </w:tcPr>
          <w:p w14:paraId="542B5C8B">
            <w:pPr>
              <w:keepNext w:val="0"/>
              <w:keepLines w:val="0"/>
              <w:suppressLineNumbers w:val="0"/>
              <w:spacing w:before="0" w:beforeAutospacing="0" w:after="0" w:afterAutospacing="0"/>
              <w:ind w:left="0" w:right="0"/>
              <w:rPr>
                <w:rFonts w:hint="default" w:ascii="宋体" w:hAnsi="宋体"/>
                <w:color w:val="auto"/>
                <w:szCs w:val="22"/>
                <w:highlight w:val="none"/>
              </w:rPr>
            </w:pPr>
            <w:r>
              <w:rPr>
                <w:rFonts w:hint="eastAsia" w:ascii="宋体" w:hAnsi="宋体"/>
                <w:color w:val="auto"/>
                <w:szCs w:val="22"/>
                <w:highlight w:val="none"/>
              </w:rPr>
              <w:t>单项合价（元）</w:t>
            </w:r>
          </w:p>
          <w:p w14:paraId="5ACFE0FA">
            <w:pPr>
              <w:keepNext w:val="0"/>
              <w:keepLines w:val="0"/>
              <w:suppressLineNumbers w:val="0"/>
              <w:spacing w:before="0" w:beforeAutospacing="0" w:after="0" w:afterAutospacing="0"/>
              <w:ind w:left="0" w:right="0"/>
              <w:rPr>
                <w:rFonts w:hint="default" w:ascii="宋体" w:hAnsi="宋体"/>
                <w:color w:val="auto"/>
                <w:szCs w:val="22"/>
                <w:highlight w:val="none"/>
              </w:rPr>
            </w:pPr>
            <w:r>
              <w:rPr>
                <w:rFonts w:hint="eastAsia" w:ascii="宋体" w:hAnsi="宋体"/>
                <w:color w:val="auto"/>
                <w:szCs w:val="22"/>
                <w:highlight w:val="none"/>
              </w:rPr>
              <w:t>③＝①×②</w:t>
            </w:r>
          </w:p>
        </w:tc>
        <w:tc>
          <w:tcPr>
            <w:tcW w:w="957" w:type="dxa"/>
            <w:tcBorders>
              <w:top w:val="single" w:color="auto" w:sz="4" w:space="0"/>
              <w:left w:val="single" w:color="auto" w:sz="4" w:space="0"/>
              <w:bottom w:val="single" w:color="auto" w:sz="4" w:space="0"/>
              <w:right w:val="single" w:color="auto" w:sz="4" w:space="0"/>
            </w:tcBorders>
          </w:tcPr>
          <w:p w14:paraId="652C7CFD">
            <w:pPr>
              <w:keepNext w:val="0"/>
              <w:keepLines w:val="0"/>
              <w:suppressLineNumbers w:val="0"/>
              <w:spacing w:before="0" w:beforeAutospacing="0" w:after="0" w:afterAutospacing="0" w:line="360" w:lineRule="auto"/>
              <w:ind w:left="0" w:right="0"/>
              <w:jc w:val="center"/>
              <w:rPr>
                <w:rFonts w:hint="default" w:ascii="宋体" w:hAnsi="宋体"/>
                <w:color w:val="auto"/>
                <w:szCs w:val="22"/>
                <w:highlight w:val="none"/>
              </w:rPr>
            </w:pPr>
            <w:r>
              <w:rPr>
                <w:rFonts w:hint="eastAsia" w:ascii="宋体" w:hAnsi="宋体"/>
                <w:color w:val="auto"/>
                <w:szCs w:val="22"/>
                <w:highlight w:val="none"/>
              </w:rPr>
              <w:t>服务要求（含服务期限）</w:t>
            </w:r>
          </w:p>
        </w:tc>
        <w:tc>
          <w:tcPr>
            <w:tcW w:w="957" w:type="dxa"/>
            <w:tcBorders>
              <w:top w:val="single" w:color="auto" w:sz="4" w:space="0"/>
              <w:left w:val="single" w:color="auto" w:sz="4" w:space="0"/>
              <w:bottom w:val="single" w:color="auto" w:sz="4" w:space="0"/>
              <w:right w:val="single" w:color="auto" w:sz="4" w:space="0"/>
            </w:tcBorders>
            <w:vAlign w:val="center"/>
          </w:tcPr>
          <w:p w14:paraId="488801CC">
            <w:pPr>
              <w:keepNext w:val="0"/>
              <w:keepLines w:val="0"/>
              <w:suppressLineNumbers w:val="0"/>
              <w:spacing w:before="0" w:beforeAutospacing="0" w:after="0" w:afterAutospacing="0"/>
              <w:ind w:left="0" w:right="0"/>
              <w:rPr>
                <w:rFonts w:hint="default" w:ascii="宋体" w:hAnsi="宋体"/>
                <w:color w:val="auto"/>
                <w:szCs w:val="22"/>
                <w:highlight w:val="none"/>
              </w:rPr>
            </w:pPr>
            <w:r>
              <w:rPr>
                <w:rFonts w:hint="eastAsia" w:ascii="宋体" w:hAnsi="宋体"/>
                <w:color w:val="auto"/>
                <w:szCs w:val="22"/>
                <w:highlight w:val="none"/>
              </w:rPr>
              <w:t>备注</w:t>
            </w:r>
          </w:p>
        </w:tc>
      </w:tr>
      <w:tr w14:paraId="13B908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5" w:hRule="atLeast"/>
        </w:trPr>
        <w:tc>
          <w:tcPr>
            <w:tcW w:w="694" w:type="dxa"/>
            <w:tcBorders>
              <w:top w:val="single" w:color="auto" w:sz="4" w:space="0"/>
              <w:left w:val="single" w:color="auto" w:sz="4" w:space="0"/>
              <w:bottom w:val="single" w:color="auto" w:sz="4" w:space="0"/>
              <w:right w:val="single" w:color="auto" w:sz="4" w:space="0"/>
            </w:tcBorders>
            <w:vAlign w:val="center"/>
          </w:tcPr>
          <w:p w14:paraId="4242592F">
            <w:pPr>
              <w:keepNext w:val="0"/>
              <w:keepLines w:val="0"/>
              <w:suppressLineNumbers w:val="0"/>
              <w:spacing w:before="0" w:beforeAutospacing="0" w:after="0" w:afterAutospacing="0"/>
              <w:ind w:left="0" w:right="0"/>
              <w:jc w:val="center"/>
              <w:rPr>
                <w:rFonts w:hint="default" w:ascii="宋体" w:hAnsi="宋体"/>
                <w:color w:val="auto"/>
                <w:szCs w:val="22"/>
                <w:highlight w:val="none"/>
              </w:rPr>
            </w:pPr>
            <w:r>
              <w:rPr>
                <w:rFonts w:hint="eastAsia" w:ascii="宋体" w:hAnsi="宋体"/>
                <w:color w:val="auto"/>
                <w:szCs w:val="22"/>
                <w:highlight w:val="none"/>
              </w:rPr>
              <w:t>1</w:t>
            </w:r>
          </w:p>
        </w:tc>
        <w:tc>
          <w:tcPr>
            <w:tcW w:w="1285" w:type="dxa"/>
            <w:tcBorders>
              <w:top w:val="single" w:color="auto" w:sz="4" w:space="0"/>
              <w:left w:val="single" w:color="auto" w:sz="4" w:space="0"/>
              <w:bottom w:val="single" w:color="auto" w:sz="4" w:space="0"/>
              <w:right w:val="single" w:color="auto" w:sz="4" w:space="0"/>
            </w:tcBorders>
            <w:vAlign w:val="center"/>
          </w:tcPr>
          <w:p w14:paraId="3D6E93F3">
            <w:pPr>
              <w:keepNext w:val="0"/>
              <w:keepLines w:val="0"/>
              <w:suppressLineNumbers w:val="0"/>
              <w:spacing w:before="0" w:beforeAutospacing="0" w:after="0" w:afterAutospacing="0"/>
              <w:ind w:left="0" w:right="0"/>
              <w:jc w:val="center"/>
              <w:rPr>
                <w:rFonts w:hint="default" w:ascii="宋体" w:hAnsi="宋体"/>
                <w:color w:val="auto"/>
                <w:szCs w:val="22"/>
                <w:highlight w:val="none"/>
              </w:rPr>
            </w:pPr>
            <w:r>
              <w:rPr>
                <w:rFonts w:hint="eastAsia" w:ascii="宋体" w:hAnsi="宋体"/>
                <w:color w:val="auto"/>
                <w:szCs w:val="22"/>
                <w:highlight w:val="none"/>
              </w:rPr>
              <w:t>口腔修复工艺专业群——智慧课程建设</w:t>
            </w:r>
          </w:p>
        </w:tc>
        <w:tc>
          <w:tcPr>
            <w:tcW w:w="2180" w:type="dxa"/>
            <w:tcBorders>
              <w:top w:val="single" w:color="auto" w:sz="4" w:space="0"/>
              <w:left w:val="single" w:color="auto" w:sz="4" w:space="0"/>
              <w:bottom w:val="single" w:color="auto" w:sz="4" w:space="0"/>
              <w:right w:val="single" w:color="auto" w:sz="4" w:space="0"/>
            </w:tcBorders>
            <w:vAlign w:val="center"/>
          </w:tcPr>
          <w:p w14:paraId="14517246">
            <w:pPr>
              <w:keepNext w:val="0"/>
              <w:keepLines w:val="0"/>
              <w:suppressLineNumbers w:val="0"/>
              <w:spacing w:before="0" w:beforeAutospacing="0" w:after="0" w:afterAutospacing="0"/>
              <w:ind w:left="0" w:right="0"/>
              <w:rPr>
                <w:rFonts w:hint="default" w:ascii="宋体" w:hAnsi="宋体"/>
                <w:color w:val="auto"/>
                <w:szCs w:val="22"/>
                <w:highlight w:val="none"/>
              </w:rPr>
            </w:pPr>
          </w:p>
        </w:tc>
        <w:tc>
          <w:tcPr>
            <w:tcW w:w="964" w:type="dxa"/>
            <w:tcBorders>
              <w:top w:val="single" w:color="auto" w:sz="4" w:space="0"/>
              <w:left w:val="single" w:color="auto" w:sz="4" w:space="0"/>
              <w:bottom w:val="single" w:color="auto" w:sz="4" w:space="0"/>
              <w:right w:val="single" w:color="auto" w:sz="4" w:space="0"/>
            </w:tcBorders>
            <w:vAlign w:val="center"/>
          </w:tcPr>
          <w:p w14:paraId="5D53E854">
            <w:pPr>
              <w:keepNext w:val="0"/>
              <w:keepLines w:val="0"/>
              <w:suppressLineNumbers w:val="0"/>
              <w:spacing w:before="0" w:beforeAutospacing="0" w:after="0" w:afterAutospacing="0"/>
              <w:ind w:left="0" w:right="0"/>
              <w:rPr>
                <w:rFonts w:hint="default" w:ascii="宋体" w:hAnsi="宋体"/>
                <w:color w:val="auto"/>
                <w:szCs w:val="22"/>
                <w:highlight w:val="none"/>
              </w:rPr>
            </w:pPr>
          </w:p>
        </w:tc>
        <w:tc>
          <w:tcPr>
            <w:tcW w:w="1260" w:type="dxa"/>
            <w:tcBorders>
              <w:top w:val="single" w:color="auto" w:sz="4" w:space="0"/>
              <w:left w:val="single" w:color="auto" w:sz="4" w:space="0"/>
              <w:bottom w:val="single" w:color="auto" w:sz="4" w:space="0"/>
              <w:right w:val="single" w:color="auto" w:sz="4" w:space="0"/>
            </w:tcBorders>
            <w:vAlign w:val="center"/>
          </w:tcPr>
          <w:p w14:paraId="597C43D8">
            <w:pPr>
              <w:keepNext w:val="0"/>
              <w:keepLines w:val="0"/>
              <w:suppressLineNumbers w:val="0"/>
              <w:spacing w:before="0" w:beforeAutospacing="0" w:after="0" w:afterAutospacing="0"/>
              <w:ind w:left="0" w:right="0"/>
              <w:rPr>
                <w:rFonts w:hint="default" w:ascii="宋体" w:hAnsi="宋体"/>
                <w:color w:val="auto"/>
                <w:szCs w:val="22"/>
                <w:highlight w:val="none"/>
              </w:rPr>
            </w:pPr>
          </w:p>
        </w:tc>
        <w:tc>
          <w:tcPr>
            <w:tcW w:w="1516" w:type="dxa"/>
            <w:tcBorders>
              <w:top w:val="single" w:color="auto" w:sz="4" w:space="0"/>
              <w:left w:val="single" w:color="auto" w:sz="4" w:space="0"/>
              <w:bottom w:val="single" w:color="auto" w:sz="4" w:space="0"/>
              <w:right w:val="single" w:color="auto" w:sz="4" w:space="0"/>
            </w:tcBorders>
            <w:vAlign w:val="center"/>
          </w:tcPr>
          <w:p w14:paraId="004183C0">
            <w:pPr>
              <w:keepNext w:val="0"/>
              <w:keepLines w:val="0"/>
              <w:suppressLineNumbers w:val="0"/>
              <w:spacing w:before="0" w:beforeAutospacing="0" w:after="0" w:afterAutospacing="0"/>
              <w:ind w:left="0" w:right="0"/>
              <w:rPr>
                <w:rFonts w:hint="default" w:ascii="宋体" w:hAnsi="宋体"/>
                <w:color w:val="auto"/>
                <w:szCs w:val="22"/>
                <w:highlight w:val="none"/>
              </w:rPr>
            </w:pPr>
          </w:p>
        </w:tc>
        <w:tc>
          <w:tcPr>
            <w:tcW w:w="957" w:type="dxa"/>
            <w:tcBorders>
              <w:top w:val="single" w:color="auto" w:sz="4" w:space="0"/>
              <w:left w:val="single" w:color="auto" w:sz="4" w:space="0"/>
              <w:bottom w:val="single" w:color="auto" w:sz="4" w:space="0"/>
              <w:right w:val="single" w:color="auto" w:sz="4" w:space="0"/>
            </w:tcBorders>
          </w:tcPr>
          <w:p w14:paraId="59C2A598">
            <w:pPr>
              <w:keepNext w:val="0"/>
              <w:keepLines w:val="0"/>
              <w:suppressLineNumbers w:val="0"/>
              <w:spacing w:before="0" w:beforeAutospacing="0" w:after="0" w:afterAutospacing="0"/>
              <w:ind w:left="0" w:right="0"/>
              <w:rPr>
                <w:rFonts w:hint="default" w:ascii="宋体" w:hAnsi="宋体"/>
                <w:color w:val="auto"/>
                <w:szCs w:val="22"/>
                <w:highlight w:val="none"/>
              </w:rPr>
            </w:pPr>
          </w:p>
        </w:tc>
        <w:tc>
          <w:tcPr>
            <w:tcW w:w="957" w:type="dxa"/>
            <w:tcBorders>
              <w:top w:val="single" w:color="auto" w:sz="4" w:space="0"/>
              <w:left w:val="single" w:color="auto" w:sz="4" w:space="0"/>
              <w:bottom w:val="single" w:color="auto" w:sz="4" w:space="0"/>
              <w:right w:val="single" w:color="auto" w:sz="4" w:space="0"/>
            </w:tcBorders>
            <w:vAlign w:val="center"/>
          </w:tcPr>
          <w:p w14:paraId="41B953CD">
            <w:pPr>
              <w:keepNext w:val="0"/>
              <w:keepLines w:val="0"/>
              <w:suppressLineNumbers w:val="0"/>
              <w:spacing w:before="0" w:beforeAutospacing="0" w:after="0" w:afterAutospacing="0"/>
              <w:ind w:left="0" w:right="0"/>
              <w:rPr>
                <w:rFonts w:hint="default" w:ascii="宋体" w:hAnsi="宋体"/>
                <w:color w:val="auto"/>
                <w:szCs w:val="22"/>
                <w:highlight w:val="none"/>
              </w:rPr>
            </w:pPr>
          </w:p>
        </w:tc>
      </w:tr>
      <w:tr w14:paraId="1C9157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5" w:hRule="atLeast"/>
        </w:trPr>
        <w:tc>
          <w:tcPr>
            <w:tcW w:w="694" w:type="dxa"/>
            <w:tcBorders>
              <w:top w:val="single" w:color="auto" w:sz="4" w:space="0"/>
              <w:left w:val="single" w:color="auto" w:sz="4" w:space="0"/>
              <w:bottom w:val="single" w:color="auto" w:sz="4" w:space="0"/>
              <w:right w:val="single" w:color="auto" w:sz="4" w:space="0"/>
            </w:tcBorders>
            <w:vAlign w:val="center"/>
          </w:tcPr>
          <w:p w14:paraId="13086092">
            <w:pPr>
              <w:keepNext w:val="0"/>
              <w:keepLines w:val="0"/>
              <w:suppressLineNumbers w:val="0"/>
              <w:spacing w:before="0" w:beforeAutospacing="0" w:after="0" w:afterAutospacing="0"/>
              <w:ind w:left="0" w:right="0"/>
              <w:jc w:val="center"/>
              <w:rPr>
                <w:rFonts w:hint="eastAsia" w:ascii="宋体" w:hAnsi="宋体"/>
                <w:color w:val="auto"/>
                <w:szCs w:val="22"/>
                <w:highlight w:val="none"/>
                <w:lang w:val="en-US" w:eastAsia="zh-CN"/>
              </w:rPr>
            </w:pPr>
            <w:r>
              <w:rPr>
                <w:rFonts w:hint="eastAsia" w:ascii="宋体" w:hAnsi="宋体"/>
                <w:color w:val="auto"/>
                <w:szCs w:val="22"/>
                <w:highlight w:val="none"/>
                <w:lang w:val="en-US" w:eastAsia="zh-CN"/>
              </w:rPr>
              <w:t>2</w:t>
            </w:r>
          </w:p>
        </w:tc>
        <w:tc>
          <w:tcPr>
            <w:tcW w:w="1285" w:type="dxa"/>
            <w:tcBorders>
              <w:top w:val="single" w:color="auto" w:sz="4" w:space="0"/>
              <w:left w:val="single" w:color="auto" w:sz="4" w:space="0"/>
              <w:bottom w:val="single" w:color="auto" w:sz="4" w:space="0"/>
              <w:right w:val="single" w:color="auto" w:sz="4" w:space="0"/>
            </w:tcBorders>
            <w:vAlign w:val="center"/>
          </w:tcPr>
          <w:p w14:paraId="6376983F">
            <w:pPr>
              <w:keepNext w:val="0"/>
              <w:keepLines w:val="0"/>
              <w:suppressLineNumbers w:val="0"/>
              <w:spacing w:before="0" w:beforeAutospacing="0" w:after="0" w:afterAutospacing="0"/>
              <w:ind w:left="0" w:right="0"/>
              <w:jc w:val="center"/>
              <w:rPr>
                <w:rFonts w:hint="eastAsia" w:ascii="宋体" w:hAnsi="宋体"/>
                <w:color w:val="auto"/>
                <w:szCs w:val="22"/>
                <w:highlight w:val="none"/>
              </w:rPr>
            </w:pPr>
            <w:r>
              <w:rPr>
                <w:rFonts w:hint="eastAsia" w:ascii="宋体" w:hAnsi="宋体"/>
                <w:color w:val="auto"/>
                <w:szCs w:val="22"/>
                <w:highlight w:val="none"/>
              </w:rPr>
              <w:t>精品课程</w:t>
            </w:r>
          </w:p>
          <w:p w14:paraId="1653CE06">
            <w:pPr>
              <w:keepNext w:val="0"/>
              <w:keepLines w:val="0"/>
              <w:suppressLineNumbers w:val="0"/>
              <w:spacing w:before="0" w:beforeAutospacing="0" w:after="0" w:afterAutospacing="0"/>
              <w:ind w:left="0" w:right="0"/>
              <w:jc w:val="center"/>
              <w:rPr>
                <w:rFonts w:hint="default" w:ascii="宋体" w:hAnsi="宋体"/>
                <w:color w:val="auto"/>
                <w:szCs w:val="22"/>
                <w:highlight w:val="none"/>
              </w:rPr>
            </w:pPr>
            <w:r>
              <w:rPr>
                <w:rFonts w:hint="eastAsia" w:ascii="宋体" w:hAnsi="宋体"/>
                <w:color w:val="auto"/>
                <w:szCs w:val="22"/>
                <w:highlight w:val="none"/>
              </w:rPr>
              <w:t>建设</w:t>
            </w:r>
          </w:p>
        </w:tc>
        <w:tc>
          <w:tcPr>
            <w:tcW w:w="2180" w:type="dxa"/>
            <w:tcBorders>
              <w:top w:val="single" w:color="auto" w:sz="4" w:space="0"/>
              <w:left w:val="single" w:color="auto" w:sz="4" w:space="0"/>
              <w:bottom w:val="single" w:color="auto" w:sz="4" w:space="0"/>
              <w:right w:val="single" w:color="auto" w:sz="4" w:space="0"/>
            </w:tcBorders>
            <w:vAlign w:val="center"/>
          </w:tcPr>
          <w:p w14:paraId="1B4BE608">
            <w:pPr>
              <w:keepNext w:val="0"/>
              <w:keepLines w:val="0"/>
              <w:suppressLineNumbers w:val="0"/>
              <w:spacing w:before="0" w:beforeAutospacing="0" w:after="0" w:afterAutospacing="0"/>
              <w:ind w:left="0" w:right="0"/>
              <w:rPr>
                <w:rFonts w:hint="default" w:ascii="宋体" w:hAnsi="宋体"/>
                <w:color w:val="auto"/>
                <w:szCs w:val="22"/>
                <w:highlight w:val="none"/>
              </w:rPr>
            </w:pPr>
          </w:p>
        </w:tc>
        <w:tc>
          <w:tcPr>
            <w:tcW w:w="964" w:type="dxa"/>
            <w:tcBorders>
              <w:top w:val="single" w:color="auto" w:sz="4" w:space="0"/>
              <w:left w:val="single" w:color="auto" w:sz="4" w:space="0"/>
              <w:bottom w:val="single" w:color="auto" w:sz="4" w:space="0"/>
              <w:right w:val="single" w:color="auto" w:sz="4" w:space="0"/>
            </w:tcBorders>
            <w:vAlign w:val="center"/>
          </w:tcPr>
          <w:p w14:paraId="2CCD8827">
            <w:pPr>
              <w:keepNext w:val="0"/>
              <w:keepLines w:val="0"/>
              <w:suppressLineNumbers w:val="0"/>
              <w:spacing w:before="0" w:beforeAutospacing="0" w:after="0" w:afterAutospacing="0"/>
              <w:ind w:left="0" w:right="0"/>
              <w:rPr>
                <w:rFonts w:hint="default" w:ascii="宋体" w:hAnsi="宋体"/>
                <w:color w:val="auto"/>
                <w:szCs w:val="22"/>
                <w:highlight w:val="none"/>
              </w:rPr>
            </w:pPr>
          </w:p>
        </w:tc>
        <w:tc>
          <w:tcPr>
            <w:tcW w:w="1260" w:type="dxa"/>
            <w:tcBorders>
              <w:top w:val="single" w:color="auto" w:sz="4" w:space="0"/>
              <w:left w:val="single" w:color="auto" w:sz="4" w:space="0"/>
              <w:bottom w:val="single" w:color="auto" w:sz="4" w:space="0"/>
              <w:right w:val="single" w:color="auto" w:sz="4" w:space="0"/>
            </w:tcBorders>
            <w:vAlign w:val="center"/>
          </w:tcPr>
          <w:p w14:paraId="31C2381E">
            <w:pPr>
              <w:keepNext w:val="0"/>
              <w:keepLines w:val="0"/>
              <w:suppressLineNumbers w:val="0"/>
              <w:spacing w:before="0" w:beforeAutospacing="0" w:after="0" w:afterAutospacing="0"/>
              <w:ind w:left="0" w:right="0"/>
              <w:rPr>
                <w:rFonts w:hint="default" w:ascii="宋体" w:hAnsi="宋体"/>
                <w:color w:val="auto"/>
                <w:szCs w:val="22"/>
                <w:highlight w:val="none"/>
              </w:rPr>
            </w:pPr>
          </w:p>
        </w:tc>
        <w:tc>
          <w:tcPr>
            <w:tcW w:w="1516" w:type="dxa"/>
            <w:tcBorders>
              <w:top w:val="single" w:color="auto" w:sz="4" w:space="0"/>
              <w:left w:val="single" w:color="auto" w:sz="4" w:space="0"/>
              <w:bottom w:val="single" w:color="auto" w:sz="4" w:space="0"/>
              <w:right w:val="single" w:color="auto" w:sz="4" w:space="0"/>
            </w:tcBorders>
            <w:vAlign w:val="center"/>
          </w:tcPr>
          <w:p w14:paraId="56ADFAEC">
            <w:pPr>
              <w:keepNext w:val="0"/>
              <w:keepLines w:val="0"/>
              <w:suppressLineNumbers w:val="0"/>
              <w:spacing w:before="0" w:beforeAutospacing="0" w:after="0" w:afterAutospacing="0"/>
              <w:ind w:left="0" w:right="0"/>
              <w:rPr>
                <w:rFonts w:hint="default" w:ascii="宋体" w:hAnsi="宋体"/>
                <w:color w:val="auto"/>
                <w:szCs w:val="22"/>
                <w:highlight w:val="none"/>
              </w:rPr>
            </w:pPr>
          </w:p>
        </w:tc>
        <w:tc>
          <w:tcPr>
            <w:tcW w:w="957" w:type="dxa"/>
            <w:tcBorders>
              <w:top w:val="single" w:color="auto" w:sz="4" w:space="0"/>
              <w:left w:val="single" w:color="auto" w:sz="4" w:space="0"/>
              <w:bottom w:val="single" w:color="auto" w:sz="4" w:space="0"/>
              <w:right w:val="single" w:color="auto" w:sz="4" w:space="0"/>
            </w:tcBorders>
          </w:tcPr>
          <w:p w14:paraId="63FA5FE0">
            <w:pPr>
              <w:keepNext w:val="0"/>
              <w:keepLines w:val="0"/>
              <w:suppressLineNumbers w:val="0"/>
              <w:spacing w:before="0" w:beforeAutospacing="0" w:after="0" w:afterAutospacing="0"/>
              <w:ind w:left="0" w:right="0"/>
              <w:rPr>
                <w:rFonts w:hint="default" w:ascii="宋体" w:hAnsi="宋体"/>
                <w:color w:val="auto"/>
                <w:szCs w:val="22"/>
                <w:highlight w:val="none"/>
              </w:rPr>
            </w:pPr>
          </w:p>
        </w:tc>
        <w:tc>
          <w:tcPr>
            <w:tcW w:w="957" w:type="dxa"/>
            <w:tcBorders>
              <w:top w:val="single" w:color="auto" w:sz="4" w:space="0"/>
              <w:left w:val="single" w:color="auto" w:sz="4" w:space="0"/>
              <w:bottom w:val="single" w:color="auto" w:sz="4" w:space="0"/>
              <w:right w:val="single" w:color="auto" w:sz="4" w:space="0"/>
            </w:tcBorders>
            <w:vAlign w:val="center"/>
          </w:tcPr>
          <w:p w14:paraId="332E57A1">
            <w:pPr>
              <w:keepNext w:val="0"/>
              <w:keepLines w:val="0"/>
              <w:suppressLineNumbers w:val="0"/>
              <w:spacing w:before="0" w:beforeAutospacing="0" w:after="0" w:afterAutospacing="0"/>
              <w:ind w:left="0" w:right="0"/>
              <w:rPr>
                <w:rFonts w:hint="default" w:ascii="宋体" w:hAnsi="宋体"/>
                <w:color w:val="auto"/>
                <w:szCs w:val="22"/>
                <w:highlight w:val="none"/>
              </w:rPr>
            </w:pPr>
          </w:p>
        </w:tc>
      </w:tr>
      <w:tr w14:paraId="295AE6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5" w:hRule="atLeast"/>
        </w:trPr>
        <w:tc>
          <w:tcPr>
            <w:tcW w:w="694" w:type="dxa"/>
            <w:tcBorders>
              <w:top w:val="single" w:color="auto" w:sz="4" w:space="0"/>
              <w:left w:val="single" w:color="auto" w:sz="4" w:space="0"/>
              <w:bottom w:val="single" w:color="auto" w:sz="4" w:space="0"/>
              <w:right w:val="single" w:color="auto" w:sz="4" w:space="0"/>
            </w:tcBorders>
            <w:vAlign w:val="center"/>
          </w:tcPr>
          <w:p w14:paraId="7F0292D6">
            <w:pPr>
              <w:keepNext w:val="0"/>
              <w:keepLines w:val="0"/>
              <w:suppressLineNumbers w:val="0"/>
              <w:spacing w:before="0" w:beforeAutospacing="0" w:after="0" w:afterAutospacing="0"/>
              <w:ind w:left="0" w:right="0"/>
              <w:jc w:val="center"/>
              <w:rPr>
                <w:rFonts w:hint="eastAsia" w:ascii="宋体" w:hAnsi="宋体"/>
                <w:color w:val="auto"/>
                <w:szCs w:val="22"/>
                <w:highlight w:val="none"/>
                <w:lang w:val="en-US" w:eastAsia="zh-CN"/>
              </w:rPr>
            </w:pPr>
            <w:r>
              <w:rPr>
                <w:rFonts w:hint="eastAsia" w:ascii="宋体" w:hAnsi="宋体"/>
                <w:color w:val="auto"/>
                <w:szCs w:val="22"/>
                <w:highlight w:val="none"/>
                <w:lang w:val="en-US" w:eastAsia="zh-CN"/>
              </w:rPr>
              <w:t>3</w:t>
            </w:r>
          </w:p>
        </w:tc>
        <w:tc>
          <w:tcPr>
            <w:tcW w:w="1285" w:type="dxa"/>
            <w:tcBorders>
              <w:top w:val="single" w:color="auto" w:sz="4" w:space="0"/>
              <w:left w:val="single" w:color="auto" w:sz="4" w:space="0"/>
              <w:bottom w:val="single" w:color="auto" w:sz="4" w:space="0"/>
              <w:right w:val="single" w:color="auto" w:sz="4" w:space="0"/>
            </w:tcBorders>
            <w:vAlign w:val="center"/>
          </w:tcPr>
          <w:p w14:paraId="3C3140C4">
            <w:pPr>
              <w:keepNext w:val="0"/>
              <w:keepLines w:val="0"/>
              <w:suppressLineNumbers w:val="0"/>
              <w:spacing w:before="0" w:beforeAutospacing="0" w:after="0" w:afterAutospacing="0"/>
              <w:ind w:left="0" w:right="0"/>
              <w:jc w:val="center"/>
              <w:rPr>
                <w:rFonts w:hint="eastAsia" w:ascii="宋体" w:hAnsi="宋体"/>
                <w:color w:val="auto"/>
                <w:szCs w:val="22"/>
                <w:highlight w:val="none"/>
              </w:rPr>
            </w:pPr>
            <w:r>
              <w:rPr>
                <w:rFonts w:hint="eastAsia" w:ascii="宋体" w:hAnsi="宋体"/>
                <w:color w:val="auto"/>
                <w:szCs w:val="22"/>
                <w:highlight w:val="none"/>
              </w:rPr>
              <w:t>虚拟展厅</w:t>
            </w:r>
          </w:p>
          <w:p w14:paraId="36B351EF">
            <w:pPr>
              <w:keepNext w:val="0"/>
              <w:keepLines w:val="0"/>
              <w:suppressLineNumbers w:val="0"/>
              <w:spacing w:before="0" w:beforeAutospacing="0" w:after="0" w:afterAutospacing="0"/>
              <w:ind w:left="0" w:right="0"/>
              <w:jc w:val="center"/>
              <w:rPr>
                <w:rFonts w:hint="default" w:ascii="宋体" w:hAnsi="宋体"/>
                <w:color w:val="auto"/>
                <w:szCs w:val="22"/>
                <w:highlight w:val="none"/>
              </w:rPr>
            </w:pPr>
            <w:r>
              <w:rPr>
                <w:rFonts w:hint="eastAsia" w:ascii="宋体" w:hAnsi="宋体"/>
                <w:color w:val="auto"/>
                <w:szCs w:val="22"/>
                <w:highlight w:val="none"/>
              </w:rPr>
              <w:t>建设</w:t>
            </w:r>
          </w:p>
        </w:tc>
        <w:tc>
          <w:tcPr>
            <w:tcW w:w="2180" w:type="dxa"/>
            <w:tcBorders>
              <w:top w:val="single" w:color="auto" w:sz="4" w:space="0"/>
              <w:left w:val="single" w:color="auto" w:sz="4" w:space="0"/>
              <w:bottom w:val="single" w:color="auto" w:sz="4" w:space="0"/>
              <w:right w:val="single" w:color="auto" w:sz="4" w:space="0"/>
            </w:tcBorders>
            <w:vAlign w:val="center"/>
          </w:tcPr>
          <w:p w14:paraId="2B339034">
            <w:pPr>
              <w:keepNext w:val="0"/>
              <w:keepLines w:val="0"/>
              <w:suppressLineNumbers w:val="0"/>
              <w:spacing w:before="0" w:beforeAutospacing="0" w:after="0" w:afterAutospacing="0"/>
              <w:ind w:left="0" w:right="0"/>
              <w:rPr>
                <w:rFonts w:hint="default" w:ascii="宋体" w:hAnsi="宋体"/>
                <w:color w:val="auto"/>
                <w:szCs w:val="22"/>
                <w:highlight w:val="none"/>
              </w:rPr>
            </w:pPr>
          </w:p>
        </w:tc>
        <w:tc>
          <w:tcPr>
            <w:tcW w:w="964" w:type="dxa"/>
            <w:tcBorders>
              <w:top w:val="single" w:color="auto" w:sz="4" w:space="0"/>
              <w:left w:val="single" w:color="auto" w:sz="4" w:space="0"/>
              <w:bottom w:val="single" w:color="auto" w:sz="4" w:space="0"/>
              <w:right w:val="single" w:color="auto" w:sz="4" w:space="0"/>
            </w:tcBorders>
            <w:vAlign w:val="center"/>
          </w:tcPr>
          <w:p w14:paraId="0DF99398">
            <w:pPr>
              <w:keepNext w:val="0"/>
              <w:keepLines w:val="0"/>
              <w:suppressLineNumbers w:val="0"/>
              <w:spacing w:before="0" w:beforeAutospacing="0" w:after="0" w:afterAutospacing="0"/>
              <w:ind w:left="0" w:right="0"/>
              <w:rPr>
                <w:rFonts w:hint="default" w:ascii="宋体" w:hAnsi="宋体"/>
                <w:color w:val="auto"/>
                <w:szCs w:val="22"/>
                <w:highlight w:val="none"/>
              </w:rPr>
            </w:pPr>
          </w:p>
        </w:tc>
        <w:tc>
          <w:tcPr>
            <w:tcW w:w="1260" w:type="dxa"/>
            <w:tcBorders>
              <w:top w:val="single" w:color="auto" w:sz="4" w:space="0"/>
              <w:left w:val="single" w:color="auto" w:sz="4" w:space="0"/>
              <w:bottom w:val="single" w:color="auto" w:sz="4" w:space="0"/>
              <w:right w:val="single" w:color="auto" w:sz="4" w:space="0"/>
            </w:tcBorders>
            <w:vAlign w:val="center"/>
          </w:tcPr>
          <w:p w14:paraId="6AEBA5D7">
            <w:pPr>
              <w:keepNext w:val="0"/>
              <w:keepLines w:val="0"/>
              <w:suppressLineNumbers w:val="0"/>
              <w:spacing w:before="0" w:beforeAutospacing="0" w:after="0" w:afterAutospacing="0"/>
              <w:ind w:left="0" w:right="0"/>
              <w:rPr>
                <w:rFonts w:hint="default" w:ascii="宋体" w:hAnsi="宋体"/>
                <w:color w:val="auto"/>
                <w:szCs w:val="22"/>
                <w:highlight w:val="none"/>
              </w:rPr>
            </w:pPr>
          </w:p>
        </w:tc>
        <w:tc>
          <w:tcPr>
            <w:tcW w:w="1516" w:type="dxa"/>
            <w:tcBorders>
              <w:top w:val="single" w:color="auto" w:sz="4" w:space="0"/>
              <w:left w:val="single" w:color="auto" w:sz="4" w:space="0"/>
              <w:bottom w:val="single" w:color="auto" w:sz="4" w:space="0"/>
              <w:right w:val="single" w:color="auto" w:sz="4" w:space="0"/>
            </w:tcBorders>
            <w:vAlign w:val="center"/>
          </w:tcPr>
          <w:p w14:paraId="005DF5D5">
            <w:pPr>
              <w:keepNext w:val="0"/>
              <w:keepLines w:val="0"/>
              <w:suppressLineNumbers w:val="0"/>
              <w:spacing w:before="0" w:beforeAutospacing="0" w:after="0" w:afterAutospacing="0"/>
              <w:ind w:left="0" w:right="0"/>
              <w:rPr>
                <w:rFonts w:hint="default" w:ascii="宋体" w:hAnsi="宋体"/>
                <w:color w:val="auto"/>
                <w:szCs w:val="22"/>
                <w:highlight w:val="none"/>
              </w:rPr>
            </w:pPr>
          </w:p>
        </w:tc>
        <w:tc>
          <w:tcPr>
            <w:tcW w:w="957" w:type="dxa"/>
            <w:tcBorders>
              <w:top w:val="single" w:color="auto" w:sz="4" w:space="0"/>
              <w:left w:val="single" w:color="auto" w:sz="4" w:space="0"/>
              <w:bottom w:val="single" w:color="auto" w:sz="4" w:space="0"/>
              <w:right w:val="single" w:color="auto" w:sz="4" w:space="0"/>
            </w:tcBorders>
          </w:tcPr>
          <w:p w14:paraId="0B7CE32E">
            <w:pPr>
              <w:keepNext w:val="0"/>
              <w:keepLines w:val="0"/>
              <w:suppressLineNumbers w:val="0"/>
              <w:spacing w:before="0" w:beforeAutospacing="0" w:after="0" w:afterAutospacing="0"/>
              <w:ind w:left="0" w:right="0"/>
              <w:rPr>
                <w:rFonts w:hint="default" w:ascii="宋体" w:hAnsi="宋体"/>
                <w:color w:val="auto"/>
                <w:szCs w:val="22"/>
                <w:highlight w:val="none"/>
              </w:rPr>
            </w:pPr>
          </w:p>
        </w:tc>
        <w:tc>
          <w:tcPr>
            <w:tcW w:w="957" w:type="dxa"/>
            <w:tcBorders>
              <w:top w:val="single" w:color="auto" w:sz="4" w:space="0"/>
              <w:left w:val="single" w:color="auto" w:sz="4" w:space="0"/>
              <w:bottom w:val="single" w:color="auto" w:sz="4" w:space="0"/>
              <w:right w:val="single" w:color="auto" w:sz="4" w:space="0"/>
            </w:tcBorders>
            <w:vAlign w:val="center"/>
          </w:tcPr>
          <w:p w14:paraId="4D48987E">
            <w:pPr>
              <w:keepNext w:val="0"/>
              <w:keepLines w:val="0"/>
              <w:suppressLineNumbers w:val="0"/>
              <w:spacing w:before="0" w:beforeAutospacing="0" w:after="0" w:afterAutospacing="0"/>
              <w:ind w:left="0" w:right="0"/>
              <w:rPr>
                <w:rFonts w:hint="default" w:ascii="宋体" w:hAnsi="宋体"/>
                <w:color w:val="auto"/>
                <w:szCs w:val="22"/>
                <w:highlight w:val="none"/>
              </w:rPr>
            </w:pPr>
          </w:p>
        </w:tc>
      </w:tr>
      <w:tr w14:paraId="1C8C0F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5" w:hRule="atLeast"/>
        </w:trPr>
        <w:tc>
          <w:tcPr>
            <w:tcW w:w="694" w:type="dxa"/>
            <w:tcBorders>
              <w:top w:val="single" w:color="auto" w:sz="4" w:space="0"/>
              <w:left w:val="single" w:color="auto" w:sz="4" w:space="0"/>
              <w:bottom w:val="single" w:color="auto" w:sz="4" w:space="0"/>
              <w:right w:val="single" w:color="auto" w:sz="4" w:space="0"/>
            </w:tcBorders>
            <w:vAlign w:val="center"/>
          </w:tcPr>
          <w:p w14:paraId="3FDF9E2B">
            <w:pPr>
              <w:keepNext w:val="0"/>
              <w:keepLines w:val="0"/>
              <w:suppressLineNumbers w:val="0"/>
              <w:spacing w:before="0" w:beforeAutospacing="0" w:after="0" w:afterAutospacing="0"/>
              <w:ind w:left="0" w:right="0"/>
              <w:rPr>
                <w:rFonts w:hint="default" w:ascii="宋体" w:hAnsi="宋体" w:eastAsia="宋体"/>
                <w:color w:val="auto"/>
                <w:szCs w:val="22"/>
                <w:highlight w:val="none"/>
                <w:lang w:val="en-US" w:eastAsia="zh-CN"/>
              </w:rPr>
            </w:pPr>
            <w:r>
              <w:rPr>
                <w:rFonts w:hint="eastAsia" w:ascii="宋体" w:hAnsi="宋体"/>
                <w:color w:val="auto"/>
                <w:szCs w:val="22"/>
                <w:highlight w:val="none"/>
                <w:lang w:val="en-US" w:eastAsia="zh-CN"/>
              </w:rPr>
              <w:t>....</w:t>
            </w:r>
          </w:p>
        </w:tc>
        <w:tc>
          <w:tcPr>
            <w:tcW w:w="1285" w:type="dxa"/>
            <w:tcBorders>
              <w:top w:val="single" w:color="auto" w:sz="4" w:space="0"/>
              <w:left w:val="single" w:color="auto" w:sz="4" w:space="0"/>
              <w:bottom w:val="single" w:color="auto" w:sz="4" w:space="0"/>
              <w:right w:val="single" w:color="auto" w:sz="4" w:space="0"/>
            </w:tcBorders>
            <w:vAlign w:val="center"/>
          </w:tcPr>
          <w:p w14:paraId="2A2239D1">
            <w:pPr>
              <w:keepNext w:val="0"/>
              <w:keepLines w:val="0"/>
              <w:suppressLineNumbers w:val="0"/>
              <w:spacing w:before="0" w:beforeAutospacing="0" w:after="0" w:afterAutospacing="0"/>
              <w:ind w:left="0" w:right="0"/>
              <w:rPr>
                <w:rFonts w:hint="default" w:ascii="宋体" w:hAnsi="宋体"/>
                <w:color w:val="auto"/>
                <w:szCs w:val="22"/>
                <w:highlight w:val="none"/>
              </w:rPr>
            </w:pPr>
          </w:p>
        </w:tc>
        <w:tc>
          <w:tcPr>
            <w:tcW w:w="2180" w:type="dxa"/>
            <w:tcBorders>
              <w:top w:val="single" w:color="auto" w:sz="4" w:space="0"/>
              <w:left w:val="single" w:color="auto" w:sz="4" w:space="0"/>
              <w:bottom w:val="single" w:color="auto" w:sz="4" w:space="0"/>
              <w:right w:val="single" w:color="auto" w:sz="4" w:space="0"/>
            </w:tcBorders>
            <w:vAlign w:val="center"/>
          </w:tcPr>
          <w:p w14:paraId="5DF87C7D">
            <w:pPr>
              <w:keepNext w:val="0"/>
              <w:keepLines w:val="0"/>
              <w:suppressLineNumbers w:val="0"/>
              <w:spacing w:before="0" w:beforeAutospacing="0" w:after="0" w:afterAutospacing="0"/>
              <w:ind w:left="0" w:right="0"/>
              <w:rPr>
                <w:rFonts w:hint="default" w:ascii="宋体" w:hAnsi="宋体"/>
                <w:color w:val="auto"/>
                <w:szCs w:val="22"/>
                <w:highlight w:val="none"/>
              </w:rPr>
            </w:pPr>
          </w:p>
        </w:tc>
        <w:tc>
          <w:tcPr>
            <w:tcW w:w="964" w:type="dxa"/>
            <w:tcBorders>
              <w:top w:val="single" w:color="auto" w:sz="4" w:space="0"/>
              <w:left w:val="single" w:color="auto" w:sz="4" w:space="0"/>
              <w:bottom w:val="single" w:color="auto" w:sz="4" w:space="0"/>
              <w:right w:val="single" w:color="auto" w:sz="4" w:space="0"/>
            </w:tcBorders>
            <w:vAlign w:val="center"/>
          </w:tcPr>
          <w:p w14:paraId="1611361C">
            <w:pPr>
              <w:keepNext w:val="0"/>
              <w:keepLines w:val="0"/>
              <w:suppressLineNumbers w:val="0"/>
              <w:spacing w:before="0" w:beforeAutospacing="0" w:after="0" w:afterAutospacing="0"/>
              <w:ind w:left="0" w:right="0"/>
              <w:rPr>
                <w:rFonts w:hint="default" w:ascii="宋体" w:hAnsi="宋体"/>
                <w:color w:val="auto"/>
                <w:szCs w:val="22"/>
                <w:highlight w:val="none"/>
              </w:rPr>
            </w:pPr>
          </w:p>
        </w:tc>
        <w:tc>
          <w:tcPr>
            <w:tcW w:w="1260" w:type="dxa"/>
            <w:tcBorders>
              <w:top w:val="single" w:color="auto" w:sz="4" w:space="0"/>
              <w:left w:val="single" w:color="auto" w:sz="4" w:space="0"/>
              <w:bottom w:val="single" w:color="auto" w:sz="4" w:space="0"/>
              <w:right w:val="single" w:color="auto" w:sz="4" w:space="0"/>
            </w:tcBorders>
            <w:vAlign w:val="center"/>
          </w:tcPr>
          <w:p w14:paraId="24191AD2">
            <w:pPr>
              <w:keepNext w:val="0"/>
              <w:keepLines w:val="0"/>
              <w:suppressLineNumbers w:val="0"/>
              <w:spacing w:before="0" w:beforeAutospacing="0" w:after="0" w:afterAutospacing="0"/>
              <w:ind w:left="0" w:right="0"/>
              <w:rPr>
                <w:rFonts w:hint="default" w:ascii="宋体" w:hAnsi="宋体"/>
                <w:color w:val="auto"/>
                <w:szCs w:val="22"/>
                <w:highlight w:val="none"/>
              </w:rPr>
            </w:pPr>
          </w:p>
        </w:tc>
        <w:tc>
          <w:tcPr>
            <w:tcW w:w="1516" w:type="dxa"/>
            <w:tcBorders>
              <w:top w:val="single" w:color="auto" w:sz="4" w:space="0"/>
              <w:left w:val="single" w:color="auto" w:sz="4" w:space="0"/>
              <w:bottom w:val="single" w:color="auto" w:sz="4" w:space="0"/>
              <w:right w:val="single" w:color="auto" w:sz="4" w:space="0"/>
            </w:tcBorders>
            <w:vAlign w:val="center"/>
          </w:tcPr>
          <w:p w14:paraId="5E0DB231">
            <w:pPr>
              <w:keepNext w:val="0"/>
              <w:keepLines w:val="0"/>
              <w:suppressLineNumbers w:val="0"/>
              <w:spacing w:before="0" w:beforeAutospacing="0" w:after="0" w:afterAutospacing="0"/>
              <w:ind w:left="0" w:right="0"/>
              <w:rPr>
                <w:rFonts w:hint="default" w:ascii="宋体" w:hAnsi="宋体"/>
                <w:color w:val="auto"/>
                <w:szCs w:val="22"/>
                <w:highlight w:val="none"/>
              </w:rPr>
            </w:pPr>
          </w:p>
        </w:tc>
        <w:tc>
          <w:tcPr>
            <w:tcW w:w="957" w:type="dxa"/>
            <w:tcBorders>
              <w:top w:val="single" w:color="auto" w:sz="4" w:space="0"/>
              <w:left w:val="single" w:color="auto" w:sz="4" w:space="0"/>
              <w:bottom w:val="single" w:color="auto" w:sz="4" w:space="0"/>
              <w:right w:val="single" w:color="auto" w:sz="4" w:space="0"/>
            </w:tcBorders>
          </w:tcPr>
          <w:p w14:paraId="7297DBAE">
            <w:pPr>
              <w:keepNext w:val="0"/>
              <w:keepLines w:val="0"/>
              <w:suppressLineNumbers w:val="0"/>
              <w:spacing w:before="0" w:beforeAutospacing="0" w:after="0" w:afterAutospacing="0"/>
              <w:ind w:left="0" w:right="0"/>
              <w:rPr>
                <w:rFonts w:hint="default" w:ascii="宋体" w:hAnsi="宋体"/>
                <w:color w:val="auto"/>
                <w:szCs w:val="22"/>
                <w:highlight w:val="none"/>
              </w:rPr>
            </w:pPr>
          </w:p>
        </w:tc>
        <w:tc>
          <w:tcPr>
            <w:tcW w:w="957" w:type="dxa"/>
            <w:tcBorders>
              <w:top w:val="single" w:color="auto" w:sz="4" w:space="0"/>
              <w:left w:val="single" w:color="auto" w:sz="4" w:space="0"/>
              <w:bottom w:val="single" w:color="auto" w:sz="4" w:space="0"/>
              <w:right w:val="single" w:color="auto" w:sz="4" w:space="0"/>
            </w:tcBorders>
            <w:vAlign w:val="center"/>
          </w:tcPr>
          <w:p w14:paraId="20BD81E0">
            <w:pPr>
              <w:keepNext w:val="0"/>
              <w:keepLines w:val="0"/>
              <w:suppressLineNumbers w:val="0"/>
              <w:spacing w:before="0" w:beforeAutospacing="0" w:after="0" w:afterAutospacing="0"/>
              <w:ind w:left="0" w:right="0"/>
              <w:rPr>
                <w:rFonts w:hint="default" w:ascii="宋体" w:hAnsi="宋体"/>
                <w:color w:val="auto"/>
                <w:szCs w:val="22"/>
                <w:highlight w:val="none"/>
              </w:rPr>
            </w:pPr>
          </w:p>
        </w:tc>
      </w:tr>
      <w:tr w14:paraId="616671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24" w:hRule="atLeast"/>
        </w:trPr>
        <w:tc>
          <w:tcPr>
            <w:tcW w:w="9813" w:type="dxa"/>
            <w:gridSpan w:val="8"/>
            <w:tcBorders>
              <w:top w:val="single" w:color="auto" w:sz="4" w:space="0"/>
              <w:left w:val="single" w:color="auto" w:sz="4" w:space="0"/>
              <w:bottom w:val="single" w:color="auto" w:sz="4" w:space="0"/>
              <w:right w:val="single" w:color="auto" w:sz="4" w:space="0"/>
            </w:tcBorders>
          </w:tcPr>
          <w:p w14:paraId="49FA4D25">
            <w:pPr>
              <w:keepNext w:val="0"/>
              <w:keepLines w:val="0"/>
              <w:suppressLineNumbers w:val="0"/>
              <w:spacing w:before="0" w:beforeAutospacing="0" w:after="0" w:afterAutospacing="0"/>
              <w:ind w:left="0" w:right="0"/>
              <w:jc w:val="left"/>
              <w:rPr>
                <w:rFonts w:hint="default" w:ascii="宋体" w:hAnsi="宋体"/>
                <w:color w:val="auto"/>
                <w:szCs w:val="21"/>
                <w:highlight w:val="none"/>
              </w:rPr>
            </w:pPr>
            <w:r>
              <w:rPr>
                <w:rFonts w:hint="eastAsia" w:ascii="宋体" w:hAnsi="宋体"/>
                <w:color w:val="auto"/>
                <w:szCs w:val="21"/>
                <w:highlight w:val="none"/>
              </w:rPr>
              <w:t xml:space="preserve">报价合计（包含税费等所有费用）：（大写）人民币  </w:t>
            </w:r>
            <w:r>
              <w:rPr>
                <w:rFonts w:hint="default" w:ascii="宋体" w:hAnsi="宋体"/>
                <w:color w:val="auto"/>
                <w:szCs w:val="21"/>
                <w:highlight w:val="none"/>
              </w:rPr>
              <w:t xml:space="preserve">     </w:t>
            </w:r>
            <w:r>
              <w:rPr>
                <w:rFonts w:hint="eastAsia" w:ascii="宋体" w:hAnsi="宋体"/>
                <w:color w:val="auto"/>
                <w:szCs w:val="21"/>
                <w:highlight w:val="none"/>
              </w:rPr>
              <w:t xml:space="preserve">（￥ </w:t>
            </w:r>
            <w:r>
              <w:rPr>
                <w:rFonts w:hint="default" w:ascii="宋体" w:hAnsi="宋体"/>
                <w:color w:val="auto"/>
                <w:szCs w:val="21"/>
                <w:highlight w:val="none"/>
              </w:rPr>
              <w:t xml:space="preserve">     </w:t>
            </w:r>
            <w:r>
              <w:rPr>
                <w:rFonts w:hint="eastAsia" w:ascii="宋体" w:hAnsi="宋体"/>
                <w:color w:val="auto"/>
                <w:szCs w:val="21"/>
                <w:highlight w:val="none"/>
              </w:rPr>
              <w:t xml:space="preserve">  元）</w:t>
            </w:r>
          </w:p>
          <w:p w14:paraId="4144A63A">
            <w:pPr>
              <w:keepNext w:val="0"/>
              <w:keepLines w:val="0"/>
              <w:suppressLineNumbers w:val="0"/>
              <w:spacing w:before="0" w:beforeAutospacing="0" w:after="0" w:afterAutospacing="0"/>
              <w:ind w:left="0" w:right="0" w:firstLine="422"/>
              <w:jc w:val="left"/>
              <w:rPr>
                <w:rFonts w:hint="default" w:ascii="宋体" w:hAnsi="宋体"/>
                <w:b/>
                <w:color w:val="auto"/>
                <w:szCs w:val="22"/>
                <w:highlight w:val="none"/>
              </w:rPr>
            </w:pPr>
          </w:p>
        </w:tc>
      </w:tr>
      <w:tr w14:paraId="4DCEBE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24" w:hRule="atLeast"/>
        </w:trPr>
        <w:tc>
          <w:tcPr>
            <w:tcW w:w="9813" w:type="dxa"/>
            <w:gridSpan w:val="8"/>
            <w:tcBorders>
              <w:top w:val="single" w:color="auto" w:sz="4" w:space="0"/>
              <w:left w:val="single" w:color="auto" w:sz="4" w:space="0"/>
              <w:bottom w:val="single" w:color="auto" w:sz="4" w:space="0"/>
              <w:right w:val="single" w:color="auto" w:sz="4" w:space="0"/>
            </w:tcBorders>
          </w:tcPr>
          <w:p w14:paraId="785B5675">
            <w:pPr>
              <w:keepNext w:val="0"/>
              <w:keepLines w:val="0"/>
              <w:suppressLineNumbers w:val="0"/>
              <w:spacing w:before="0" w:beforeAutospacing="0" w:after="0" w:afterAutospacing="0"/>
              <w:ind w:left="0" w:right="0"/>
              <w:rPr>
                <w:rFonts w:hint="default" w:ascii="宋体" w:hAnsi="宋体"/>
                <w:color w:val="auto"/>
                <w:szCs w:val="22"/>
                <w:highlight w:val="none"/>
              </w:rPr>
            </w:pPr>
            <w:r>
              <w:rPr>
                <w:rFonts w:hint="eastAsia" w:ascii="宋体" w:hAnsi="宋体"/>
                <w:color w:val="auto"/>
                <w:szCs w:val="21"/>
                <w:highlight w:val="none"/>
                <w:u w:val="single"/>
              </w:rPr>
              <w:t>　　</w:t>
            </w:r>
            <w:r>
              <w:rPr>
                <w:rFonts w:hint="eastAsia" w:ascii="宋体" w:hAnsi="宋体"/>
                <w:color w:val="auto"/>
                <w:szCs w:val="21"/>
                <w:highlight w:val="none"/>
              </w:rPr>
              <w:t>分标（此处有分标时填写具体分标号，无分标时填写“无”）</w:t>
            </w:r>
          </w:p>
        </w:tc>
      </w:tr>
      <w:tr w14:paraId="0ADC69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24" w:hRule="atLeast"/>
        </w:trPr>
        <w:tc>
          <w:tcPr>
            <w:tcW w:w="9813" w:type="dxa"/>
            <w:gridSpan w:val="8"/>
            <w:tcBorders>
              <w:top w:val="single" w:color="auto" w:sz="4" w:space="0"/>
              <w:left w:val="single" w:color="auto" w:sz="4" w:space="0"/>
              <w:bottom w:val="single" w:color="auto" w:sz="4" w:space="0"/>
              <w:right w:val="single" w:color="auto" w:sz="4" w:space="0"/>
            </w:tcBorders>
          </w:tcPr>
          <w:p w14:paraId="044B4669">
            <w:pPr>
              <w:keepNext w:val="0"/>
              <w:keepLines w:val="0"/>
              <w:suppressLineNumbers w:val="0"/>
              <w:spacing w:before="0" w:beforeAutospacing="0" w:after="0" w:afterAutospacing="0"/>
              <w:ind w:left="0" w:right="0"/>
              <w:rPr>
                <w:rFonts w:hint="default" w:ascii="宋体" w:hAnsi="宋体"/>
                <w:color w:val="auto"/>
                <w:szCs w:val="22"/>
                <w:highlight w:val="none"/>
              </w:rPr>
            </w:pPr>
            <w:r>
              <w:rPr>
                <w:rFonts w:hint="eastAsia" w:ascii="宋体" w:hAnsi="宋体"/>
                <w:color w:val="auto"/>
                <w:szCs w:val="22"/>
                <w:highlight w:val="none"/>
              </w:rPr>
              <w:t>响应产品中，属于本国产品总值为¥       （具体明细详见附表，附表格式自拟），占响应产品的比例为    %。</w:t>
            </w:r>
          </w:p>
        </w:tc>
      </w:tr>
      <w:tr w14:paraId="36839D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24" w:hRule="atLeast"/>
        </w:trPr>
        <w:tc>
          <w:tcPr>
            <w:tcW w:w="9813" w:type="dxa"/>
            <w:gridSpan w:val="8"/>
            <w:tcBorders>
              <w:top w:val="single" w:color="auto" w:sz="4" w:space="0"/>
              <w:left w:val="single" w:color="auto" w:sz="4" w:space="0"/>
              <w:bottom w:val="single" w:color="auto" w:sz="4" w:space="0"/>
              <w:right w:val="single" w:color="auto" w:sz="4" w:space="0"/>
            </w:tcBorders>
          </w:tcPr>
          <w:p w14:paraId="3B2850B5">
            <w:pPr>
              <w:keepNext w:val="0"/>
              <w:keepLines w:val="0"/>
              <w:suppressLineNumbers w:val="0"/>
              <w:spacing w:before="0" w:beforeAutospacing="0" w:after="0" w:afterAutospacing="0"/>
              <w:ind w:left="0" w:right="0"/>
              <w:rPr>
                <w:rFonts w:hint="default" w:ascii="宋体" w:hAnsi="宋体"/>
                <w:color w:val="auto"/>
                <w:szCs w:val="22"/>
                <w:highlight w:val="none"/>
              </w:rPr>
            </w:pPr>
            <w:r>
              <w:rPr>
                <w:rFonts w:hint="eastAsia" w:ascii="宋体" w:hAnsi="宋体"/>
                <w:color w:val="auto"/>
                <w:szCs w:val="22"/>
                <w:highlight w:val="none"/>
              </w:rPr>
              <w:t>验收标准：</w:t>
            </w:r>
          </w:p>
        </w:tc>
      </w:tr>
      <w:tr w14:paraId="090FA6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24" w:hRule="atLeast"/>
        </w:trPr>
        <w:tc>
          <w:tcPr>
            <w:tcW w:w="9813" w:type="dxa"/>
            <w:gridSpan w:val="8"/>
            <w:tcBorders>
              <w:top w:val="single" w:color="auto" w:sz="4" w:space="0"/>
              <w:left w:val="single" w:color="auto" w:sz="4" w:space="0"/>
              <w:bottom w:val="single" w:color="auto" w:sz="4" w:space="0"/>
              <w:right w:val="single" w:color="auto" w:sz="4" w:space="0"/>
            </w:tcBorders>
          </w:tcPr>
          <w:p w14:paraId="1CC96D16">
            <w:pPr>
              <w:keepNext w:val="0"/>
              <w:keepLines w:val="0"/>
              <w:suppressLineNumbers w:val="0"/>
              <w:spacing w:before="0" w:beforeAutospacing="0" w:after="0" w:afterAutospacing="0"/>
              <w:ind w:left="0" w:right="0"/>
              <w:rPr>
                <w:rFonts w:hint="default" w:ascii="宋体" w:hAnsi="宋体"/>
                <w:color w:val="auto"/>
                <w:szCs w:val="22"/>
                <w:highlight w:val="none"/>
              </w:rPr>
            </w:pPr>
            <w:r>
              <w:rPr>
                <w:rFonts w:hint="eastAsia" w:ascii="宋体" w:hAnsi="宋体"/>
                <w:color w:val="auto"/>
                <w:szCs w:val="22"/>
                <w:highlight w:val="none"/>
              </w:rPr>
              <w:t>优惠及其它：</w:t>
            </w:r>
          </w:p>
        </w:tc>
      </w:tr>
    </w:tbl>
    <w:p w14:paraId="6CD70FE6">
      <w:pPr>
        <w:pStyle w:val="11"/>
        <w:rPr>
          <w:color w:val="auto"/>
          <w:highlight w:val="none"/>
        </w:rPr>
      </w:pPr>
    </w:p>
    <w:p w14:paraId="3501D9F5">
      <w:pPr>
        <w:rPr>
          <w:color w:val="auto"/>
          <w:highlight w:val="none"/>
        </w:rPr>
      </w:pPr>
    </w:p>
    <w:p w14:paraId="28301DBF">
      <w:pPr>
        <w:snapToGrid w:val="0"/>
        <w:spacing w:before="50" w:after="50" w:line="360" w:lineRule="auto"/>
        <w:ind w:firstLine="480" w:firstLineChars="200"/>
        <w:jc w:val="left"/>
        <w:rPr>
          <w:rFonts w:ascii="方正仿宋_GB2312" w:hAnsi="仿宋" w:eastAsia="方正仿宋_GB2312" w:cs="方正仿宋_GB2312"/>
          <w:color w:val="auto"/>
          <w:kern w:val="0"/>
          <w:sz w:val="24"/>
          <w:highlight w:val="none"/>
          <w:lang w:val="zh-CN"/>
        </w:rPr>
      </w:pPr>
      <w:r>
        <w:rPr>
          <w:rFonts w:hint="eastAsia" w:ascii="方正仿宋_GB2312" w:hAnsi="仿宋" w:eastAsia="方正仿宋_GB2312" w:cs="方正仿宋_GB2312"/>
          <w:color w:val="auto"/>
          <w:kern w:val="0"/>
          <w:sz w:val="24"/>
          <w:highlight w:val="none"/>
          <w:lang w:val="zh-CN"/>
        </w:rPr>
        <w:t xml:space="preserve">注： </w:t>
      </w:r>
    </w:p>
    <w:p w14:paraId="495FA6E0">
      <w:pPr>
        <w:snapToGrid w:val="0"/>
        <w:spacing w:before="50" w:after="50" w:line="360" w:lineRule="auto"/>
        <w:ind w:firstLine="480" w:firstLineChars="200"/>
        <w:jc w:val="left"/>
        <w:rPr>
          <w:rFonts w:ascii="方正仿宋_GB2312" w:hAnsi="仿宋" w:eastAsia="方正仿宋_GB2312" w:cs="方正仿宋_GB2312"/>
          <w:color w:val="auto"/>
          <w:kern w:val="0"/>
          <w:sz w:val="24"/>
          <w:highlight w:val="none"/>
          <w:lang w:val="zh-CN"/>
        </w:rPr>
      </w:pPr>
      <w:r>
        <w:rPr>
          <w:rFonts w:hint="eastAsia" w:ascii="方正仿宋_GB2312" w:hAnsi="仿宋" w:eastAsia="方正仿宋_GB2312" w:cs="方正仿宋_GB2312"/>
          <w:color w:val="auto"/>
          <w:kern w:val="0"/>
          <w:sz w:val="24"/>
          <w:highlight w:val="none"/>
          <w:lang w:val="zh-CN"/>
        </w:rPr>
        <w:t>1、 投标人需按本表格式填写，不得自行更改，也不得留空, 如有多分标，按分标分别提供开标一览表，必须加盖投标人有效电子公章，</w:t>
      </w:r>
      <w:r>
        <w:rPr>
          <w:rFonts w:hint="eastAsia" w:ascii="方正仿宋_GB2312" w:hAnsi="仿宋" w:eastAsia="方正仿宋_GB2312" w:cs="方正仿宋_GB2312"/>
          <w:b/>
          <w:color w:val="auto"/>
          <w:kern w:val="0"/>
          <w:sz w:val="24"/>
          <w:highlight w:val="none"/>
          <w:lang w:val="zh-CN"/>
        </w:rPr>
        <w:t>否则其投标作无效标处理。</w:t>
      </w:r>
    </w:p>
    <w:p w14:paraId="7026BEFA">
      <w:pPr>
        <w:snapToGrid w:val="0"/>
        <w:spacing w:before="50" w:after="50" w:line="360" w:lineRule="auto"/>
        <w:ind w:firstLine="480" w:firstLineChars="200"/>
        <w:jc w:val="left"/>
        <w:rPr>
          <w:rFonts w:ascii="方正仿宋_GB2312" w:hAnsi="仿宋" w:eastAsia="方正仿宋_GB2312" w:cs="方正仿宋_GB2312"/>
          <w:color w:val="auto"/>
          <w:kern w:val="0"/>
          <w:sz w:val="24"/>
          <w:highlight w:val="none"/>
          <w:lang w:val="zh-CN"/>
        </w:rPr>
      </w:pPr>
      <w:r>
        <w:rPr>
          <w:rFonts w:hint="eastAsia" w:ascii="方正仿宋_GB2312" w:hAnsi="仿宋" w:eastAsia="方正仿宋_GB2312" w:cs="方正仿宋_GB2312"/>
          <w:color w:val="auto"/>
          <w:kern w:val="0"/>
          <w:sz w:val="24"/>
          <w:highlight w:val="none"/>
          <w:lang w:val="zh-CN"/>
        </w:rPr>
        <w:t>2、本表内容均不能涂改，</w:t>
      </w:r>
      <w:r>
        <w:rPr>
          <w:rFonts w:hint="eastAsia" w:ascii="方正仿宋_GB2312" w:hAnsi="仿宋" w:eastAsia="方正仿宋_GB2312" w:cs="方正仿宋_GB2312"/>
          <w:b/>
          <w:color w:val="auto"/>
          <w:kern w:val="0"/>
          <w:sz w:val="24"/>
          <w:highlight w:val="none"/>
          <w:lang w:val="zh-CN"/>
        </w:rPr>
        <w:t>否则其投标作无效标处理。</w:t>
      </w:r>
    </w:p>
    <w:p w14:paraId="43D3BEE4">
      <w:pPr>
        <w:snapToGrid w:val="0"/>
        <w:spacing w:before="50" w:after="50" w:line="360" w:lineRule="auto"/>
        <w:ind w:firstLine="480" w:firstLineChars="200"/>
        <w:jc w:val="left"/>
        <w:rPr>
          <w:rFonts w:ascii="方正仿宋_GB2312" w:hAnsi="仿宋" w:eastAsia="方正仿宋_GB2312" w:cs="方正仿宋_GB2312"/>
          <w:b/>
          <w:color w:val="auto"/>
          <w:kern w:val="0"/>
          <w:sz w:val="24"/>
          <w:highlight w:val="none"/>
          <w:lang w:val="zh-CN"/>
        </w:rPr>
      </w:pPr>
      <w:r>
        <w:rPr>
          <w:rFonts w:hint="eastAsia" w:ascii="方正仿宋_GB2312" w:hAnsi="仿宋" w:eastAsia="方正仿宋_GB2312" w:cs="方正仿宋_GB2312"/>
          <w:color w:val="auto"/>
          <w:kern w:val="0"/>
          <w:sz w:val="24"/>
          <w:highlight w:val="none"/>
          <w:lang w:val="zh-CN"/>
        </w:rPr>
        <w:t>3、如为联合体投标，“投标人名称”处必须列明联合体各方名称，并标注联合体牵头人名称，且盖章处须加盖联合体各方公章，</w:t>
      </w:r>
      <w:r>
        <w:rPr>
          <w:rFonts w:hint="eastAsia" w:ascii="方正仿宋_GB2312" w:hAnsi="仿宋" w:eastAsia="方正仿宋_GB2312" w:cs="方正仿宋_GB2312"/>
          <w:b/>
          <w:color w:val="auto"/>
          <w:kern w:val="0"/>
          <w:sz w:val="24"/>
          <w:highlight w:val="none"/>
          <w:lang w:val="zh-CN"/>
        </w:rPr>
        <w:t>否则其投标作无效标处理。</w:t>
      </w:r>
    </w:p>
    <w:p w14:paraId="55BD0FB3">
      <w:pPr>
        <w:snapToGrid w:val="0"/>
        <w:spacing w:line="360" w:lineRule="auto"/>
        <w:ind w:firstLine="480" w:firstLineChars="200"/>
        <w:jc w:val="left"/>
        <w:rPr>
          <w:rFonts w:ascii="方正仿宋_GB2312" w:hAnsi="仿宋" w:eastAsia="方正仿宋_GB2312" w:cs="方正仿宋_GB2312"/>
          <w:color w:val="auto"/>
          <w:kern w:val="0"/>
          <w:sz w:val="24"/>
          <w:highlight w:val="none"/>
          <w:lang w:val="zh-CN"/>
        </w:rPr>
      </w:pPr>
      <w:r>
        <w:rPr>
          <w:rFonts w:hint="eastAsia" w:ascii="方正仿宋_GB2312" w:hAnsi="仿宋" w:eastAsia="方正仿宋_GB2312" w:cs="方正仿宋_GB2312"/>
          <w:color w:val="auto"/>
          <w:kern w:val="0"/>
          <w:sz w:val="24"/>
          <w:highlight w:val="none"/>
          <w:lang w:val="zh-CN"/>
        </w:rPr>
        <w:t>4、填表说明：投标人须按报价表的要求填写报价，</w:t>
      </w:r>
      <w:r>
        <w:rPr>
          <w:rFonts w:hint="eastAsia" w:ascii="方正仿宋_GB2312" w:hAnsi="仿宋" w:eastAsia="方正仿宋_GB2312" w:cs="方正仿宋_GB2312"/>
          <w:color w:val="auto"/>
          <w:kern w:val="0"/>
          <w:sz w:val="24"/>
          <w:highlight w:val="none"/>
        </w:rPr>
        <w:t>投标人报出不同品目清单</w:t>
      </w:r>
      <w:r>
        <w:rPr>
          <w:rFonts w:hint="eastAsia" w:ascii="方正仿宋_GB2312" w:hAnsi="仿宋" w:eastAsia="方正仿宋_GB2312" w:cs="方正仿宋_GB2312"/>
          <w:color w:val="auto"/>
          <w:kern w:val="0"/>
          <w:sz w:val="24"/>
          <w:highlight w:val="none"/>
          <w:lang w:val="zh-CN"/>
        </w:rPr>
        <w:t>统一</w:t>
      </w:r>
      <w:r>
        <w:rPr>
          <w:rFonts w:hint="eastAsia" w:ascii="方正仿宋_GB2312" w:hAnsi="仿宋" w:eastAsia="方正仿宋_GB2312" w:cs="方正仿宋_GB2312"/>
          <w:color w:val="auto"/>
          <w:kern w:val="0"/>
          <w:sz w:val="24"/>
          <w:highlight w:val="none"/>
        </w:rPr>
        <w:t>的</w:t>
      </w:r>
      <w:r>
        <w:rPr>
          <w:rFonts w:hint="eastAsia" w:ascii="方正仿宋_GB2312" w:hAnsi="仿宋" w:eastAsia="方正仿宋_GB2312" w:cs="方正仿宋_GB2312"/>
          <w:color w:val="auto"/>
          <w:kern w:val="0"/>
          <w:sz w:val="24"/>
          <w:highlight w:val="none"/>
          <w:lang w:val="zh-CN"/>
        </w:rPr>
        <w:t>下浮</w:t>
      </w:r>
      <w:r>
        <w:rPr>
          <w:rFonts w:hint="eastAsia" w:ascii="方正仿宋_GB2312" w:hAnsi="仿宋" w:eastAsia="方正仿宋_GB2312" w:cs="方正仿宋_GB2312"/>
          <w:color w:val="auto"/>
          <w:kern w:val="0"/>
          <w:sz w:val="24"/>
          <w:highlight w:val="none"/>
        </w:rPr>
        <w:t>折扣率</w:t>
      </w:r>
      <w:r>
        <w:rPr>
          <w:rFonts w:hint="eastAsia" w:ascii="方正仿宋_GB2312" w:hAnsi="仿宋" w:eastAsia="方正仿宋_GB2312" w:cs="方正仿宋_GB2312"/>
          <w:color w:val="auto"/>
          <w:kern w:val="0"/>
          <w:sz w:val="24"/>
          <w:highlight w:val="none"/>
          <w:lang w:val="zh-CN"/>
        </w:rPr>
        <w:t>。</w:t>
      </w:r>
    </w:p>
    <w:p w14:paraId="7A900613">
      <w:pPr>
        <w:snapToGrid w:val="0"/>
        <w:spacing w:line="360" w:lineRule="auto"/>
        <w:ind w:firstLine="480" w:firstLineChars="200"/>
        <w:jc w:val="left"/>
        <w:rPr>
          <w:rFonts w:ascii="方正仿宋_GB2312" w:hAnsi="仿宋" w:eastAsia="方正仿宋_GB2312" w:cs="方正仿宋_GB2312"/>
          <w:color w:val="auto"/>
          <w:kern w:val="0"/>
          <w:sz w:val="24"/>
          <w:highlight w:val="none"/>
          <w:lang w:val="zh-CN"/>
        </w:rPr>
      </w:pPr>
      <w:r>
        <w:rPr>
          <w:rFonts w:hint="eastAsia" w:ascii="方正仿宋_GB2312" w:hAnsi="仿宋" w:eastAsia="方正仿宋_GB2312" w:cs="方正仿宋_GB2312"/>
          <w:color w:val="auto"/>
          <w:kern w:val="0"/>
          <w:sz w:val="24"/>
          <w:highlight w:val="none"/>
          <w:lang w:val="zh-CN"/>
        </w:rPr>
        <w:t>5、特别提示：采购机构将对项目名称和项目编号，中标供应商名称、地址和中标金额，主要中标标的的名称、服务范围、服务要求、服务时间、服务标准等予以公示。</w:t>
      </w:r>
    </w:p>
    <w:p w14:paraId="2A8241A2">
      <w:pPr>
        <w:snapToGrid w:val="0"/>
        <w:spacing w:line="360" w:lineRule="auto"/>
        <w:ind w:firstLine="480" w:firstLineChars="200"/>
        <w:jc w:val="left"/>
        <w:rPr>
          <w:rFonts w:ascii="方正仿宋_GB2312" w:hAnsi="仿宋" w:eastAsia="方正仿宋_GB2312" w:cs="方正仿宋_GB2312"/>
          <w:color w:val="auto"/>
          <w:kern w:val="0"/>
          <w:sz w:val="24"/>
          <w:highlight w:val="none"/>
          <w:lang w:val="zh-CN"/>
        </w:rPr>
      </w:pPr>
      <w:r>
        <w:rPr>
          <w:rFonts w:hint="eastAsia" w:ascii="方正仿宋_GB2312" w:hAnsi="仿宋" w:eastAsia="方正仿宋_GB2312" w:cs="方正仿宋_GB2312"/>
          <w:color w:val="auto"/>
          <w:kern w:val="0"/>
          <w:sz w:val="24"/>
          <w:szCs w:val="22"/>
          <w:highlight w:val="none"/>
          <w:lang w:val="zh-CN"/>
        </w:rPr>
        <w:t>6、</w:t>
      </w:r>
      <w:r>
        <w:rPr>
          <w:rFonts w:hint="eastAsia" w:ascii="方正仿宋_GB2312" w:hAnsi="仿宋" w:eastAsia="方正仿宋_GB2312" w:cs="方正仿宋_GB2312"/>
          <w:color w:val="auto"/>
          <w:kern w:val="0"/>
          <w:sz w:val="24"/>
          <w:highlight w:val="none"/>
          <w:lang w:val="zh-CN"/>
        </w:rPr>
        <w:t>符合招标文件中列明的可享受中小企业扶持政策的投标人，请填写中小企业声明函。注：投标人提供的中小企业声明函内容不实的，属于提供虚假材料谋取中标、成交，将依照《中华人民共和国政府采购法》等国家有关规定追究相应责任。</w:t>
      </w:r>
    </w:p>
    <w:p w14:paraId="12F27338">
      <w:pPr>
        <w:snapToGrid w:val="0"/>
        <w:spacing w:line="360" w:lineRule="auto"/>
        <w:ind w:firstLine="5040" w:firstLineChars="2100"/>
        <w:rPr>
          <w:rFonts w:ascii="方正仿宋_GB2312" w:hAnsi="仿宋" w:eastAsia="方正仿宋_GB2312" w:cs="方正仿宋_GB2312"/>
          <w:color w:val="auto"/>
          <w:kern w:val="0"/>
          <w:sz w:val="24"/>
          <w:highlight w:val="none"/>
        </w:rPr>
      </w:pPr>
      <w:r>
        <w:rPr>
          <w:rFonts w:hint="eastAsia" w:ascii="方正仿宋_GB2312" w:hAnsi="仿宋" w:eastAsia="方正仿宋_GB2312" w:cs="方正仿宋_GB2312"/>
          <w:color w:val="auto"/>
          <w:kern w:val="0"/>
          <w:sz w:val="24"/>
          <w:highlight w:val="none"/>
          <w:lang w:val="zh-CN"/>
        </w:rPr>
        <w:t>投标人名称(电子签章)：</w:t>
      </w:r>
    </w:p>
    <w:p w14:paraId="395F0209">
      <w:pPr>
        <w:snapToGrid w:val="0"/>
        <w:spacing w:line="360" w:lineRule="auto"/>
        <w:ind w:firstLine="5160" w:firstLineChars="2150"/>
        <w:rPr>
          <w:rFonts w:ascii="方正仿宋_GB2312" w:hAnsi="仿宋" w:eastAsia="方正仿宋_GB2312" w:cs="方正仿宋_GB2312"/>
          <w:color w:val="auto"/>
          <w:kern w:val="0"/>
          <w:sz w:val="24"/>
          <w:highlight w:val="none"/>
          <w:lang w:val="zh-CN"/>
        </w:rPr>
      </w:pPr>
      <w:r>
        <w:rPr>
          <w:rFonts w:hint="eastAsia" w:ascii="方正仿宋_GB2312" w:hAnsi="仿宋" w:eastAsia="方正仿宋_GB2312" w:cs="方正仿宋_GB2312"/>
          <w:color w:val="auto"/>
          <w:kern w:val="0"/>
          <w:sz w:val="24"/>
          <w:highlight w:val="none"/>
          <w:lang w:val="zh-CN"/>
        </w:rPr>
        <w:t>日期</w:t>
      </w:r>
      <w:r>
        <w:rPr>
          <w:rFonts w:hint="eastAsia" w:ascii="方正仿宋_GB2312" w:hAnsi="仿宋" w:eastAsia="方正仿宋_GB2312" w:cs="方正仿宋_GB2312"/>
          <w:color w:val="auto"/>
          <w:kern w:val="0"/>
          <w:sz w:val="24"/>
          <w:highlight w:val="none"/>
        </w:rPr>
        <w:t xml:space="preserve">：  年  </w:t>
      </w:r>
      <w:r>
        <w:rPr>
          <w:rFonts w:hint="eastAsia" w:ascii="方正仿宋_GB2312" w:hAnsi="仿宋" w:eastAsia="方正仿宋_GB2312" w:cs="方正仿宋_GB2312"/>
          <w:color w:val="auto"/>
          <w:kern w:val="0"/>
          <w:sz w:val="24"/>
          <w:highlight w:val="none"/>
          <w:lang w:val="zh-CN"/>
        </w:rPr>
        <w:t>月日</w:t>
      </w:r>
    </w:p>
    <w:p w14:paraId="5F981253">
      <w:pPr>
        <w:widowControl/>
        <w:jc w:val="left"/>
        <w:rPr>
          <w:rFonts w:ascii="宋体" w:hAnsi="宋体"/>
          <w:color w:val="auto"/>
          <w:sz w:val="30"/>
          <w:szCs w:val="20"/>
          <w:highlight w:val="none"/>
        </w:rPr>
        <w:sectPr>
          <w:pgSz w:w="11906" w:h="16838"/>
          <w:pgMar w:top="1134" w:right="1134" w:bottom="1134" w:left="1134" w:header="720" w:footer="720" w:gutter="0"/>
          <w:pgNumType w:fmt="decimal"/>
          <w:cols w:space="720" w:num="1"/>
          <w:docGrid w:type="lines" w:linePitch="331" w:charSpace="0"/>
        </w:sectPr>
      </w:pPr>
    </w:p>
    <w:p w14:paraId="410E5A54">
      <w:pPr>
        <w:pStyle w:val="7"/>
        <w:jc w:val="center"/>
        <w:rPr>
          <w:rFonts w:ascii="Times New Roman" w:hAnsi="Times New Roman"/>
          <w:b/>
          <w:color w:val="auto"/>
          <w:sz w:val="30"/>
          <w:szCs w:val="30"/>
          <w:highlight w:val="none"/>
        </w:rPr>
      </w:pPr>
    </w:p>
    <w:p w14:paraId="5139D125">
      <w:pPr>
        <w:pStyle w:val="7"/>
        <w:jc w:val="center"/>
        <w:rPr>
          <w:rFonts w:ascii="Times New Roman" w:hAnsi="Times New Roman"/>
          <w:b/>
          <w:color w:val="auto"/>
          <w:sz w:val="30"/>
          <w:szCs w:val="30"/>
          <w:highlight w:val="none"/>
        </w:rPr>
      </w:pPr>
      <w:r>
        <w:rPr>
          <w:rFonts w:hint="eastAsia" w:ascii="Times New Roman" w:hAnsi="Times New Roman"/>
          <w:b/>
          <w:color w:val="auto"/>
          <w:sz w:val="30"/>
          <w:szCs w:val="30"/>
          <w:highlight w:val="none"/>
        </w:rPr>
        <w:t>三、中小企业声明函</w:t>
      </w:r>
    </w:p>
    <w:p w14:paraId="0EF101B0">
      <w:pPr>
        <w:pStyle w:val="3"/>
        <w:spacing w:line="240" w:lineRule="auto"/>
        <w:ind w:firstLine="0"/>
        <w:rPr>
          <w:rFonts w:ascii="Times New Roman" w:hAnsi="Times New Roman"/>
          <w:color w:val="auto"/>
          <w:sz w:val="21"/>
          <w:szCs w:val="21"/>
          <w:highlight w:val="none"/>
        </w:rPr>
      </w:pPr>
      <w:r>
        <w:rPr>
          <w:rFonts w:hint="eastAsia" w:ascii="Times New Roman" w:hAnsi="宋体"/>
          <w:color w:val="auto"/>
          <w:sz w:val="21"/>
          <w:szCs w:val="21"/>
          <w:highlight w:val="none"/>
        </w:rPr>
        <w:t>说明：</w:t>
      </w:r>
    </w:p>
    <w:p w14:paraId="52EAD667">
      <w:pPr>
        <w:pStyle w:val="3"/>
        <w:spacing w:line="240" w:lineRule="auto"/>
        <w:ind w:firstLine="404" w:firstLineChars="200"/>
        <w:rPr>
          <w:rFonts w:ascii="Times New Roman" w:hAnsi="Times New Roman"/>
          <w:color w:val="auto"/>
          <w:sz w:val="21"/>
          <w:szCs w:val="21"/>
          <w:highlight w:val="none"/>
        </w:rPr>
      </w:pPr>
      <w:r>
        <w:rPr>
          <w:rFonts w:ascii="Times New Roman" w:hAnsi="Times New Roman"/>
          <w:color w:val="auto"/>
          <w:sz w:val="21"/>
          <w:szCs w:val="21"/>
          <w:highlight w:val="none"/>
        </w:rPr>
        <w:t>1</w:t>
      </w:r>
      <w:r>
        <w:rPr>
          <w:rFonts w:hint="eastAsia" w:ascii="Times New Roman" w:hAnsi="宋体"/>
          <w:color w:val="auto"/>
          <w:sz w:val="21"/>
          <w:szCs w:val="21"/>
          <w:highlight w:val="none"/>
        </w:rPr>
        <w:t>、本声明函主要供参加政府采购活动的中小企业填写，非中小企业无需填写。</w:t>
      </w:r>
    </w:p>
    <w:p w14:paraId="050DE400">
      <w:pPr>
        <w:pStyle w:val="3"/>
        <w:spacing w:line="240" w:lineRule="auto"/>
        <w:ind w:firstLine="404" w:firstLineChars="200"/>
        <w:rPr>
          <w:rFonts w:ascii="Times New Roman" w:hAnsi="宋体"/>
          <w:color w:val="auto"/>
          <w:sz w:val="21"/>
          <w:szCs w:val="21"/>
          <w:highlight w:val="none"/>
        </w:rPr>
      </w:pPr>
      <w:r>
        <w:rPr>
          <w:rFonts w:ascii="Times New Roman" w:hAnsi="Times New Roman"/>
          <w:color w:val="auto"/>
          <w:sz w:val="21"/>
          <w:szCs w:val="21"/>
          <w:highlight w:val="none"/>
        </w:rPr>
        <w:t>2</w:t>
      </w:r>
      <w:r>
        <w:rPr>
          <w:rFonts w:hint="eastAsia" w:ascii="Times New Roman" w:hAnsi="宋体"/>
          <w:color w:val="auto"/>
          <w:sz w:val="21"/>
          <w:szCs w:val="21"/>
          <w:highlight w:val="none"/>
        </w:rPr>
        <w:t>、小型、微型企业提供中型企业提供的服务的，视同为中型企业。</w:t>
      </w:r>
    </w:p>
    <w:p w14:paraId="7AA54E5C">
      <w:pPr>
        <w:pStyle w:val="3"/>
        <w:spacing w:line="240" w:lineRule="auto"/>
        <w:ind w:firstLine="404" w:firstLineChars="200"/>
        <w:rPr>
          <w:rFonts w:ascii="Times New Roman" w:hAnsi="宋体"/>
          <w:color w:val="auto"/>
          <w:sz w:val="21"/>
          <w:szCs w:val="21"/>
          <w:highlight w:val="none"/>
        </w:rPr>
      </w:pPr>
    </w:p>
    <w:p w14:paraId="545A3E8B">
      <w:pPr>
        <w:pStyle w:val="6"/>
        <w:spacing w:line="500" w:lineRule="exact"/>
        <w:ind w:right="142" w:firstLine="420" w:firstLineChars="200"/>
        <w:rPr>
          <w:rFonts w:ascii="宋体" w:hAnsi="宋体"/>
          <w:color w:val="auto"/>
          <w:highlight w:val="none"/>
        </w:rPr>
      </w:pPr>
      <w:r>
        <w:rPr>
          <w:rFonts w:hint="eastAsia" w:ascii="宋体" w:hAnsi="宋体"/>
          <w:color w:val="auto"/>
          <w:highlight w:val="none"/>
        </w:rPr>
        <w:t>本公司（联合体）郑重声明，根据《政府采购促进中小企业发展管理办法》（财库﹝2020﹞46号）的规定，本公司（联合体）参加</w:t>
      </w:r>
      <w:bookmarkStart w:id="337" w:name="PO_3000001866_PM026_8"/>
      <w:r>
        <w:rPr>
          <w:rFonts w:hint="eastAsia" w:ascii="宋体" w:hAnsi="宋体"/>
          <w:color w:val="auto"/>
          <w:highlight w:val="none"/>
          <w:u w:val="single"/>
        </w:rPr>
        <w:t>[项目采购-采购人_]</w:t>
      </w:r>
      <w:bookmarkEnd w:id="337"/>
      <w:r>
        <w:rPr>
          <w:rFonts w:hint="eastAsia" w:ascii="宋体" w:hAnsi="宋体"/>
          <w:color w:val="auto"/>
          <w:highlight w:val="none"/>
        </w:rPr>
        <w:t>的</w:t>
      </w:r>
      <w:bookmarkStart w:id="338" w:name="PO_3000001866_PM002_4"/>
      <w:r>
        <w:rPr>
          <w:rFonts w:hint="eastAsia" w:ascii="宋体" w:hAnsi="宋体"/>
          <w:color w:val="auto"/>
          <w:highlight w:val="none"/>
          <w:u w:val="single"/>
        </w:rPr>
        <w:t>[项目采购-项目名称]</w:t>
      </w:r>
      <w:bookmarkEnd w:id="338"/>
      <w:r>
        <w:rPr>
          <w:rFonts w:hint="eastAsia" w:ascii="宋体" w:hAnsi="宋体"/>
          <w:color w:val="auto"/>
          <w:highlight w:val="none"/>
        </w:rPr>
        <w:t>采购活动，服务全部由符合政策要求的中小企业承接。相关企业（含联合体中的中小企业、签订分包意向协议的中小企业）的具体情况如下：</w:t>
      </w:r>
    </w:p>
    <w:p w14:paraId="0287EE59">
      <w:pPr>
        <w:tabs>
          <w:tab w:val="left" w:pos="1384"/>
          <w:tab w:val="left" w:pos="4562"/>
          <w:tab w:val="left" w:pos="6803"/>
        </w:tabs>
        <w:spacing w:before="13" w:line="500" w:lineRule="exact"/>
        <w:ind w:right="142" w:firstLine="600" w:firstLineChars="286"/>
        <w:rPr>
          <w:rFonts w:ascii="宋体" w:hAnsi="宋体"/>
          <w:color w:val="auto"/>
          <w:szCs w:val="21"/>
          <w:highlight w:val="none"/>
        </w:rPr>
      </w:pPr>
      <w:r>
        <w:rPr>
          <w:rFonts w:hint="eastAsia" w:ascii="宋体" w:hAnsi="宋体" w:cs="宋体"/>
          <w:color w:val="auto"/>
          <w:szCs w:val="21"/>
          <w:highlight w:val="none"/>
          <w:u w:val="single"/>
          <w:lang w:bidi="ar"/>
        </w:rPr>
        <w:t>南宁中心血站2026年献血纪念品云仓服务采购项目</w:t>
      </w:r>
      <w:r>
        <w:rPr>
          <w:rFonts w:hint="eastAsia" w:ascii="宋体" w:hAnsi="宋体"/>
          <w:color w:val="auto"/>
          <w:szCs w:val="21"/>
          <w:highlight w:val="none"/>
        </w:rPr>
        <w:t>，属于</w:t>
      </w:r>
      <w:r>
        <w:rPr>
          <w:rFonts w:hint="eastAsia" w:ascii="宋体" w:hAnsi="宋体"/>
          <w:color w:val="auto"/>
          <w:szCs w:val="21"/>
          <w:highlight w:val="none"/>
          <w:u w:val="single"/>
        </w:rPr>
        <w:t>软件和信息技术服务业</w:t>
      </w:r>
      <w:r>
        <w:rPr>
          <w:rFonts w:hint="eastAsia" w:ascii="宋体" w:hAnsi="宋体"/>
          <w:color w:val="auto"/>
          <w:szCs w:val="21"/>
          <w:highlight w:val="none"/>
        </w:rPr>
        <w:t>；承接企业为</w:t>
      </w:r>
      <w:r>
        <w:rPr>
          <w:rFonts w:hint="eastAsia" w:ascii="宋体" w:hAnsi="宋体"/>
          <w:color w:val="auto"/>
          <w:szCs w:val="21"/>
          <w:highlight w:val="none"/>
          <w:u w:val="single"/>
        </w:rPr>
        <w:t>（企业名称）</w:t>
      </w:r>
      <w:r>
        <w:rPr>
          <w:rFonts w:hint="eastAsia" w:ascii="宋体" w:hAnsi="宋体"/>
          <w:color w:val="auto"/>
          <w:szCs w:val="21"/>
          <w:highlight w:val="none"/>
        </w:rPr>
        <w:t>，从业人员</w:t>
      </w:r>
      <w:r>
        <w:rPr>
          <w:rFonts w:hint="eastAsia" w:ascii="宋体" w:hAnsi="宋体"/>
          <w:color w:val="auto"/>
          <w:szCs w:val="21"/>
          <w:highlight w:val="none"/>
          <w:u w:val="single"/>
        </w:rPr>
        <w:t xml:space="preserve">    </w:t>
      </w:r>
      <w:r>
        <w:rPr>
          <w:rFonts w:hint="eastAsia" w:ascii="宋体" w:hAnsi="宋体"/>
          <w:color w:val="auto"/>
          <w:szCs w:val="21"/>
          <w:highlight w:val="none"/>
        </w:rPr>
        <w:t>人，营业收入为</w:t>
      </w:r>
      <w:r>
        <w:rPr>
          <w:rFonts w:hint="eastAsia" w:ascii="宋体" w:hAnsi="宋体"/>
          <w:color w:val="auto"/>
          <w:szCs w:val="21"/>
          <w:highlight w:val="none"/>
          <w:u w:val="single"/>
        </w:rPr>
        <w:t xml:space="preserve">    </w:t>
      </w:r>
      <w:r>
        <w:rPr>
          <w:rFonts w:hint="eastAsia" w:ascii="宋体" w:hAnsi="宋体"/>
          <w:color w:val="auto"/>
          <w:szCs w:val="21"/>
          <w:highlight w:val="none"/>
        </w:rPr>
        <w:t>万元，资产总额为</w:t>
      </w:r>
      <w:r>
        <w:rPr>
          <w:rFonts w:hint="eastAsia" w:ascii="宋体" w:hAnsi="宋体"/>
          <w:color w:val="auto"/>
          <w:szCs w:val="21"/>
          <w:highlight w:val="none"/>
          <w:u w:val="single"/>
        </w:rPr>
        <w:t xml:space="preserve">    </w:t>
      </w:r>
      <w:r>
        <w:rPr>
          <w:rFonts w:hint="eastAsia" w:ascii="宋体" w:hAnsi="宋体"/>
          <w:color w:val="auto"/>
          <w:szCs w:val="21"/>
          <w:highlight w:val="none"/>
        </w:rPr>
        <w:t>万元，属于</w:t>
      </w:r>
      <w:r>
        <w:rPr>
          <w:rFonts w:hint="eastAsia" w:ascii="宋体" w:hAnsi="宋体"/>
          <w:color w:val="auto"/>
          <w:szCs w:val="21"/>
          <w:highlight w:val="none"/>
          <w:u w:val="single"/>
        </w:rPr>
        <w:t>（中型企业、小型企业、微型企业）</w:t>
      </w:r>
      <w:r>
        <w:rPr>
          <w:rFonts w:hint="eastAsia" w:ascii="宋体" w:hAnsi="宋体"/>
          <w:color w:val="auto"/>
          <w:szCs w:val="21"/>
          <w:highlight w:val="none"/>
        </w:rPr>
        <w:t>；</w:t>
      </w:r>
    </w:p>
    <w:p w14:paraId="5007CBFD">
      <w:pPr>
        <w:pStyle w:val="6"/>
        <w:spacing w:before="34" w:line="500" w:lineRule="exact"/>
        <w:ind w:right="142" w:firstLine="420" w:firstLineChars="200"/>
        <w:rPr>
          <w:rFonts w:ascii="宋体" w:hAnsi="宋体"/>
          <w:color w:val="auto"/>
          <w:highlight w:val="none"/>
        </w:rPr>
      </w:pPr>
      <w:r>
        <w:rPr>
          <w:rFonts w:hint="eastAsia" w:ascii="宋体" w:hAnsi="宋体"/>
          <w:color w:val="auto"/>
          <w:highlight w:val="none"/>
        </w:rPr>
        <w:t>以上企业，不属于大企业的分支机构，不存在控股股东为大企业的情形，也不存在与大企业的负责人为同一人的情形。</w:t>
      </w:r>
    </w:p>
    <w:p w14:paraId="6E129391">
      <w:pPr>
        <w:pStyle w:val="6"/>
        <w:spacing w:before="34" w:line="500" w:lineRule="exact"/>
        <w:ind w:right="142" w:firstLine="420" w:firstLineChars="200"/>
        <w:rPr>
          <w:rFonts w:ascii="宋体" w:hAnsi="宋体"/>
          <w:color w:val="auto"/>
          <w:highlight w:val="none"/>
        </w:rPr>
      </w:pPr>
      <w:r>
        <w:rPr>
          <w:rFonts w:hint="eastAsia" w:ascii="宋体" w:hAnsi="宋体"/>
          <w:color w:val="auto"/>
          <w:highlight w:val="none"/>
        </w:rPr>
        <w:t>本企业对上述声明内容的真实性负责。如有虚假，将依法承担相应责任。</w:t>
      </w:r>
    </w:p>
    <w:p w14:paraId="3EA4948A">
      <w:pPr>
        <w:pStyle w:val="7"/>
        <w:spacing w:line="360" w:lineRule="auto"/>
        <w:ind w:firstLine="420" w:firstLineChars="200"/>
        <w:rPr>
          <w:rFonts w:hAnsi="宋体"/>
          <w:color w:val="auto"/>
          <w:szCs w:val="21"/>
          <w:highlight w:val="none"/>
        </w:rPr>
      </w:pPr>
    </w:p>
    <w:p w14:paraId="3CCFD42F">
      <w:pPr>
        <w:pStyle w:val="7"/>
        <w:spacing w:line="360" w:lineRule="auto"/>
        <w:ind w:firstLine="420" w:firstLineChars="200"/>
        <w:rPr>
          <w:rFonts w:hAnsi="宋体"/>
          <w:color w:val="auto"/>
          <w:szCs w:val="21"/>
          <w:highlight w:val="none"/>
        </w:rPr>
      </w:pPr>
    </w:p>
    <w:p w14:paraId="3F335714">
      <w:pPr>
        <w:snapToGrid w:val="0"/>
        <w:spacing w:line="360" w:lineRule="auto"/>
        <w:ind w:firstLine="5040" w:firstLineChars="2100"/>
        <w:rPr>
          <w:rFonts w:ascii="方正仿宋_GB2312" w:hAnsi="仿宋" w:eastAsia="方正仿宋_GB2312" w:cs="方正仿宋_GB2312"/>
          <w:color w:val="auto"/>
          <w:kern w:val="0"/>
          <w:sz w:val="24"/>
          <w:highlight w:val="none"/>
        </w:rPr>
      </w:pPr>
      <w:r>
        <w:rPr>
          <w:rFonts w:hint="eastAsia" w:ascii="方正仿宋_GB2312" w:hAnsi="仿宋" w:eastAsia="方正仿宋_GB2312" w:cs="方正仿宋_GB2312"/>
          <w:color w:val="auto"/>
          <w:kern w:val="0"/>
          <w:sz w:val="24"/>
          <w:highlight w:val="none"/>
          <w:lang w:val="zh-CN"/>
        </w:rPr>
        <w:t>投标人名称(电子签章)：</w:t>
      </w:r>
    </w:p>
    <w:p w14:paraId="4EA0717F">
      <w:pPr>
        <w:snapToGrid w:val="0"/>
        <w:spacing w:line="360" w:lineRule="auto"/>
        <w:ind w:firstLine="5160" w:firstLineChars="2150"/>
        <w:rPr>
          <w:rFonts w:ascii="方正仿宋_GB2312" w:hAnsi="仿宋" w:eastAsia="方正仿宋_GB2312" w:cs="方正仿宋_GB2312"/>
          <w:color w:val="auto"/>
          <w:kern w:val="0"/>
          <w:sz w:val="24"/>
          <w:highlight w:val="none"/>
          <w:lang w:val="zh-CN"/>
        </w:rPr>
      </w:pPr>
      <w:r>
        <w:rPr>
          <w:rFonts w:hint="eastAsia" w:ascii="方正仿宋_GB2312" w:hAnsi="仿宋" w:eastAsia="方正仿宋_GB2312" w:cs="方正仿宋_GB2312"/>
          <w:color w:val="auto"/>
          <w:kern w:val="0"/>
          <w:sz w:val="24"/>
          <w:highlight w:val="none"/>
          <w:lang w:val="zh-CN"/>
        </w:rPr>
        <w:t>日期</w:t>
      </w:r>
      <w:r>
        <w:rPr>
          <w:rFonts w:hint="eastAsia" w:ascii="方正仿宋_GB2312" w:hAnsi="仿宋" w:eastAsia="方正仿宋_GB2312" w:cs="方正仿宋_GB2312"/>
          <w:color w:val="auto"/>
          <w:kern w:val="0"/>
          <w:sz w:val="24"/>
          <w:highlight w:val="none"/>
        </w:rPr>
        <w:t xml:space="preserve">：  年  </w:t>
      </w:r>
      <w:r>
        <w:rPr>
          <w:rFonts w:hint="eastAsia" w:ascii="方正仿宋_GB2312" w:hAnsi="仿宋" w:eastAsia="方正仿宋_GB2312" w:cs="方正仿宋_GB2312"/>
          <w:color w:val="auto"/>
          <w:kern w:val="0"/>
          <w:sz w:val="24"/>
          <w:highlight w:val="none"/>
          <w:lang w:val="zh-CN"/>
        </w:rPr>
        <w:t>月日</w:t>
      </w:r>
    </w:p>
    <w:p w14:paraId="77D87B6C">
      <w:pPr>
        <w:pStyle w:val="7"/>
        <w:spacing w:line="360" w:lineRule="auto"/>
        <w:ind w:firstLine="420" w:firstLineChars="200"/>
        <w:rPr>
          <w:rFonts w:hAnsi="宋体"/>
          <w:color w:val="auto"/>
          <w:szCs w:val="21"/>
          <w:highlight w:val="none"/>
        </w:rPr>
      </w:pPr>
    </w:p>
    <w:p w14:paraId="24E9701E">
      <w:pPr>
        <w:snapToGrid w:val="0"/>
        <w:spacing w:before="50" w:after="165" w:afterLines="50" w:line="360" w:lineRule="auto"/>
        <w:jc w:val="left"/>
        <w:rPr>
          <w:rFonts w:hAnsi="宋体" w:cs="宋体"/>
          <w:color w:val="auto"/>
          <w:sz w:val="20"/>
          <w:highlight w:val="none"/>
        </w:rPr>
      </w:pPr>
      <w:r>
        <w:rPr>
          <w:rFonts w:hint="eastAsia" w:hAnsi="宋体" w:cs="宋体"/>
          <w:color w:val="auto"/>
          <w:sz w:val="20"/>
          <w:highlight w:val="none"/>
        </w:rPr>
        <w:t>注：</w:t>
      </w:r>
    </w:p>
    <w:p w14:paraId="73D5C698">
      <w:pPr>
        <w:numPr>
          <w:ilvl w:val="0"/>
          <w:numId w:val="6"/>
        </w:numPr>
        <w:snapToGrid w:val="0"/>
        <w:spacing w:before="50" w:after="165" w:afterLines="50" w:line="360" w:lineRule="auto"/>
        <w:jc w:val="left"/>
        <w:rPr>
          <w:color w:val="auto"/>
          <w:sz w:val="20"/>
          <w:highlight w:val="none"/>
        </w:rPr>
      </w:pPr>
      <w:r>
        <w:rPr>
          <w:rFonts w:hint="eastAsia"/>
          <w:color w:val="auto"/>
          <w:sz w:val="20"/>
          <w:highlight w:val="none"/>
        </w:rPr>
        <w:t>从业人员、营业收入、资产总额填报上一年度数据，无上一年度数据的新成立企业可不填报。</w:t>
      </w:r>
    </w:p>
    <w:p w14:paraId="06A821AD">
      <w:pPr>
        <w:snapToGrid w:val="0"/>
        <w:spacing w:before="50" w:after="165" w:afterLines="50" w:line="360" w:lineRule="auto"/>
        <w:ind w:firstLine="300" w:firstLineChars="150"/>
        <w:jc w:val="left"/>
        <w:rPr>
          <w:color w:val="auto"/>
          <w:sz w:val="20"/>
          <w:highlight w:val="none"/>
        </w:rPr>
      </w:pPr>
      <w:r>
        <w:rPr>
          <w:color w:val="auto"/>
          <w:sz w:val="20"/>
          <w:highlight w:val="none"/>
        </w:rPr>
        <w:t>2</w:t>
      </w:r>
      <w:r>
        <w:rPr>
          <w:rFonts w:hint="eastAsia"/>
          <w:color w:val="auto"/>
          <w:sz w:val="20"/>
          <w:highlight w:val="none"/>
        </w:rPr>
        <w:t>、请根据自己的真实情况出具《中小企业声明函》。依法享受中小企业优惠政策的，采购人或者采购代理机构在公告中标结果时，同时公告其《中小企业声明函》，接受社会监督。</w:t>
      </w:r>
    </w:p>
    <w:p w14:paraId="7A4F3593">
      <w:pPr>
        <w:widowControl/>
        <w:spacing w:line="360" w:lineRule="auto"/>
        <w:jc w:val="left"/>
        <w:rPr>
          <w:color w:val="auto"/>
          <w:sz w:val="20"/>
          <w:highlight w:val="none"/>
        </w:rPr>
        <w:sectPr>
          <w:pgSz w:w="11906" w:h="16838"/>
          <w:pgMar w:top="1134" w:right="1134" w:bottom="1134" w:left="1134" w:header="720" w:footer="720" w:gutter="0"/>
          <w:pgNumType w:fmt="decimal"/>
          <w:cols w:space="720" w:num="1"/>
          <w:docGrid w:type="lines" w:linePitch="331" w:charSpace="0"/>
        </w:sectPr>
      </w:pPr>
    </w:p>
    <w:p w14:paraId="241D8528">
      <w:pPr>
        <w:snapToGrid w:val="0"/>
        <w:spacing w:before="165" w:beforeLines="50" w:after="50"/>
        <w:jc w:val="center"/>
        <w:outlineLvl w:val="1"/>
        <w:rPr>
          <w:rFonts w:ascii="宋体" w:hAnsi="宋体"/>
          <w:b/>
          <w:bCs/>
          <w:color w:val="auto"/>
          <w:sz w:val="28"/>
          <w:szCs w:val="28"/>
          <w:highlight w:val="none"/>
        </w:rPr>
      </w:pPr>
      <w:bookmarkStart w:id="339" w:name="_Toc19686840"/>
      <w:bookmarkStart w:id="340" w:name="_Toc187761577"/>
      <w:r>
        <w:rPr>
          <w:rFonts w:hint="eastAsia" w:ascii="宋体" w:hAnsi="宋体"/>
          <w:b/>
          <w:bCs/>
          <w:color w:val="auto"/>
          <w:sz w:val="28"/>
          <w:szCs w:val="28"/>
          <w:highlight w:val="none"/>
        </w:rPr>
        <w:t>第六节 其他文书、文件格式</w:t>
      </w:r>
      <w:bookmarkEnd w:id="339"/>
      <w:bookmarkEnd w:id="340"/>
    </w:p>
    <w:p w14:paraId="7A42F5E8">
      <w:pPr>
        <w:jc w:val="center"/>
        <w:rPr>
          <w:rFonts w:ascii="宋体" w:hAnsi="宋体" w:cs="宋体"/>
          <w:b/>
          <w:bCs/>
          <w:color w:val="auto"/>
          <w:sz w:val="32"/>
          <w:szCs w:val="32"/>
          <w:highlight w:val="none"/>
        </w:rPr>
      </w:pPr>
      <w:r>
        <w:rPr>
          <w:rFonts w:hint="eastAsia" w:ascii="宋体" w:hAnsi="宋体" w:cs="宋体"/>
          <w:b/>
          <w:bCs/>
          <w:color w:val="auto"/>
          <w:sz w:val="32"/>
          <w:szCs w:val="32"/>
          <w:highlight w:val="none"/>
        </w:rPr>
        <w:t>投标人根据自身实际情况提供</w:t>
      </w:r>
    </w:p>
    <w:p w14:paraId="6E9C492D">
      <w:pPr>
        <w:pStyle w:val="7"/>
        <w:spacing w:line="360" w:lineRule="auto"/>
        <w:jc w:val="center"/>
        <w:rPr>
          <w:b/>
          <w:color w:val="auto"/>
          <w:sz w:val="30"/>
          <w:szCs w:val="30"/>
          <w:highlight w:val="none"/>
        </w:rPr>
      </w:pPr>
      <w:r>
        <w:rPr>
          <w:rFonts w:hint="eastAsia"/>
          <w:b/>
          <w:color w:val="auto"/>
          <w:sz w:val="30"/>
          <w:szCs w:val="30"/>
          <w:highlight w:val="none"/>
        </w:rPr>
        <w:br w:type="page"/>
      </w:r>
      <w:r>
        <w:rPr>
          <w:rFonts w:hint="eastAsia"/>
          <w:b/>
          <w:color w:val="auto"/>
          <w:sz w:val="30"/>
          <w:szCs w:val="30"/>
          <w:highlight w:val="none"/>
        </w:rPr>
        <w:t>残疾人福利性单位声明函（如有）</w:t>
      </w:r>
    </w:p>
    <w:p w14:paraId="7EDB5CE5">
      <w:pPr>
        <w:pStyle w:val="7"/>
        <w:spacing w:line="360" w:lineRule="auto"/>
        <w:jc w:val="center"/>
        <w:rPr>
          <w:b/>
          <w:color w:val="auto"/>
          <w:sz w:val="30"/>
          <w:szCs w:val="30"/>
          <w:highlight w:val="none"/>
        </w:rPr>
      </w:pPr>
    </w:p>
    <w:p w14:paraId="71ACB5D5">
      <w:pPr>
        <w:pStyle w:val="7"/>
        <w:spacing w:line="360" w:lineRule="auto"/>
        <w:jc w:val="left"/>
        <w:rPr>
          <w:rFonts w:ascii="方正仿宋_GB2312" w:eastAsia="方正仿宋_GB2312"/>
          <w:color w:val="auto"/>
          <w:sz w:val="24"/>
          <w:szCs w:val="24"/>
          <w:highlight w:val="none"/>
        </w:rPr>
      </w:pPr>
      <w:r>
        <w:rPr>
          <w:rFonts w:hint="eastAsia" w:ascii="方正仿宋_GB2312" w:eastAsia="方正仿宋_GB2312"/>
          <w:color w:val="auto"/>
          <w:sz w:val="24"/>
          <w:szCs w:val="24"/>
          <w:highlight w:val="none"/>
        </w:rPr>
        <w:t>本单位郑重声明，根据《财政部 民政部 中国残疾人联合会关于促进残疾人就业政府采购政策的通知》（财库〔2017〕141号）的规定，本单位为符合条件的残疾人福利性单位，且本单位参加</w:t>
      </w:r>
      <w:bookmarkStart w:id="341" w:name="PO_3000001866_PM026_9"/>
      <w:r>
        <w:rPr>
          <w:rFonts w:hint="eastAsia" w:ascii="方正仿宋_GB2312" w:eastAsia="方正仿宋_GB2312"/>
          <w:color w:val="auto"/>
          <w:sz w:val="24"/>
          <w:szCs w:val="24"/>
          <w:highlight w:val="none"/>
          <w:u w:val="single"/>
        </w:rPr>
        <w:t>[项目采购-采购人]</w:t>
      </w:r>
      <w:bookmarkEnd w:id="341"/>
      <w:r>
        <w:rPr>
          <w:rFonts w:hint="eastAsia" w:ascii="方正仿宋_GB2312" w:eastAsia="方正仿宋_GB2312"/>
          <w:color w:val="auto"/>
          <w:sz w:val="24"/>
          <w:szCs w:val="24"/>
          <w:highlight w:val="none"/>
        </w:rPr>
        <w:t>单位的</w:t>
      </w:r>
      <w:bookmarkStart w:id="342" w:name="PO_3000001866_PM002_6"/>
      <w:r>
        <w:rPr>
          <w:rFonts w:hint="eastAsia" w:ascii="方正仿宋_GB2312" w:eastAsia="方正仿宋_GB2312"/>
          <w:color w:val="auto"/>
          <w:sz w:val="24"/>
          <w:szCs w:val="24"/>
          <w:highlight w:val="none"/>
          <w:u w:val="single"/>
        </w:rPr>
        <w:t>[项目采购-项目名称]</w:t>
      </w:r>
      <w:bookmarkEnd w:id="342"/>
      <w:r>
        <w:rPr>
          <w:rFonts w:hint="eastAsia" w:ascii="方正仿宋_GB2312" w:eastAsia="方正仿宋_GB2312"/>
          <w:color w:val="auto"/>
          <w:sz w:val="24"/>
          <w:szCs w:val="24"/>
          <w:highlight w:val="none"/>
        </w:rPr>
        <w:t>项目采购活动提供本单位制造的货物（由本单位承担工程/提供服务），或者提供其他残疾人福利性单位制造的货物（不包括使用非残疾人福利性单位注册商标的货物）。</w:t>
      </w:r>
    </w:p>
    <w:p w14:paraId="03830479">
      <w:pPr>
        <w:pStyle w:val="7"/>
        <w:spacing w:line="360" w:lineRule="auto"/>
        <w:ind w:firstLine="480" w:firstLineChars="200"/>
        <w:jc w:val="left"/>
        <w:rPr>
          <w:rFonts w:ascii="方正仿宋_GB2312" w:eastAsia="方正仿宋_GB2312"/>
          <w:color w:val="auto"/>
          <w:sz w:val="24"/>
          <w:szCs w:val="24"/>
          <w:highlight w:val="none"/>
        </w:rPr>
      </w:pPr>
      <w:r>
        <w:rPr>
          <w:rFonts w:hint="eastAsia" w:ascii="方正仿宋_GB2312" w:eastAsia="方正仿宋_GB2312"/>
          <w:color w:val="auto"/>
          <w:sz w:val="24"/>
          <w:szCs w:val="24"/>
          <w:highlight w:val="none"/>
        </w:rPr>
        <w:t>本公司对上述声明的真实性负责。如有虚假，将依法承担相应责任。</w:t>
      </w:r>
    </w:p>
    <w:p w14:paraId="5F1D4D2F">
      <w:pPr>
        <w:pStyle w:val="7"/>
        <w:spacing w:line="360" w:lineRule="auto"/>
        <w:jc w:val="left"/>
        <w:rPr>
          <w:b/>
          <w:color w:val="auto"/>
          <w:szCs w:val="21"/>
          <w:highlight w:val="none"/>
        </w:rPr>
      </w:pPr>
    </w:p>
    <w:p w14:paraId="2E5581EC">
      <w:pPr>
        <w:pStyle w:val="7"/>
        <w:spacing w:line="360" w:lineRule="auto"/>
        <w:jc w:val="left"/>
        <w:rPr>
          <w:b/>
          <w:color w:val="auto"/>
          <w:szCs w:val="21"/>
          <w:highlight w:val="none"/>
        </w:rPr>
      </w:pPr>
    </w:p>
    <w:p w14:paraId="7D51591C">
      <w:pPr>
        <w:snapToGrid w:val="0"/>
        <w:spacing w:line="360" w:lineRule="auto"/>
        <w:ind w:left="5626" w:leftChars="1736" w:hanging="1980" w:hangingChars="825"/>
        <w:rPr>
          <w:rFonts w:ascii="方正仿宋_GB2312" w:hAnsi="仿宋" w:eastAsia="方正仿宋_GB2312" w:cs="方正仿宋_GB2312"/>
          <w:color w:val="auto"/>
          <w:kern w:val="0"/>
          <w:sz w:val="24"/>
          <w:highlight w:val="none"/>
        </w:rPr>
      </w:pPr>
      <w:r>
        <w:rPr>
          <w:rFonts w:hint="eastAsia" w:ascii="方正仿宋_GB2312" w:hAnsi="仿宋" w:eastAsia="方正仿宋_GB2312" w:cs="方正仿宋_GB2312"/>
          <w:color w:val="auto"/>
          <w:kern w:val="0"/>
          <w:sz w:val="24"/>
          <w:highlight w:val="none"/>
          <w:lang w:val="zh-CN"/>
        </w:rPr>
        <w:t>投标人名称(电子签章)：</w:t>
      </w:r>
    </w:p>
    <w:p w14:paraId="18B2EB2E">
      <w:pPr>
        <w:snapToGrid w:val="0"/>
        <w:spacing w:line="360" w:lineRule="auto"/>
        <w:ind w:firstLine="5160" w:firstLineChars="2150"/>
        <w:rPr>
          <w:rFonts w:ascii="方正仿宋_GB2312" w:hAnsi="仿宋" w:eastAsia="方正仿宋_GB2312" w:cs="方正仿宋_GB2312"/>
          <w:color w:val="auto"/>
          <w:kern w:val="0"/>
          <w:sz w:val="24"/>
          <w:highlight w:val="none"/>
          <w:lang w:val="zh-CN"/>
        </w:rPr>
      </w:pPr>
      <w:r>
        <w:rPr>
          <w:rFonts w:hint="eastAsia" w:ascii="方正仿宋_GB2312" w:hAnsi="仿宋" w:eastAsia="方正仿宋_GB2312" w:cs="方正仿宋_GB2312"/>
          <w:color w:val="auto"/>
          <w:kern w:val="0"/>
          <w:sz w:val="24"/>
          <w:highlight w:val="none"/>
          <w:lang w:val="zh-CN"/>
        </w:rPr>
        <w:t>日期</w:t>
      </w:r>
      <w:r>
        <w:rPr>
          <w:rFonts w:hint="eastAsia" w:ascii="方正仿宋_GB2312" w:hAnsi="仿宋" w:eastAsia="方正仿宋_GB2312" w:cs="方正仿宋_GB2312"/>
          <w:color w:val="auto"/>
          <w:kern w:val="0"/>
          <w:sz w:val="24"/>
          <w:highlight w:val="none"/>
        </w:rPr>
        <w:t xml:space="preserve">：  年  </w:t>
      </w:r>
      <w:r>
        <w:rPr>
          <w:rFonts w:hint="eastAsia" w:ascii="方正仿宋_GB2312" w:hAnsi="仿宋" w:eastAsia="方正仿宋_GB2312" w:cs="方正仿宋_GB2312"/>
          <w:color w:val="auto"/>
          <w:kern w:val="0"/>
          <w:sz w:val="24"/>
          <w:highlight w:val="none"/>
          <w:lang w:val="zh-CN"/>
        </w:rPr>
        <w:t>月日</w:t>
      </w:r>
    </w:p>
    <w:p w14:paraId="2652446F">
      <w:pPr>
        <w:pStyle w:val="7"/>
        <w:spacing w:line="360" w:lineRule="auto"/>
        <w:ind w:left="5132" w:leftChars="1979" w:hanging="976" w:hangingChars="488"/>
        <w:rPr>
          <w:color w:val="auto"/>
          <w:sz w:val="20"/>
          <w:highlight w:val="none"/>
        </w:rPr>
      </w:pPr>
    </w:p>
    <w:p w14:paraId="001D8CE2">
      <w:pPr>
        <w:spacing w:line="360" w:lineRule="auto"/>
        <w:ind w:right="420" w:firstLine="480" w:firstLineChars="200"/>
        <w:rPr>
          <w:rFonts w:ascii="方正仿宋_GB2312" w:hAnsi="仿宋" w:eastAsia="方正仿宋_GB2312" w:cs="方正仿宋_GB2312"/>
          <w:color w:val="auto"/>
          <w:sz w:val="24"/>
          <w:highlight w:val="none"/>
        </w:rPr>
      </w:pPr>
      <w:r>
        <w:rPr>
          <w:rFonts w:hint="eastAsia" w:ascii="方正仿宋_GB2312" w:hAnsi="仿宋" w:eastAsia="方正仿宋_GB2312" w:cs="方正仿宋_GB2312"/>
          <w:color w:val="auto"/>
          <w:sz w:val="24"/>
          <w:highlight w:val="none"/>
        </w:rPr>
        <w:t>注：请根据自己的真实情况出具《残疾人福利性单位声明函》。依法享受中小企业优惠政策的，采购人或者采购代理机构在公告中标结果时，同时公告其《残疾人福利性单位声明函》，接受社会监督；根据《关于政府采购支持监狱企业发展有关问题的通知》（财库[2014]68号）的规定，投标人提供由省级以上监狱管理局、戒毒管理局（含新疆生产建设兵团）出具的属于监狱企业证明文件的，视同为小型和微型企业。</w:t>
      </w:r>
    </w:p>
    <w:p w14:paraId="56DF1FD7">
      <w:pPr>
        <w:rPr>
          <w:color w:val="auto"/>
          <w:sz w:val="20"/>
          <w:highlight w:val="none"/>
        </w:rPr>
      </w:pPr>
      <w:r>
        <w:rPr>
          <w:color w:val="auto"/>
          <w:sz w:val="20"/>
          <w:highlight w:val="none"/>
        </w:rPr>
        <w:br w:type="page"/>
      </w:r>
    </w:p>
    <w:p w14:paraId="514A11AF">
      <w:pPr>
        <w:pStyle w:val="34"/>
        <w:spacing w:line="380" w:lineRule="exact"/>
        <w:rPr>
          <w:rFonts w:ascii="宋体" w:hAnsi="宋体" w:cs="宋体"/>
          <w:b/>
          <w:color w:val="auto"/>
          <w:highlight w:val="none"/>
        </w:rPr>
      </w:pPr>
      <w:r>
        <w:rPr>
          <w:color w:val="auto"/>
          <w:kern w:val="0"/>
          <w:highlight w:val="none"/>
          <w:lang w:bidi="ar"/>
        </w:rPr>
        <w:t xml:space="preserve"> </w:t>
      </w:r>
      <w:r>
        <w:rPr>
          <w:rFonts w:hint="eastAsia" w:ascii="宋体" w:hAnsi="宋体" w:cs="宋体"/>
          <w:b/>
          <w:color w:val="auto"/>
          <w:kern w:val="0"/>
          <w:highlight w:val="none"/>
          <w:lang w:bidi="ar"/>
        </w:rPr>
        <w:t>关于符合本国产品标准的声明函格式</w:t>
      </w:r>
    </w:p>
    <w:p w14:paraId="033D71F0">
      <w:pPr>
        <w:pStyle w:val="34"/>
        <w:spacing w:line="380" w:lineRule="exact"/>
        <w:rPr>
          <w:color w:val="auto"/>
          <w:highlight w:val="none"/>
        </w:rPr>
      </w:pPr>
    </w:p>
    <w:p w14:paraId="4059D787">
      <w:pPr>
        <w:widowControl/>
        <w:shd w:val="clear" w:color="auto" w:fill="FFFFFF"/>
        <w:jc w:val="center"/>
        <w:rPr>
          <w:rFonts w:ascii="宋体" w:hAnsi="宋体" w:cs="宋体"/>
          <w:color w:val="auto"/>
          <w:kern w:val="0"/>
          <w:sz w:val="36"/>
          <w:szCs w:val="36"/>
          <w:highlight w:val="none"/>
          <w:shd w:val="clear" w:color="auto" w:fill="FFFFFF"/>
        </w:rPr>
      </w:pPr>
      <w:r>
        <w:rPr>
          <w:rFonts w:hint="eastAsia" w:ascii="宋体" w:hAnsi="宋体" w:cs="宋体"/>
          <w:b/>
          <w:bCs/>
          <w:color w:val="auto"/>
          <w:kern w:val="0"/>
          <w:sz w:val="36"/>
          <w:szCs w:val="36"/>
          <w:highlight w:val="none"/>
          <w:shd w:val="clear" w:color="auto" w:fill="FFFFFF"/>
          <w:lang w:bidi="ar"/>
        </w:rPr>
        <w:t>关于符合本国产品标准的声明函</w:t>
      </w:r>
    </w:p>
    <w:p w14:paraId="1DFF8819">
      <w:pPr>
        <w:widowControl/>
        <w:shd w:val="clear" w:color="auto" w:fill="FFFFFF"/>
        <w:spacing w:before="30" w:after="30"/>
        <w:ind w:firstLine="480"/>
        <w:jc w:val="left"/>
        <w:rPr>
          <w:rFonts w:ascii="宋体" w:hAnsi="宋体" w:cs="宋体"/>
          <w:color w:val="auto"/>
          <w:kern w:val="0"/>
          <w:sz w:val="24"/>
          <w:highlight w:val="none"/>
          <w:shd w:val="clear" w:color="auto" w:fill="FFFFFF"/>
        </w:rPr>
      </w:pPr>
      <w:r>
        <w:rPr>
          <w:rFonts w:hint="eastAsia" w:ascii="宋体" w:hAnsi="宋体" w:cs="宋体"/>
          <w:color w:val="auto"/>
          <w:kern w:val="0"/>
          <w:sz w:val="24"/>
          <w:highlight w:val="none"/>
          <w:shd w:val="clear" w:color="auto" w:fill="FFFFFF"/>
          <w:lang w:bidi="ar"/>
        </w:rPr>
        <w:t> </w:t>
      </w:r>
    </w:p>
    <w:p w14:paraId="0A7447B8">
      <w:pPr>
        <w:widowControl/>
        <w:shd w:val="clear" w:color="auto" w:fill="FFFFFF"/>
        <w:spacing w:before="30" w:after="30"/>
        <w:ind w:firstLine="480"/>
        <w:jc w:val="left"/>
        <w:rPr>
          <w:rFonts w:ascii="宋体" w:hAnsi="宋体" w:cs="宋体"/>
          <w:color w:val="auto"/>
          <w:kern w:val="0"/>
          <w:sz w:val="24"/>
          <w:highlight w:val="none"/>
          <w:shd w:val="clear" w:color="auto" w:fill="FFFFFF"/>
        </w:rPr>
      </w:pPr>
      <w:r>
        <w:rPr>
          <w:rFonts w:hint="eastAsia" w:ascii="宋体" w:hAnsi="宋体" w:cs="宋体"/>
          <w:color w:val="auto"/>
          <w:kern w:val="0"/>
          <w:sz w:val="24"/>
          <w:highlight w:val="none"/>
          <w:shd w:val="clear" w:color="auto" w:fill="FFFFFF"/>
          <w:lang w:bidi="ar"/>
        </w:rPr>
        <w:t>本公司（单位）郑重声明，根据《国务院办公厅关于在政府采购中实施本国产品标准及相关政策的通知》（国办发〔2025〕34号）的规定，本公司（单位）提供的以下产品属于本国产品。具体情况如下：</w:t>
      </w:r>
    </w:p>
    <w:p w14:paraId="5AC2508F">
      <w:pPr>
        <w:widowControl/>
        <w:shd w:val="clear" w:color="auto" w:fill="FFFFFF"/>
        <w:ind w:firstLine="480"/>
        <w:jc w:val="left"/>
        <w:rPr>
          <w:rFonts w:ascii="宋体" w:hAnsi="宋体" w:cs="宋体"/>
          <w:color w:val="auto"/>
          <w:kern w:val="0"/>
          <w:sz w:val="24"/>
          <w:highlight w:val="none"/>
          <w:shd w:val="clear" w:color="auto" w:fill="FFFFFF"/>
        </w:rPr>
      </w:pPr>
      <w:r>
        <w:rPr>
          <w:rFonts w:hint="eastAsia" w:ascii="宋体" w:hAnsi="宋体" w:cs="宋体"/>
          <w:color w:val="auto"/>
          <w:kern w:val="0"/>
          <w:sz w:val="24"/>
          <w:highlight w:val="none"/>
          <w:shd w:val="clear" w:color="auto" w:fill="FFFFFF"/>
          <w:lang w:bidi="ar"/>
        </w:rPr>
        <w:t>1.</w:t>
      </w:r>
      <w:r>
        <w:rPr>
          <w:rFonts w:hint="eastAsia" w:ascii="宋体" w:hAnsi="宋体" w:cs="宋体"/>
          <w:i/>
          <w:iCs/>
          <w:color w:val="auto"/>
          <w:kern w:val="0"/>
          <w:sz w:val="24"/>
          <w:highlight w:val="none"/>
          <w:shd w:val="clear" w:color="auto" w:fill="FFFFFF"/>
          <w:lang w:bidi="ar"/>
        </w:rPr>
        <w:t>（产品名称1）</w:t>
      </w:r>
      <w:r>
        <w:rPr>
          <w:rFonts w:hint="eastAsia" w:ascii="宋体" w:hAnsi="宋体" w:cs="宋体"/>
          <w:i/>
          <w:iCs/>
          <w:color w:val="auto"/>
          <w:kern w:val="0"/>
          <w:sz w:val="18"/>
          <w:szCs w:val="18"/>
          <w:highlight w:val="none"/>
          <w:shd w:val="clear" w:color="auto" w:fill="FFFFFF"/>
          <w:vertAlign w:val="superscript"/>
          <w:lang w:bidi="ar"/>
        </w:rPr>
        <w:t>1</w:t>
      </w:r>
      <w:r>
        <w:rPr>
          <w:rFonts w:hint="eastAsia" w:ascii="宋体" w:hAnsi="宋体" w:cs="宋体"/>
          <w:color w:val="auto"/>
          <w:kern w:val="0"/>
          <w:sz w:val="24"/>
          <w:highlight w:val="none"/>
          <w:shd w:val="clear" w:color="auto" w:fill="FFFFFF"/>
          <w:lang w:bidi="ar"/>
        </w:rPr>
        <w:t>，生产厂为</w:t>
      </w:r>
      <w:r>
        <w:rPr>
          <w:rFonts w:hint="eastAsia" w:ascii="宋体" w:hAnsi="宋体" w:cs="宋体"/>
          <w:i/>
          <w:iCs/>
          <w:color w:val="auto"/>
          <w:kern w:val="0"/>
          <w:sz w:val="24"/>
          <w:highlight w:val="none"/>
          <w:shd w:val="clear" w:color="auto" w:fill="FFFFFF"/>
          <w:lang w:bidi="ar"/>
        </w:rPr>
        <w:t>（厂名）</w:t>
      </w:r>
      <w:r>
        <w:rPr>
          <w:rFonts w:hint="eastAsia" w:ascii="宋体" w:hAnsi="宋体" w:cs="宋体"/>
          <w:i/>
          <w:iCs/>
          <w:color w:val="auto"/>
          <w:kern w:val="0"/>
          <w:sz w:val="18"/>
          <w:szCs w:val="18"/>
          <w:highlight w:val="none"/>
          <w:shd w:val="clear" w:color="auto" w:fill="FFFFFF"/>
          <w:vertAlign w:val="superscript"/>
          <w:lang w:bidi="ar"/>
        </w:rPr>
        <w:t>2</w:t>
      </w:r>
      <w:r>
        <w:rPr>
          <w:rFonts w:hint="eastAsia" w:ascii="宋体" w:hAnsi="宋体" w:cs="宋体"/>
          <w:color w:val="auto"/>
          <w:kern w:val="0"/>
          <w:sz w:val="24"/>
          <w:highlight w:val="none"/>
          <w:shd w:val="clear" w:color="auto" w:fill="FFFFFF"/>
          <w:lang w:bidi="ar"/>
        </w:rPr>
        <w:t>，厂址为</w:t>
      </w:r>
      <w:r>
        <w:rPr>
          <w:rFonts w:hint="eastAsia" w:ascii="宋体" w:hAnsi="宋体" w:cs="宋体"/>
          <w:i/>
          <w:iCs/>
          <w:color w:val="auto"/>
          <w:kern w:val="0"/>
          <w:sz w:val="24"/>
          <w:highlight w:val="none"/>
          <w:shd w:val="clear" w:color="auto" w:fill="FFFFFF"/>
          <w:lang w:bidi="ar"/>
        </w:rPr>
        <w:t>（生产厂址）</w:t>
      </w:r>
      <w:r>
        <w:rPr>
          <w:rFonts w:hint="eastAsia" w:ascii="宋体" w:hAnsi="宋体" w:cs="宋体"/>
          <w:color w:val="auto"/>
          <w:kern w:val="0"/>
          <w:sz w:val="24"/>
          <w:highlight w:val="none"/>
          <w:shd w:val="clear" w:color="auto" w:fill="FFFFFF"/>
          <w:lang w:bidi="ar"/>
        </w:rPr>
        <w:t>。</w:t>
      </w:r>
      <w:r>
        <w:rPr>
          <w:rFonts w:hint="eastAsia" w:ascii="宋体" w:hAnsi="宋体" w:cs="宋体"/>
          <w:i/>
          <w:iCs/>
          <w:color w:val="auto"/>
          <w:kern w:val="0"/>
          <w:sz w:val="24"/>
          <w:highlight w:val="none"/>
          <w:shd w:val="clear" w:color="auto" w:fill="FFFFFF"/>
          <w:lang w:bidi="ar"/>
        </w:rPr>
        <w:t>（产品名称1）</w:t>
      </w:r>
      <w:r>
        <w:rPr>
          <w:rFonts w:hint="eastAsia" w:ascii="宋体" w:hAnsi="宋体" w:cs="宋体"/>
          <w:color w:val="auto"/>
          <w:kern w:val="0"/>
          <w:sz w:val="24"/>
          <w:highlight w:val="none"/>
          <w:shd w:val="clear" w:color="auto" w:fill="FFFFFF"/>
          <w:lang w:bidi="ar"/>
        </w:rPr>
        <w:t>的中国境内生产的组件成本占比≥</w:t>
      </w:r>
      <w:r>
        <w:rPr>
          <w:rFonts w:hint="eastAsia" w:ascii="宋体" w:hAnsi="宋体" w:cs="宋体"/>
          <w:i/>
          <w:iCs/>
          <w:color w:val="auto"/>
          <w:kern w:val="0"/>
          <w:sz w:val="24"/>
          <w:highlight w:val="none"/>
          <w:shd w:val="clear" w:color="auto" w:fill="FFFFFF"/>
          <w:lang w:bidi="ar"/>
        </w:rPr>
        <w:t>（规定比例）</w:t>
      </w:r>
      <w:r>
        <w:rPr>
          <w:rFonts w:hint="eastAsia" w:ascii="宋体" w:hAnsi="宋体" w:cs="宋体"/>
          <w:i/>
          <w:iCs/>
          <w:color w:val="auto"/>
          <w:kern w:val="0"/>
          <w:sz w:val="18"/>
          <w:szCs w:val="18"/>
          <w:highlight w:val="none"/>
          <w:shd w:val="clear" w:color="auto" w:fill="FFFFFF"/>
          <w:vertAlign w:val="superscript"/>
          <w:lang w:bidi="ar"/>
        </w:rPr>
        <w:t>3</w:t>
      </w:r>
      <w:r>
        <w:rPr>
          <w:rFonts w:hint="eastAsia" w:ascii="宋体" w:hAnsi="宋体" w:cs="宋体"/>
          <w:color w:val="auto"/>
          <w:kern w:val="0"/>
          <w:sz w:val="24"/>
          <w:highlight w:val="none"/>
          <w:shd w:val="clear" w:color="auto" w:fill="FFFFFF"/>
          <w:lang w:bidi="ar"/>
        </w:rPr>
        <w:t>。</w:t>
      </w:r>
      <w:r>
        <w:rPr>
          <w:rFonts w:hint="eastAsia" w:ascii="宋体" w:hAnsi="宋体" w:cs="宋体"/>
          <w:i/>
          <w:iCs/>
          <w:color w:val="auto"/>
          <w:kern w:val="0"/>
          <w:sz w:val="24"/>
          <w:highlight w:val="none"/>
          <w:shd w:val="clear" w:color="auto" w:fill="FFFFFF"/>
          <w:lang w:bidi="ar"/>
        </w:rPr>
        <w:t>（产品名称1）</w:t>
      </w:r>
      <w:r>
        <w:rPr>
          <w:rFonts w:hint="eastAsia" w:ascii="宋体" w:hAnsi="宋体" w:cs="宋体"/>
          <w:color w:val="auto"/>
          <w:kern w:val="0"/>
          <w:sz w:val="24"/>
          <w:highlight w:val="none"/>
          <w:shd w:val="clear" w:color="auto" w:fill="FFFFFF"/>
          <w:lang w:bidi="ar"/>
        </w:rPr>
        <w:t>的</w:t>
      </w:r>
      <w:r>
        <w:rPr>
          <w:rFonts w:hint="eastAsia" w:ascii="宋体" w:hAnsi="宋体" w:cs="宋体"/>
          <w:i/>
          <w:iCs/>
          <w:color w:val="auto"/>
          <w:kern w:val="0"/>
          <w:sz w:val="24"/>
          <w:highlight w:val="none"/>
          <w:shd w:val="clear" w:color="auto" w:fill="FFFFFF"/>
          <w:lang w:bidi="ar"/>
        </w:rPr>
        <w:t>（关键组件）</w:t>
      </w:r>
      <w:r>
        <w:rPr>
          <w:rFonts w:hint="eastAsia" w:ascii="宋体" w:hAnsi="宋体" w:cs="宋体"/>
          <w:i/>
          <w:iCs/>
          <w:color w:val="auto"/>
          <w:kern w:val="0"/>
          <w:sz w:val="18"/>
          <w:szCs w:val="18"/>
          <w:highlight w:val="none"/>
          <w:shd w:val="clear" w:color="auto" w:fill="FFFFFF"/>
          <w:vertAlign w:val="superscript"/>
          <w:lang w:bidi="ar"/>
        </w:rPr>
        <w:t>4</w:t>
      </w:r>
      <w:r>
        <w:rPr>
          <w:rFonts w:hint="eastAsia" w:ascii="宋体" w:hAnsi="宋体" w:cs="宋体"/>
          <w:color w:val="auto"/>
          <w:kern w:val="0"/>
          <w:sz w:val="24"/>
          <w:highlight w:val="none"/>
          <w:shd w:val="clear" w:color="auto" w:fill="FFFFFF"/>
          <w:lang w:bidi="ar"/>
        </w:rPr>
        <w:t>在中国境内生产。</w:t>
      </w:r>
      <w:r>
        <w:rPr>
          <w:rFonts w:hint="eastAsia" w:ascii="宋体" w:hAnsi="宋体" w:cs="宋体"/>
          <w:i/>
          <w:iCs/>
          <w:color w:val="auto"/>
          <w:kern w:val="0"/>
          <w:sz w:val="24"/>
          <w:highlight w:val="none"/>
          <w:shd w:val="clear" w:color="auto" w:fill="FFFFFF"/>
          <w:lang w:bidi="ar"/>
        </w:rPr>
        <w:t>（产品名称1）</w:t>
      </w:r>
      <w:r>
        <w:rPr>
          <w:rFonts w:hint="eastAsia" w:ascii="宋体" w:hAnsi="宋体" w:cs="宋体"/>
          <w:color w:val="auto"/>
          <w:kern w:val="0"/>
          <w:sz w:val="24"/>
          <w:highlight w:val="none"/>
          <w:shd w:val="clear" w:color="auto" w:fill="FFFFFF"/>
          <w:lang w:bidi="ar"/>
        </w:rPr>
        <w:t>的</w:t>
      </w:r>
      <w:r>
        <w:rPr>
          <w:rFonts w:hint="eastAsia" w:ascii="宋体" w:hAnsi="宋体" w:cs="宋体"/>
          <w:i/>
          <w:iCs/>
          <w:color w:val="auto"/>
          <w:kern w:val="0"/>
          <w:sz w:val="24"/>
          <w:highlight w:val="none"/>
          <w:shd w:val="clear" w:color="auto" w:fill="FFFFFF"/>
          <w:lang w:bidi="ar"/>
        </w:rPr>
        <w:t>（关键工序）</w:t>
      </w:r>
      <w:r>
        <w:rPr>
          <w:rFonts w:hint="eastAsia" w:ascii="宋体" w:hAnsi="宋体" w:cs="宋体"/>
          <w:i/>
          <w:iCs/>
          <w:color w:val="auto"/>
          <w:kern w:val="0"/>
          <w:sz w:val="18"/>
          <w:szCs w:val="18"/>
          <w:highlight w:val="none"/>
          <w:shd w:val="clear" w:color="auto" w:fill="FFFFFF"/>
          <w:vertAlign w:val="superscript"/>
          <w:lang w:bidi="ar"/>
        </w:rPr>
        <w:t>5</w:t>
      </w:r>
      <w:r>
        <w:rPr>
          <w:rFonts w:hint="eastAsia" w:ascii="宋体" w:hAnsi="宋体" w:cs="宋体"/>
          <w:color w:val="auto"/>
          <w:kern w:val="0"/>
          <w:sz w:val="24"/>
          <w:highlight w:val="none"/>
          <w:shd w:val="clear" w:color="auto" w:fill="FFFFFF"/>
          <w:lang w:bidi="ar"/>
        </w:rPr>
        <w:t>在中国境内完成。</w:t>
      </w:r>
    </w:p>
    <w:p w14:paraId="49800DC7">
      <w:pPr>
        <w:widowControl/>
        <w:shd w:val="clear" w:color="auto" w:fill="FFFFFF"/>
        <w:ind w:firstLine="480"/>
        <w:jc w:val="left"/>
        <w:rPr>
          <w:rFonts w:ascii="宋体" w:hAnsi="宋体" w:cs="宋体"/>
          <w:color w:val="auto"/>
          <w:kern w:val="0"/>
          <w:sz w:val="24"/>
          <w:highlight w:val="none"/>
          <w:shd w:val="clear" w:color="auto" w:fill="FFFFFF"/>
        </w:rPr>
      </w:pPr>
      <w:r>
        <w:rPr>
          <w:rFonts w:hint="eastAsia" w:ascii="宋体" w:hAnsi="宋体" w:cs="宋体"/>
          <w:color w:val="auto"/>
          <w:kern w:val="0"/>
          <w:sz w:val="24"/>
          <w:highlight w:val="none"/>
          <w:shd w:val="clear" w:color="auto" w:fill="FFFFFF"/>
          <w:lang w:bidi="ar"/>
        </w:rPr>
        <w:t>2.</w:t>
      </w:r>
      <w:r>
        <w:rPr>
          <w:rFonts w:hint="eastAsia" w:ascii="宋体" w:hAnsi="宋体" w:cs="宋体"/>
          <w:i/>
          <w:iCs/>
          <w:color w:val="auto"/>
          <w:kern w:val="0"/>
          <w:sz w:val="24"/>
          <w:highlight w:val="none"/>
          <w:shd w:val="clear" w:color="auto" w:fill="FFFFFF"/>
          <w:lang w:bidi="ar"/>
        </w:rPr>
        <w:t>（产品名称2）</w:t>
      </w:r>
      <w:r>
        <w:rPr>
          <w:rFonts w:hint="eastAsia" w:ascii="宋体" w:hAnsi="宋体" w:cs="宋体"/>
          <w:color w:val="auto"/>
          <w:kern w:val="0"/>
          <w:sz w:val="24"/>
          <w:highlight w:val="none"/>
          <w:shd w:val="clear" w:color="auto" w:fill="FFFFFF"/>
          <w:lang w:bidi="ar"/>
        </w:rPr>
        <w:t>，生产厂为</w:t>
      </w:r>
      <w:r>
        <w:rPr>
          <w:rFonts w:hint="eastAsia" w:ascii="宋体" w:hAnsi="宋体" w:cs="宋体"/>
          <w:i/>
          <w:iCs/>
          <w:color w:val="auto"/>
          <w:kern w:val="0"/>
          <w:sz w:val="24"/>
          <w:highlight w:val="none"/>
          <w:shd w:val="clear" w:color="auto" w:fill="FFFFFF"/>
          <w:lang w:bidi="ar"/>
        </w:rPr>
        <w:t>（厂名）</w:t>
      </w:r>
      <w:r>
        <w:rPr>
          <w:rFonts w:hint="eastAsia" w:ascii="宋体" w:hAnsi="宋体" w:cs="宋体"/>
          <w:color w:val="auto"/>
          <w:kern w:val="0"/>
          <w:sz w:val="24"/>
          <w:highlight w:val="none"/>
          <w:shd w:val="clear" w:color="auto" w:fill="FFFFFF"/>
          <w:lang w:bidi="ar"/>
        </w:rPr>
        <w:t>，厂址为</w:t>
      </w:r>
      <w:r>
        <w:rPr>
          <w:rFonts w:hint="eastAsia" w:ascii="宋体" w:hAnsi="宋体" w:cs="宋体"/>
          <w:i/>
          <w:iCs/>
          <w:color w:val="auto"/>
          <w:kern w:val="0"/>
          <w:sz w:val="24"/>
          <w:highlight w:val="none"/>
          <w:shd w:val="clear" w:color="auto" w:fill="FFFFFF"/>
          <w:lang w:bidi="ar"/>
        </w:rPr>
        <w:t>（生产厂址）</w:t>
      </w:r>
      <w:r>
        <w:rPr>
          <w:rFonts w:hint="eastAsia" w:ascii="宋体" w:hAnsi="宋体" w:cs="宋体"/>
          <w:color w:val="auto"/>
          <w:kern w:val="0"/>
          <w:sz w:val="24"/>
          <w:highlight w:val="none"/>
          <w:shd w:val="clear" w:color="auto" w:fill="FFFFFF"/>
          <w:lang w:bidi="ar"/>
        </w:rPr>
        <w:t>。</w:t>
      </w:r>
      <w:r>
        <w:rPr>
          <w:rFonts w:hint="eastAsia" w:ascii="宋体" w:hAnsi="宋体" w:cs="宋体"/>
          <w:i/>
          <w:iCs/>
          <w:color w:val="auto"/>
          <w:kern w:val="0"/>
          <w:sz w:val="24"/>
          <w:highlight w:val="none"/>
          <w:shd w:val="clear" w:color="auto" w:fill="FFFFFF"/>
          <w:lang w:bidi="ar"/>
        </w:rPr>
        <w:t>（产品名称2）</w:t>
      </w:r>
      <w:r>
        <w:rPr>
          <w:rFonts w:hint="eastAsia" w:ascii="宋体" w:hAnsi="宋体" w:cs="宋体"/>
          <w:color w:val="auto"/>
          <w:kern w:val="0"/>
          <w:sz w:val="24"/>
          <w:highlight w:val="none"/>
          <w:shd w:val="clear" w:color="auto" w:fill="FFFFFF"/>
          <w:lang w:bidi="ar"/>
        </w:rPr>
        <w:t>的中国境内生产的组件成本占比≥</w:t>
      </w:r>
      <w:r>
        <w:rPr>
          <w:rFonts w:hint="eastAsia" w:ascii="宋体" w:hAnsi="宋体" w:cs="宋体"/>
          <w:i/>
          <w:iCs/>
          <w:color w:val="auto"/>
          <w:kern w:val="0"/>
          <w:sz w:val="24"/>
          <w:highlight w:val="none"/>
          <w:shd w:val="clear" w:color="auto" w:fill="FFFFFF"/>
          <w:lang w:bidi="ar"/>
        </w:rPr>
        <w:t>（规定比例）</w:t>
      </w:r>
      <w:r>
        <w:rPr>
          <w:rFonts w:hint="eastAsia" w:ascii="宋体" w:hAnsi="宋体" w:cs="宋体"/>
          <w:color w:val="auto"/>
          <w:kern w:val="0"/>
          <w:sz w:val="24"/>
          <w:highlight w:val="none"/>
          <w:shd w:val="clear" w:color="auto" w:fill="FFFFFF"/>
          <w:lang w:bidi="ar"/>
        </w:rPr>
        <w:t>。</w:t>
      </w:r>
      <w:r>
        <w:rPr>
          <w:rFonts w:hint="eastAsia" w:ascii="宋体" w:hAnsi="宋体" w:cs="宋体"/>
          <w:i/>
          <w:iCs/>
          <w:color w:val="auto"/>
          <w:kern w:val="0"/>
          <w:sz w:val="24"/>
          <w:highlight w:val="none"/>
          <w:shd w:val="clear" w:color="auto" w:fill="FFFFFF"/>
          <w:lang w:bidi="ar"/>
        </w:rPr>
        <w:t>（产品名称2）</w:t>
      </w:r>
      <w:r>
        <w:rPr>
          <w:rFonts w:hint="eastAsia" w:ascii="宋体" w:hAnsi="宋体" w:cs="宋体"/>
          <w:color w:val="auto"/>
          <w:kern w:val="0"/>
          <w:sz w:val="24"/>
          <w:highlight w:val="none"/>
          <w:shd w:val="clear" w:color="auto" w:fill="FFFFFF"/>
          <w:lang w:bidi="ar"/>
        </w:rPr>
        <w:t>的</w:t>
      </w:r>
      <w:r>
        <w:rPr>
          <w:rFonts w:hint="eastAsia" w:ascii="宋体" w:hAnsi="宋体" w:cs="宋体"/>
          <w:i/>
          <w:iCs/>
          <w:color w:val="auto"/>
          <w:kern w:val="0"/>
          <w:sz w:val="24"/>
          <w:highlight w:val="none"/>
          <w:shd w:val="clear" w:color="auto" w:fill="FFFFFF"/>
          <w:lang w:bidi="ar"/>
        </w:rPr>
        <w:t>（关键组件）</w:t>
      </w:r>
      <w:r>
        <w:rPr>
          <w:rFonts w:hint="eastAsia" w:ascii="宋体" w:hAnsi="宋体" w:cs="宋体"/>
          <w:color w:val="auto"/>
          <w:kern w:val="0"/>
          <w:sz w:val="24"/>
          <w:highlight w:val="none"/>
          <w:shd w:val="clear" w:color="auto" w:fill="FFFFFF"/>
          <w:lang w:bidi="ar"/>
        </w:rPr>
        <w:t>在中国境内生产。</w:t>
      </w:r>
      <w:r>
        <w:rPr>
          <w:rFonts w:hint="eastAsia" w:ascii="宋体" w:hAnsi="宋体" w:cs="宋体"/>
          <w:i/>
          <w:iCs/>
          <w:color w:val="auto"/>
          <w:kern w:val="0"/>
          <w:sz w:val="24"/>
          <w:highlight w:val="none"/>
          <w:shd w:val="clear" w:color="auto" w:fill="FFFFFF"/>
          <w:lang w:bidi="ar"/>
        </w:rPr>
        <w:t>（产品名称2）</w:t>
      </w:r>
      <w:r>
        <w:rPr>
          <w:rFonts w:hint="eastAsia" w:ascii="宋体" w:hAnsi="宋体" w:cs="宋体"/>
          <w:color w:val="auto"/>
          <w:kern w:val="0"/>
          <w:sz w:val="24"/>
          <w:highlight w:val="none"/>
          <w:shd w:val="clear" w:color="auto" w:fill="FFFFFF"/>
          <w:lang w:bidi="ar"/>
        </w:rPr>
        <w:t>的</w:t>
      </w:r>
      <w:r>
        <w:rPr>
          <w:rFonts w:hint="eastAsia" w:ascii="宋体" w:hAnsi="宋体" w:cs="宋体"/>
          <w:i/>
          <w:iCs/>
          <w:color w:val="auto"/>
          <w:kern w:val="0"/>
          <w:sz w:val="24"/>
          <w:highlight w:val="none"/>
          <w:shd w:val="clear" w:color="auto" w:fill="FFFFFF"/>
          <w:lang w:bidi="ar"/>
        </w:rPr>
        <w:t>（关键工序）</w:t>
      </w:r>
      <w:r>
        <w:rPr>
          <w:rFonts w:hint="eastAsia" w:ascii="宋体" w:hAnsi="宋体" w:cs="宋体"/>
          <w:color w:val="auto"/>
          <w:kern w:val="0"/>
          <w:sz w:val="24"/>
          <w:highlight w:val="none"/>
          <w:shd w:val="clear" w:color="auto" w:fill="FFFFFF"/>
          <w:lang w:bidi="ar"/>
        </w:rPr>
        <w:t>在中国境内完成。</w:t>
      </w:r>
    </w:p>
    <w:p w14:paraId="7FE954B8">
      <w:pPr>
        <w:widowControl/>
        <w:shd w:val="clear" w:color="auto" w:fill="FFFFFF"/>
        <w:spacing w:before="30" w:after="30"/>
        <w:ind w:firstLine="480"/>
        <w:jc w:val="left"/>
        <w:rPr>
          <w:rFonts w:ascii="宋体" w:hAnsi="宋体" w:cs="宋体"/>
          <w:color w:val="auto"/>
          <w:kern w:val="0"/>
          <w:sz w:val="24"/>
          <w:highlight w:val="none"/>
          <w:shd w:val="clear" w:color="auto" w:fill="FFFFFF"/>
        </w:rPr>
      </w:pPr>
      <w:r>
        <w:rPr>
          <w:rFonts w:hint="eastAsia" w:ascii="宋体" w:hAnsi="宋体" w:cs="宋体"/>
          <w:color w:val="auto"/>
          <w:kern w:val="0"/>
          <w:sz w:val="24"/>
          <w:highlight w:val="none"/>
          <w:shd w:val="clear" w:color="auto" w:fill="FFFFFF"/>
          <w:lang w:bidi="ar"/>
        </w:rPr>
        <w:t>……</w:t>
      </w:r>
    </w:p>
    <w:p w14:paraId="274A136E">
      <w:pPr>
        <w:widowControl/>
        <w:shd w:val="clear" w:color="auto" w:fill="FFFFFF"/>
        <w:spacing w:before="30" w:after="30"/>
        <w:ind w:firstLine="480"/>
        <w:jc w:val="left"/>
        <w:rPr>
          <w:rFonts w:ascii="宋体" w:hAnsi="宋体" w:cs="宋体"/>
          <w:color w:val="auto"/>
          <w:kern w:val="0"/>
          <w:sz w:val="24"/>
          <w:highlight w:val="none"/>
          <w:shd w:val="clear" w:color="auto" w:fill="FFFFFF"/>
        </w:rPr>
      </w:pPr>
      <w:r>
        <w:rPr>
          <w:rFonts w:hint="eastAsia" w:ascii="宋体" w:hAnsi="宋体" w:cs="宋体"/>
          <w:color w:val="auto"/>
          <w:kern w:val="0"/>
          <w:sz w:val="24"/>
          <w:highlight w:val="none"/>
          <w:shd w:val="clear" w:color="auto" w:fill="FFFFFF"/>
          <w:lang w:bidi="ar"/>
        </w:rPr>
        <w:t>本公司（单位）对上述声明内容的真实性负责。如有虚假，愿承担相应法律责任。</w:t>
      </w:r>
    </w:p>
    <w:p w14:paraId="7E3723BB">
      <w:pPr>
        <w:widowControl/>
        <w:shd w:val="clear" w:color="auto" w:fill="FFFFFF"/>
        <w:spacing w:before="30" w:after="30"/>
        <w:jc w:val="left"/>
        <w:rPr>
          <w:rFonts w:ascii="宋体" w:hAnsi="宋体" w:cs="宋体"/>
          <w:color w:val="auto"/>
          <w:kern w:val="0"/>
          <w:sz w:val="24"/>
          <w:highlight w:val="none"/>
          <w:shd w:val="clear" w:color="auto" w:fill="FFFFFF"/>
        </w:rPr>
      </w:pPr>
      <w:r>
        <w:rPr>
          <w:rFonts w:hint="eastAsia" w:ascii="宋体" w:hAnsi="宋体" w:cs="宋体"/>
          <w:color w:val="auto"/>
          <w:kern w:val="0"/>
          <w:sz w:val="24"/>
          <w:highlight w:val="none"/>
          <w:shd w:val="clear" w:color="auto" w:fill="FFFFFF"/>
          <w:lang w:bidi="ar"/>
        </w:rPr>
        <w:t> </w:t>
      </w:r>
    </w:p>
    <w:p w14:paraId="129711D3">
      <w:pPr>
        <w:widowControl/>
        <w:shd w:val="clear" w:color="auto" w:fill="FFFFFF"/>
        <w:spacing w:before="30" w:after="30"/>
        <w:jc w:val="right"/>
        <w:rPr>
          <w:rFonts w:ascii="宋体" w:hAnsi="宋体" w:cs="宋体"/>
          <w:color w:val="auto"/>
          <w:kern w:val="0"/>
          <w:sz w:val="24"/>
          <w:highlight w:val="none"/>
          <w:shd w:val="clear" w:color="auto" w:fill="FFFFFF"/>
        </w:rPr>
      </w:pPr>
      <w:r>
        <w:rPr>
          <w:rFonts w:hint="eastAsia" w:ascii="宋体" w:hAnsi="宋体" w:cs="宋体"/>
          <w:color w:val="auto"/>
          <w:kern w:val="0"/>
          <w:sz w:val="24"/>
          <w:highlight w:val="none"/>
          <w:shd w:val="clear" w:color="auto" w:fill="FFFFFF"/>
          <w:lang w:bidi="ar"/>
        </w:rPr>
        <w:t>公司（单位）名称（盖章）：　        </w:t>
      </w:r>
    </w:p>
    <w:p w14:paraId="2C234209">
      <w:pPr>
        <w:widowControl/>
        <w:shd w:val="clear" w:color="auto" w:fill="FFFFFF"/>
        <w:jc w:val="right"/>
        <w:rPr>
          <w:rFonts w:ascii="宋体" w:hAnsi="宋体" w:cs="宋体"/>
          <w:color w:val="auto"/>
          <w:kern w:val="0"/>
          <w:sz w:val="24"/>
          <w:highlight w:val="none"/>
          <w:shd w:val="clear" w:color="auto" w:fill="FFFFFF"/>
        </w:rPr>
      </w:pPr>
      <w:r>
        <w:rPr>
          <w:rFonts w:hint="eastAsia" w:ascii="宋体" w:hAnsi="宋体" w:cs="宋体"/>
          <w:color w:val="auto"/>
          <w:kern w:val="0"/>
          <w:sz w:val="24"/>
          <w:highlight w:val="none"/>
          <w:shd w:val="clear" w:color="auto" w:fill="FFFFFF"/>
          <w:lang w:bidi="ar"/>
        </w:rPr>
        <w:t>日期：　     年　  月　  日         </w:t>
      </w:r>
    </w:p>
    <w:p w14:paraId="192419DF">
      <w:pPr>
        <w:widowControl/>
        <w:shd w:val="clear" w:color="auto" w:fill="FFFFFF"/>
        <w:spacing w:before="30" w:after="30"/>
        <w:jc w:val="left"/>
        <w:rPr>
          <w:rFonts w:ascii="宋体" w:hAnsi="宋体" w:cs="宋体"/>
          <w:color w:val="auto"/>
          <w:kern w:val="0"/>
          <w:sz w:val="24"/>
          <w:highlight w:val="none"/>
          <w:shd w:val="clear" w:color="auto" w:fill="FFFFFF"/>
        </w:rPr>
      </w:pPr>
      <w:r>
        <w:rPr>
          <w:rFonts w:hint="eastAsia" w:ascii="宋体" w:hAnsi="宋体" w:cs="宋体"/>
          <w:color w:val="auto"/>
          <w:kern w:val="0"/>
          <w:sz w:val="24"/>
          <w:highlight w:val="none"/>
          <w:shd w:val="clear" w:color="auto" w:fill="FFFFFF"/>
          <w:lang w:bidi="ar"/>
        </w:rPr>
        <w:t>__________________</w:t>
      </w:r>
    </w:p>
    <w:p w14:paraId="3F15EAF8">
      <w:pPr>
        <w:widowControl/>
        <w:shd w:val="clear" w:color="auto" w:fill="FFFFFF"/>
        <w:ind w:firstLine="480"/>
        <w:jc w:val="left"/>
        <w:rPr>
          <w:rFonts w:ascii="宋体" w:hAnsi="宋体" w:cs="宋体"/>
          <w:color w:val="auto"/>
          <w:kern w:val="0"/>
          <w:szCs w:val="21"/>
          <w:highlight w:val="none"/>
          <w:shd w:val="clear" w:color="auto" w:fill="FFFFFF"/>
        </w:rPr>
      </w:pPr>
      <w:r>
        <w:rPr>
          <w:rFonts w:hint="eastAsia" w:ascii="宋体" w:hAnsi="宋体" w:cs="宋体"/>
          <w:color w:val="auto"/>
          <w:kern w:val="0"/>
          <w:szCs w:val="21"/>
          <w:highlight w:val="none"/>
          <w:shd w:val="clear" w:color="auto" w:fill="FFFFFF"/>
          <w:lang w:bidi="ar"/>
        </w:rPr>
        <w:t>1.产品如有型号，请在“产品名称”栏一并填写。</w:t>
      </w:r>
    </w:p>
    <w:p w14:paraId="377AFDBB">
      <w:pPr>
        <w:widowControl/>
        <w:shd w:val="clear" w:color="auto" w:fill="FFFFFF"/>
        <w:ind w:firstLine="480"/>
        <w:jc w:val="left"/>
        <w:rPr>
          <w:rFonts w:ascii="宋体" w:hAnsi="宋体" w:cs="宋体"/>
          <w:color w:val="auto"/>
          <w:kern w:val="0"/>
          <w:szCs w:val="21"/>
          <w:highlight w:val="none"/>
          <w:shd w:val="clear" w:color="auto" w:fill="FFFFFF"/>
        </w:rPr>
      </w:pPr>
      <w:r>
        <w:rPr>
          <w:rFonts w:hint="eastAsia" w:ascii="宋体" w:hAnsi="宋体" w:cs="宋体"/>
          <w:color w:val="auto"/>
          <w:kern w:val="0"/>
          <w:szCs w:val="21"/>
          <w:highlight w:val="none"/>
          <w:shd w:val="clear" w:color="auto" w:fill="FFFFFF"/>
          <w:lang w:bidi="ar"/>
        </w:rPr>
        <w:t>2.生产厂名与厂址应与生产厂营业执照载明的相关信息保持一致。</w:t>
      </w:r>
    </w:p>
    <w:p w14:paraId="283613F0">
      <w:pPr>
        <w:widowControl/>
        <w:shd w:val="clear" w:color="auto" w:fill="FFFFFF"/>
        <w:ind w:firstLine="480"/>
        <w:jc w:val="left"/>
        <w:rPr>
          <w:rFonts w:ascii="宋体" w:hAnsi="宋体" w:cs="宋体"/>
          <w:color w:val="auto"/>
          <w:kern w:val="0"/>
          <w:szCs w:val="21"/>
          <w:highlight w:val="none"/>
          <w:shd w:val="clear" w:color="auto" w:fill="FFFFFF"/>
        </w:rPr>
      </w:pPr>
      <w:r>
        <w:rPr>
          <w:rFonts w:hint="eastAsia" w:ascii="宋体" w:hAnsi="宋体" w:cs="宋体"/>
          <w:color w:val="auto"/>
          <w:kern w:val="0"/>
          <w:szCs w:val="21"/>
          <w:highlight w:val="none"/>
          <w:shd w:val="clear" w:color="auto" w:fill="FFFFFF"/>
          <w:lang w:bidi="ar"/>
        </w:rPr>
        <w:t>3.该产品的中国境内生产的组件成本占比相关要求实施前，“规定比例”栏可不填，下同。</w:t>
      </w:r>
    </w:p>
    <w:p w14:paraId="3267AD2F">
      <w:pPr>
        <w:widowControl/>
        <w:shd w:val="clear" w:color="auto" w:fill="FFFFFF"/>
        <w:ind w:firstLine="480"/>
        <w:jc w:val="left"/>
        <w:rPr>
          <w:rFonts w:ascii="宋体" w:hAnsi="宋体" w:cs="宋体"/>
          <w:color w:val="auto"/>
          <w:kern w:val="0"/>
          <w:szCs w:val="21"/>
          <w:highlight w:val="none"/>
          <w:shd w:val="clear" w:color="auto" w:fill="FFFFFF"/>
        </w:rPr>
      </w:pPr>
      <w:r>
        <w:rPr>
          <w:rFonts w:hint="eastAsia" w:ascii="宋体" w:hAnsi="宋体" w:cs="宋体"/>
          <w:color w:val="auto"/>
          <w:kern w:val="0"/>
          <w:szCs w:val="21"/>
          <w:highlight w:val="none"/>
          <w:shd w:val="clear" w:color="auto" w:fill="FFFFFF"/>
          <w:lang w:bidi="ar"/>
        </w:rPr>
        <w:t>4.该产品的关键组件要求实施前，“关键组件”栏可不填，下同。</w:t>
      </w:r>
    </w:p>
    <w:p w14:paraId="5C8D06B8">
      <w:pPr>
        <w:widowControl/>
        <w:shd w:val="clear" w:color="auto" w:fill="FFFFFF"/>
        <w:ind w:firstLine="480"/>
        <w:jc w:val="left"/>
        <w:rPr>
          <w:rFonts w:ascii="宋体" w:hAnsi="宋体" w:cs="宋体"/>
          <w:color w:val="auto"/>
          <w:kern w:val="0"/>
          <w:szCs w:val="21"/>
          <w:highlight w:val="none"/>
          <w:shd w:val="clear" w:color="auto" w:fill="FFFFFF"/>
        </w:rPr>
      </w:pPr>
      <w:r>
        <w:rPr>
          <w:rFonts w:hint="eastAsia" w:ascii="宋体" w:hAnsi="宋体" w:cs="宋体"/>
          <w:color w:val="auto"/>
          <w:kern w:val="0"/>
          <w:szCs w:val="21"/>
          <w:highlight w:val="none"/>
          <w:shd w:val="clear" w:color="auto" w:fill="FFFFFF"/>
          <w:lang w:bidi="ar"/>
        </w:rPr>
        <w:t>5.该产品的关键工序要求实施前，“关键工序”栏可不填，下同。</w:t>
      </w:r>
    </w:p>
    <w:p w14:paraId="685474B3">
      <w:pPr>
        <w:pStyle w:val="34"/>
        <w:widowControl/>
        <w:spacing w:beforeAutospacing="1" w:afterAutospacing="1" w:line="360" w:lineRule="auto"/>
        <w:rPr>
          <w:rFonts w:ascii="宋体" w:hAnsi="宋体" w:cs="宋体"/>
          <w:color w:val="auto"/>
          <w:highlight w:val="none"/>
        </w:rPr>
      </w:pPr>
    </w:p>
    <w:p w14:paraId="1F455F57">
      <w:pPr>
        <w:widowControl/>
        <w:spacing w:line="360" w:lineRule="auto"/>
        <w:jc w:val="left"/>
        <w:rPr>
          <w:color w:val="auto"/>
          <w:sz w:val="20"/>
          <w:highlight w:val="none"/>
        </w:rPr>
        <w:sectPr>
          <w:pgSz w:w="11906" w:h="16838"/>
          <w:pgMar w:top="1134" w:right="1134" w:bottom="1134" w:left="1134" w:header="720" w:footer="720" w:gutter="0"/>
          <w:pgNumType w:fmt="decimal"/>
          <w:cols w:space="720" w:num="1"/>
          <w:docGrid w:type="lines" w:linePitch="331" w:charSpace="0"/>
        </w:sectPr>
      </w:pPr>
      <w:r>
        <w:rPr>
          <w:rFonts w:hint="eastAsia" w:ascii="宋体" w:hAnsi="宋体"/>
          <w:color w:val="auto"/>
          <w:sz w:val="24"/>
          <w:highlight w:val="none"/>
          <w:lang w:bidi="ar"/>
        </w:rPr>
        <w:br w:type="page"/>
      </w:r>
    </w:p>
    <w:p w14:paraId="73D8E9D3">
      <w:pPr>
        <w:snapToGrid w:val="0"/>
        <w:spacing w:before="50" w:after="165" w:afterLines="50" w:line="360" w:lineRule="auto"/>
        <w:jc w:val="left"/>
        <w:rPr>
          <w:color w:val="auto"/>
          <w:sz w:val="20"/>
          <w:highlight w:val="none"/>
        </w:rPr>
      </w:pPr>
    </w:p>
    <w:p w14:paraId="682BCA32">
      <w:pPr>
        <w:pStyle w:val="7"/>
        <w:tabs>
          <w:tab w:val="left" w:pos="2472"/>
        </w:tabs>
        <w:spacing w:line="460" w:lineRule="exact"/>
        <w:jc w:val="center"/>
        <w:rPr>
          <w:rFonts w:ascii="Times New Roman" w:hAnsi="Times New Roman"/>
          <w:b/>
          <w:color w:val="auto"/>
          <w:sz w:val="36"/>
          <w:highlight w:val="none"/>
        </w:rPr>
      </w:pPr>
    </w:p>
    <w:p w14:paraId="71D7343E">
      <w:pPr>
        <w:pStyle w:val="7"/>
        <w:tabs>
          <w:tab w:val="left" w:pos="2472"/>
        </w:tabs>
        <w:spacing w:line="460" w:lineRule="exact"/>
        <w:jc w:val="center"/>
        <w:rPr>
          <w:rFonts w:ascii="Times New Roman" w:hAnsi="Times New Roman"/>
          <w:b/>
          <w:color w:val="auto"/>
          <w:sz w:val="36"/>
          <w:highlight w:val="none"/>
        </w:rPr>
      </w:pPr>
    </w:p>
    <w:p w14:paraId="1BE89684">
      <w:pPr>
        <w:pStyle w:val="7"/>
        <w:tabs>
          <w:tab w:val="left" w:pos="2472"/>
        </w:tabs>
        <w:spacing w:line="460" w:lineRule="exact"/>
        <w:jc w:val="center"/>
        <w:rPr>
          <w:rFonts w:ascii="Times New Roman" w:hAnsi="Times New Roman"/>
          <w:b/>
          <w:color w:val="auto"/>
          <w:sz w:val="36"/>
          <w:highlight w:val="none"/>
        </w:rPr>
      </w:pPr>
    </w:p>
    <w:p w14:paraId="54F35932">
      <w:pPr>
        <w:pStyle w:val="7"/>
        <w:tabs>
          <w:tab w:val="left" w:pos="2472"/>
        </w:tabs>
        <w:spacing w:line="460" w:lineRule="exact"/>
        <w:jc w:val="center"/>
        <w:rPr>
          <w:rFonts w:ascii="Times New Roman" w:hAnsi="Times New Roman"/>
          <w:b/>
          <w:color w:val="auto"/>
          <w:sz w:val="36"/>
          <w:highlight w:val="none"/>
        </w:rPr>
      </w:pPr>
    </w:p>
    <w:p w14:paraId="73282840">
      <w:pPr>
        <w:pStyle w:val="7"/>
        <w:tabs>
          <w:tab w:val="left" w:pos="2472"/>
        </w:tabs>
        <w:spacing w:line="460" w:lineRule="exact"/>
        <w:jc w:val="center"/>
        <w:rPr>
          <w:rFonts w:ascii="Times New Roman" w:hAnsi="Times New Roman"/>
          <w:b/>
          <w:color w:val="auto"/>
          <w:sz w:val="36"/>
          <w:highlight w:val="none"/>
        </w:rPr>
      </w:pPr>
    </w:p>
    <w:p w14:paraId="41CB7092">
      <w:pPr>
        <w:pStyle w:val="7"/>
        <w:tabs>
          <w:tab w:val="left" w:pos="2472"/>
        </w:tabs>
        <w:spacing w:line="460" w:lineRule="exact"/>
        <w:jc w:val="center"/>
        <w:rPr>
          <w:rFonts w:ascii="Times New Roman" w:hAnsi="Times New Roman"/>
          <w:b/>
          <w:color w:val="auto"/>
          <w:sz w:val="36"/>
          <w:highlight w:val="none"/>
        </w:rPr>
      </w:pPr>
    </w:p>
    <w:p w14:paraId="2479EECA">
      <w:pPr>
        <w:pStyle w:val="7"/>
        <w:tabs>
          <w:tab w:val="left" w:pos="2472"/>
        </w:tabs>
        <w:spacing w:line="460" w:lineRule="exact"/>
        <w:jc w:val="center"/>
        <w:rPr>
          <w:rFonts w:ascii="Times New Roman" w:hAnsi="Times New Roman"/>
          <w:b/>
          <w:color w:val="auto"/>
          <w:sz w:val="36"/>
          <w:highlight w:val="none"/>
        </w:rPr>
      </w:pPr>
    </w:p>
    <w:p w14:paraId="795A39C2">
      <w:pPr>
        <w:pStyle w:val="7"/>
        <w:tabs>
          <w:tab w:val="left" w:pos="2472"/>
        </w:tabs>
        <w:spacing w:line="460" w:lineRule="exact"/>
        <w:jc w:val="center"/>
        <w:rPr>
          <w:rFonts w:ascii="Times New Roman" w:hAnsi="Times New Roman"/>
          <w:b/>
          <w:color w:val="auto"/>
          <w:sz w:val="36"/>
          <w:highlight w:val="none"/>
        </w:rPr>
      </w:pPr>
    </w:p>
    <w:p w14:paraId="1C757DD2">
      <w:pPr>
        <w:pStyle w:val="7"/>
        <w:tabs>
          <w:tab w:val="left" w:pos="2472"/>
        </w:tabs>
        <w:spacing w:line="460" w:lineRule="exact"/>
        <w:jc w:val="center"/>
        <w:rPr>
          <w:rFonts w:ascii="Times New Roman" w:hAnsi="Times New Roman"/>
          <w:b/>
          <w:color w:val="auto"/>
          <w:sz w:val="36"/>
          <w:highlight w:val="none"/>
        </w:rPr>
      </w:pPr>
    </w:p>
    <w:p w14:paraId="4CD34DCF">
      <w:pPr>
        <w:pStyle w:val="7"/>
        <w:tabs>
          <w:tab w:val="left" w:pos="2472"/>
        </w:tabs>
        <w:spacing w:line="460" w:lineRule="exact"/>
        <w:jc w:val="center"/>
        <w:rPr>
          <w:rFonts w:ascii="Times New Roman" w:hAnsi="Times New Roman"/>
          <w:b/>
          <w:color w:val="auto"/>
          <w:sz w:val="36"/>
          <w:highlight w:val="none"/>
        </w:rPr>
      </w:pPr>
    </w:p>
    <w:p w14:paraId="39E463EE">
      <w:pPr>
        <w:pStyle w:val="7"/>
        <w:tabs>
          <w:tab w:val="left" w:pos="2472"/>
        </w:tabs>
        <w:spacing w:line="460" w:lineRule="exact"/>
        <w:jc w:val="center"/>
        <w:rPr>
          <w:rFonts w:ascii="Times New Roman" w:hAnsi="Times New Roman"/>
          <w:b/>
          <w:color w:val="auto"/>
          <w:sz w:val="36"/>
          <w:highlight w:val="none"/>
        </w:rPr>
      </w:pPr>
    </w:p>
    <w:p w14:paraId="7ADA2555">
      <w:pPr>
        <w:pStyle w:val="7"/>
        <w:tabs>
          <w:tab w:val="left" w:pos="2472"/>
        </w:tabs>
        <w:spacing w:line="460" w:lineRule="exact"/>
        <w:jc w:val="center"/>
        <w:outlineLvl w:val="0"/>
        <w:rPr>
          <w:rFonts w:ascii="Times New Roman" w:hAnsi="Times New Roman"/>
          <w:b/>
          <w:color w:val="auto"/>
          <w:sz w:val="36"/>
          <w:highlight w:val="none"/>
        </w:rPr>
      </w:pPr>
      <w:bookmarkStart w:id="343" w:name="_Toc187761578"/>
      <w:r>
        <w:rPr>
          <w:rFonts w:hint="eastAsia" w:ascii="Times New Roman" w:hAnsi="Times New Roman"/>
          <w:b/>
          <w:color w:val="auto"/>
          <w:sz w:val="36"/>
          <w:highlight w:val="none"/>
        </w:rPr>
        <w:t>第七章质疑、投诉证明材料格式</w:t>
      </w:r>
      <w:bookmarkEnd w:id="343"/>
    </w:p>
    <w:p w14:paraId="3F96734C">
      <w:pPr>
        <w:widowControl/>
        <w:spacing w:line="360" w:lineRule="auto"/>
        <w:jc w:val="left"/>
        <w:rPr>
          <w:color w:val="auto"/>
          <w:sz w:val="20"/>
          <w:highlight w:val="none"/>
        </w:rPr>
        <w:sectPr>
          <w:pgSz w:w="11906" w:h="16838"/>
          <w:pgMar w:top="1134" w:right="1134" w:bottom="1134" w:left="1134" w:header="720" w:footer="720" w:gutter="0"/>
          <w:pgNumType w:fmt="decimal"/>
          <w:cols w:space="720" w:num="1"/>
          <w:docGrid w:type="lines" w:linePitch="331" w:charSpace="0"/>
        </w:sectPr>
      </w:pPr>
    </w:p>
    <w:p w14:paraId="40DCFC2E">
      <w:pPr>
        <w:widowControl/>
        <w:shd w:val="clear" w:color="auto" w:fill="FFFFFF"/>
        <w:spacing w:line="260" w:lineRule="exact"/>
        <w:jc w:val="left"/>
        <w:rPr>
          <w:rFonts w:ascii="宋体" w:hAnsi="宋体"/>
          <w:b/>
          <w:bCs/>
          <w:color w:val="auto"/>
          <w:sz w:val="28"/>
          <w:szCs w:val="28"/>
          <w:highlight w:val="none"/>
        </w:rPr>
      </w:pPr>
    </w:p>
    <w:p w14:paraId="29F2CFD8">
      <w:pPr>
        <w:pStyle w:val="9"/>
        <w:jc w:val="center"/>
        <w:rPr>
          <w:rFonts w:ascii="宋体" w:hAnsi="宋体"/>
          <w:b w:val="0"/>
          <w:bCs w:val="0"/>
          <w:color w:val="auto"/>
          <w:highlight w:val="none"/>
        </w:rPr>
      </w:pPr>
      <w:bookmarkStart w:id="344" w:name="_Toc187761579"/>
      <w:r>
        <w:rPr>
          <w:rFonts w:hint="eastAsia" w:ascii="宋体" w:hAnsi="宋体"/>
          <w:b w:val="0"/>
          <w:bCs w:val="0"/>
          <w:color w:val="auto"/>
          <w:highlight w:val="none"/>
        </w:rPr>
        <w:t>第一节 质疑函（格式）</w:t>
      </w:r>
      <w:bookmarkEnd w:id="344"/>
    </w:p>
    <w:p w14:paraId="37C14D7C">
      <w:pPr>
        <w:jc w:val="center"/>
        <w:rPr>
          <w:rFonts w:ascii="仿宋" w:hAnsi="仿宋" w:eastAsia="仿宋" w:cs="仿宋"/>
          <w:b/>
          <w:bCs/>
          <w:color w:val="auto"/>
          <w:sz w:val="44"/>
          <w:szCs w:val="44"/>
          <w:highlight w:val="none"/>
        </w:rPr>
      </w:pPr>
      <w:r>
        <w:rPr>
          <w:rFonts w:hint="eastAsia" w:ascii="仿宋" w:hAnsi="仿宋" w:eastAsia="仿宋" w:cs="仿宋"/>
          <w:b/>
          <w:bCs/>
          <w:color w:val="auto"/>
          <w:sz w:val="44"/>
          <w:szCs w:val="44"/>
          <w:highlight w:val="none"/>
        </w:rPr>
        <w:t>质疑函范本</w:t>
      </w:r>
    </w:p>
    <w:p w14:paraId="09FCFCE4">
      <w:pPr>
        <w:adjustRightInd w:val="0"/>
        <w:snapToGrid w:val="0"/>
        <w:spacing w:before="331" w:beforeLines="100" w:line="360" w:lineRule="auto"/>
        <w:rPr>
          <w:rFonts w:ascii="黑体" w:hAnsi="黑体" w:eastAsia="黑体" w:cs="仿宋"/>
          <w:bCs/>
          <w:color w:val="auto"/>
          <w:sz w:val="32"/>
          <w:szCs w:val="32"/>
          <w:highlight w:val="none"/>
        </w:rPr>
      </w:pPr>
      <w:r>
        <w:rPr>
          <w:rFonts w:hint="eastAsia" w:ascii="黑体" w:hAnsi="黑体" w:eastAsia="黑体" w:cs="仿宋"/>
          <w:bCs/>
          <w:color w:val="auto"/>
          <w:sz w:val="32"/>
          <w:szCs w:val="32"/>
          <w:highlight w:val="none"/>
        </w:rPr>
        <w:t>一、质疑供应商基本信息</w:t>
      </w:r>
    </w:p>
    <w:p w14:paraId="21B4985D">
      <w:pPr>
        <w:adjustRightInd w:val="0"/>
        <w:snapToGrid w:val="0"/>
        <w:spacing w:line="360" w:lineRule="auto"/>
        <w:rPr>
          <w:rFonts w:ascii="仿宋" w:hAnsi="仿宋" w:eastAsia="仿宋" w:cs="仿宋"/>
          <w:color w:val="auto"/>
          <w:sz w:val="32"/>
          <w:szCs w:val="32"/>
          <w:highlight w:val="none"/>
          <w:u w:val="dotted"/>
        </w:rPr>
      </w:pPr>
      <w:r>
        <w:rPr>
          <w:rFonts w:hint="eastAsia" w:ascii="仿宋" w:hAnsi="仿宋" w:eastAsia="仿宋" w:cs="仿宋"/>
          <w:color w:val="auto"/>
          <w:sz w:val="32"/>
          <w:szCs w:val="32"/>
          <w:highlight w:val="none"/>
        </w:rPr>
        <w:t>质疑供应商：</w:t>
      </w:r>
    </w:p>
    <w:p w14:paraId="335C8FEF">
      <w:pPr>
        <w:adjustRightInd w:val="0"/>
        <w:snapToGrid w:val="0"/>
        <w:spacing w:line="360" w:lineRule="auto"/>
        <w:rPr>
          <w:rFonts w:ascii="仿宋" w:hAnsi="仿宋" w:eastAsia="仿宋" w:cs="仿宋"/>
          <w:color w:val="auto"/>
          <w:sz w:val="32"/>
          <w:szCs w:val="32"/>
          <w:highlight w:val="none"/>
        </w:rPr>
      </w:pPr>
      <w:r>
        <w:rPr>
          <w:rFonts w:hint="eastAsia" w:ascii="仿宋" w:hAnsi="仿宋" w:eastAsia="仿宋" w:cs="仿宋"/>
          <w:color w:val="auto"/>
          <w:sz w:val="32"/>
          <w:szCs w:val="32"/>
          <w:highlight w:val="none"/>
        </w:rPr>
        <w:t>地址：邮编：</w:t>
      </w:r>
    </w:p>
    <w:p w14:paraId="4547FD3D">
      <w:pPr>
        <w:adjustRightInd w:val="0"/>
        <w:snapToGrid w:val="0"/>
        <w:spacing w:line="360" w:lineRule="auto"/>
        <w:rPr>
          <w:rFonts w:ascii="仿宋" w:hAnsi="仿宋" w:eastAsia="仿宋" w:cs="仿宋"/>
          <w:color w:val="auto"/>
          <w:sz w:val="32"/>
          <w:szCs w:val="32"/>
          <w:highlight w:val="none"/>
        </w:rPr>
      </w:pPr>
      <w:r>
        <w:rPr>
          <w:rFonts w:hint="eastAsia" w:ascii="仿宋" w:hAnsi="仿宋" w:eastAsia="仿宋" w:cs="仿宋"/>
          <w:color w:val="auto"/>
          <w:sz w:val="32"/>
          <w:szCs w:val="32"/>
          <w:highlight w:val="none"/>
        </w:rPr>
        <w:t>联系人：联系电话：</w:t>
      </w:r>
    </w:p>
    <w:p w14:paraId="11C628D7">
      <w:pPr>
        <w:adjustRightInd w:val="0"/>
        <w:snapToGrid w:val="0"/>
        <w:spacing w:line="360" w:lineRule="auto"/>
        <w:rPr>
          <w:rFonts w:ascii="仿宋" w:hAnsi="仿宋" w:eastAsia="仿宋" w:cs="仿宋"/>
          <w:color w:val="auto"/>
          <w:sz w:val="32"/>
          <w:szCs w:val="32"/>
          <w:highlight w:val="none"/>
          <w:u w:val="dotted"/>
        </w:rPr>
      </w:pPr>
      <w:r>
        <w:rPr>
          <w:rFonts w:hint="eastAsia" w:ascii="仿宋" w:hAnsi="仿宋" w:eastAsia="仿宋" w:cs="仿宋"/>
          <w:color w:val="auto"/>
          <w:sz w:val="32"/>
          <w:szCs w:val="32"/>
          <w:highlight w:val="none"/>
        </w:rPr>
        <w:t>授权代表：</w:t>
      </w:r>
    </w:p>
    <w:p w14:paraId="78B5D2D2">
      <w:pPr>
        <w:adjustRightInd w:val="0"/>
        <w:snapToGrid w:val="0"/>
        <w:spacing w:line="360" w:lineRule="auto"/>
        <w:rPr>
          <w:rFonts w:ascii="仿宋" w:hAnsi="仿宋" w:eastAsia="仿宋" w:cs="仿宋"/>
          <w:color w:val="auto"/>
          <w:sz w:val="32"/>
          <w:szCs w:val="32"/>
          <w:highlight w:val="none"/>
        </w:rPr>
      </w:pPr>
      <w:r>
        <w:rPr>
          <w:rFonts w:hint="eastAsia" w:ascii="仿宋" w:hAnsi="仿宋" w:eastAsia="仿宋" w:cs="仿宋"/>
          <w:color w:val="auto"/>
          <w:sz w:val="32"/>
          <w:szCs w:val="32"/>
          <w:highlight w:val="none"/>
        </w:rPr>
        <w:t>联系电话：</w:t>
      </w:r>
    </w:p>
    <w:p w14:paraId="7A2583DF">
      <w:pPr>
        <w:adjustRightInd w:val="0"/>
        <w:snapToGrid w:val="0"/>
        <w:spacing w:line="360" w:lineRule="auto"/>
        <w:rPr>
          <w:rFonts w:ascii="仿宋" w:hAnsi="仿宋" w:eastAsia="仿宋" w:cs="仿宋"/>
          <w:color w:val="auto"/>
          <w:sz w:val="32"/>
          <w:szCs w:val="32"/>
          <w:highlight w:val="none"/>
        </w:rPr>
      </w:pPr>
      <w:r>
        <w:rPr>
          <w:rFonts w:hint="eastAsia" w:ascii="仿宋" w:hAnsi="仿宋" w:eastAsia="仿宋" w:cs="仿宋"/>
          <w:color w:val="auto"/>
          <w:sz w:val="32"/>
          <w:szCs w:val="32"/>
          <w:highlight w:val="none"/>
        </w:rPr>
        <w:t>地址： 邮编：</w:t>
      </w:r>
    </w:p>
    <w:p w14:paraId="292506A0">
      <w:pPr>
        <w:adjustRightInd w:val="0"/>
        <w:snapToGrid w:val="0"/>
        <w:spacing w:line="360" w:lineRule="auto"/>
        <w:rPr>
          <w:rFonts w:ascii="黑体" w:hAnsi="黑体" w:eastAsia="黑体" w:cs="仿宋"/>
          <w:bCs/>
          <w:color w:val="auto"/>
          <w:sz w:val="32"/>
          <w:szCs w:val="32"/>
          <w:highlight w:val="none"/>
        </w:rPr>
      </w:pPr>
      <w:r>
        <w:rPr>
          <w:rFonts w:hint="eastAsia" w:ascii="黑体" w:hAnsi="黑体" w:eastAsia="黑体" w:cs="仿宋"/>
          <w:bCs/>
          <w:color w:val="auto"/>
          <w:sz w:val="32"/>
          <w:szCs w:val="32"/>
          <w:highlight w:val="none"/>
        </w:rPr>
        <w:t>二、质疑项目基本情况</w:t>
      </w:r>
    </w:p>
    <w:p w14:paraId="3A1F55A9">
      <w:pPr>
        <w:adjustRightInd w:val="0"/>
        <w:snapToGrid w:val="0"/>
        <w:spacing w:line="360" w:lineRule="auto"/>
        <w:rPr>
          <w:rFonts w:ascii="仿宋" w:hAnsi="仿宋" w:eastAsia="仿宋" w:cs="仿宋"/>
          <w:color w:val="auto"/>
          <w:sz w:val="32"/>
          <w:szCs w:val="32"/>
          <w:highlight w:val="none"/>
        </w:rPr>
      </w:pPr>
      <w:r>
        <w:rPr>
          <w:rFonts w:hint="eastAsia" w:ascii="仿宋" w:hAnsi="仿宋" w:eastAsia="仿宋" w:cs="仿宋"/>
          <w:color w:val="auto"/>
          <w:sz w:val="32"/>
          <w:szCs w:val="32"/>
          <w:highlight w:val="none"/>
        </w:rPr>
        <w:t>质疑项目的名称：</w:t>
      </w:r>
      <w:bookmarkStart w:id="345" w:name="PO_3000001866_PM002_17"/>
      <w:r>
        <w:rPr>
          <w:rFonts w:hint="eastAsia" w:ascii="仿宋" w:hAnsi="仿宋" w:eastAsia="仿宋" w:cs="仿宋"/>
          <w:color w:val="auto"/>
          <w:sz w:val="32"/>
          <w:szCs w:val="32"/>
          <w:highlight w:val="none"/>
          <w:u w:val="dotted"/>
        </w:rPr>
        <w:t>[项目采购-项目名称_]</w:t>
      </w:r>
      <w:bookmarkEnd w:id="345"/>
    </w:p>
    <w:p w14:paraId="6204EC92">
      <w:pPr>
        <w:adjustRightInd w:val="0"/>
        <w:snapToGrid w:val="0"/>
        <w:spacing w:line="360" w:lineRule="auto"/>
        <w:rPr>
          <w:rFonts w:ascii="仿宋" w:hAnsi="仿宋" w:eastAsia="仿宋" w:cs="仿宋"/>
          <w:color w:val="auto"/>
          <w:sz w:val="32"/>
          <w:szCs w:val="32"/>
          <w:highlight w:val="none"/>
        </w:rPr>
      </w:pPr>
      <w:r>
        <w:rPr>
          <w:rFonts w:hint="eastAsia" w:ascii="仿宋" w:hAnsi="仿宋" w:eastAsia="仿宋" w:cs="仿宋"/>
          <w:color w:val="auto"/>
          <w:sz w:val="32"/>
          <w:szCs w:val="32"/>
          <w:highlight w:val="none"/>
        </w:rPr>
        <w:t>质疑项目的编号：</w:t>
      </w:r>
      <w:bookmarkStart w:id="346" w:name="PO_3000001866_PM001_13"/>
      <w:r>
        <w:rPr>
          <w:rFonts w:hint="eastAsia" w:ascii="仿宋" w:hAnsi="仿宋" w:eastAsia="仿宋" w:cs="仿宋"/>
          <w:color w:val="auto"/>
          <w:sz w:val="32"/>
          <w:szCs w:val="32"/>
          <w:highlight w:val="none"/>
          <w:u w:val="dotted"/>
        </w:rPr>
        <w:t>[项目采购-项目编号_]</w:t>
      </w:r>
      <w:bookmarkEnd w:id="346"/>
      <w:r>
        <w:rPr>
          <w:rFonts w:hint="eastAsia" w:ascii="仿宋" w:hAnsi="仿宋" w:eastAsia="仿宋" w:cs="仿宋"/>
          <w:color w:val="auto"/>
          <w:sz w:val="32"/>
          <w:szCs w:val="32"/>
          <w:highlight w:val="none"/>
        </w:rPr>
        <w:t>包号：</w:t>
      </w:r>
    </w:p>
    <w:p w14:paraId="757206CE">
      <w:pPr>
        <w:adjustRightInd w:val="0"/>
        <w:snapToGrid w:val="0"/>
        <w:spacing w:line="360" w:lineRule="auto"/>
        <w:rPr>
          <w:rFonts w:ascii="仿宋" w:hAnsi="仿宋" w:eastAsia="仿宋" w:cs="仿宋"/>
          <w:color w:val="auto"/>
          <w:sz w:val="32"/>
          <w:szCs w:val="32"/>
          <w:highlight w:val="none"/>
          <w:u w:val="dotted"/>
        </w:rPr>
      </w:pPr>
      <w:r>
        <w:rPr>
          <w:rFonts w:hint="eastAsia" w:ascii="仿宋" w:hAnsi="仿宋" w:eastAsia="仿宋" w:cs="仿宋"/>
          <w:color w:val="auto"/>
          <w:sz w:val="32"/>
          <w:szCs w:val="32"/>
          <w:highlight w:val="none"/>
        </w:rPr>
        <w:t>采购人名称：</w:t>
      </w:r>
      <w:bookmarkStart w:id="347" w:name="PO_3000001866_PM026_3"/>
      <w:r>
        <w:rPr>
          <w:rFonts w:hint="eastAsia" w:ascii="仿宋" w:hAnsi="仿宋" w:eastAsia="仿宋" w:cs="仿宋"/>
          <w:color w:val="auto"/>
          <w:sz w:val="32"/>
          <w:szCs w:val="32"/>
          <w:highlight w:val="none"/>
          <w:u w:val="dotted"/>
        </w:rPr>
        <w:t>[项目采购-采购人_]</w:t>
      </w:r>
      <w:bookmarkEnd w:id="347"/>
    </w:p>
    <w:p w14:paraId="4F0B9779">
      <w:pPr>
        <w:adjustRightInd w:val="0"/>
        <w:snapToGrid w:val="0"/>
        <w:spacing w:line="360" w:lineRule="auto"/>
        <w:rPr>
          <w:rFonts w:ascii="仿宋" w:hAnsi="仿宋" w:eastAsia="仿宋" w:cs="仿宋"/>
          <w:color w:val="auto"/>
          <w:sz w:val="32"/>
          <w:szCs w:val="32"/>
          <w:highlight w:val="none"/>
        </w:rPr>
      </w:pPr>
      <w:r>
        <w:rPr>
          <w:rFonts w:hint="eastAsia" w:ascii="仿宋" w:hAnsi="仿宋" w:eastAsia="仿宋" w:cs="仿宋"/>
          <w:color w:val="auto"/>
          <w:sz w:val="32"/>
          <w:szCs w:val="32"/>
          <w:highlight w:val="none"/>
        </w:rPr>
        <w:t>采购文件获取日期：</w:t>
      </w:r>
    </w:p>
    <w:p w14:paraId="10E9C8F0">
      <w:pPr>
        <w:adjustRightInd w:val="0"/>
        <w:snapToGrid w:val="0"/>
        <w:spacing w:line="360" w:lineRule="auto"/>
        <w:rPr>
          <w:rFonts w:ascii="黑体" w:hAnsi="黑体" w:eastAsia="黑体" w:cs="仿宋"/>
          <w:bCs/>
          <w:color w:val="auto"/>
          <w:sz w:val="32"/>
          <w:szCs w:val="32"/>
          <w:highlight w:val="none"/>
        </w:rPr>
      </w:pPr>
      <w:r>
        <w:rPr>
          <w:rFonts w:hint="eastAsia" w:ascii="黑体" w:hAnsi="黑体" w:eastAsia="黑体" w:cs="仿宋"/>
          <w:bCs/>
          <w:color w:val="auto"/>
          <w:sz w:val="32"/>
          <w:szCs w:val="32"/>
          <w:highlight w:val="none"/>
        </w:rPr>
        <w:t>三、质疑事项具体内容</w:t>
      </w:r>
    </w:p>
    <w:p w14:paraId="05CDB42D">
      <w:pPr>
        <w:adjustRightInd w:val="0"/>
        <w:snapToGrid w:val="0"/>
        <w:spacing w:line="360" w:lineRule="auto"/>
        <w:rPr>
          <w:rFonts w:ascii="仿宋" w:hAnsi="仿宋" w:eastAsia="仿宋" w:cs="仿宋"/>
          <w:color w:val="auto"/>
          <w:sz w:val="32"/>
          <w:szCs w:val="32"/>
          <w:highlight w:val="none"/>
          <w:u w:val="dotted"/>
        </w:rPr>
      </w:pPr>
      <w:r>
        <w:rPr>
          <w:rFonts w:hint="eastAsia" w:ascii="仿宋" w:hAnsi="仿宋" w:eastAsia="仿宋" w:cs="仿宋"/>
          <w:color w:val="auto"/>
          <w:sz w:val="32"/>
          <w:szCs w:val="32"/>
          <w:highlight w:val="none"/>
        </w:rPr>
        <w:t>质疑事项1：</w:t>
      </w:r>
    </w:p>
    <w:p w14:paraId="518A61CB">
      <w:pPr>
        <w:adjustRightInd w:val="0"/>
        <w:snapToGrid w:val="0"/>
        <w:spacing w:line="360" w:lineRule="auto"/>
        <w:rPr>
          <w:rFonts w:ascii="仿宋" w:hAnsi="仿宋" w:eastAsia="仿宋" w:cs="仿宋"/>
          <w:color w:val="auto"/>
          <w:sz w:val="32"/>
          <w:szCs w:val="32"/>
          <w:highlight w:val="none"/>
          <w:u w:val="dotted"/>
        </w:rPr>
      </w:pPr>
      <w:r>
        <w:rPr>
          <w:rFonts w:hint="eastAsia" w:ascii="仿宋" w:hAnsi="仿宋" w:eastAsia="仿宋" w:cs="仿宋"/>
          <w:color w:val="auto"/>
          <w:sz w:val="32"/>
          <w:szCs w:val="32"/>
          <w:highlight w:val="none"/>
        </w:rPr>
        <w:t>事实依据：</w:t>
      </w:r>
    </w:p>
    <w:p w14:paraId="11E08543">
      <w:pPr>
        <w:adjustRightInd w:val="0"/>
        <w:snapToGrid w:val="0"/>
        <w:spacing w:line="360" w:lineRule="auto"/>
        <w:rPr>
          <w:rFonts w:ascii="仿宋" w:hAnsi="仿宋" w:eastAsia="仿宋" w:cs="仿宋"/>
          <w:color w:val="auto"/>
          <w:sz w:val="32"/>
          <w:szCs w:val="32"/>
          <w:highlight w:val="none"/>
        </w:rPr>
      </w:pPr>
    </w:p>
    <w:p w14:paraId="528E9924">
      <w:pPr>
        <w:adjustRightInd w:val="0"/>
        <w:snapToGrid w:val="0"/>
        <w:spacing w:line="360" w:lineRule="auto"/>
        <w:rPr>
          <w:rFonts w:ascii="仿宋" w:hAnsi="仿宋" w:eastAsia="仿宋" w:cs="仿宋"/>
          <w:color w:val="auto"/>
          <w:sz w:val="32"/>
          <w:szCs w:val="32"/>
          <w:highlight w:val="none"/>
          <w:u w:val="dotted"/>
        </w:rPr>
      </w:pPr>
      <w:r>
        <w:rPr>
          <w:rFonts w:hint="eastAsia" w:ascii="仿宋" w:hAnsi="仿宋" w:eastAsia="仿宋" w:cs="仿宋"/>
          <w:color w:val="auto"/>
          <w:sz w:val="32"/>
          <w:szCs w:val="32"/>
          <w:highlight w:val="none"/>
        </w:rPr>
        <w:t>法律依据：</w:t>
      </w:r>
    </w:p>
    <w:p w14:paraId="11D02BBA">
      <w:pPr>
        <w:adjustRightInd w:val="0"/>
        <w:snapToGrid w:val="0"/>
        <w:spacing w:line="360" w:lineRule="auto"/>
        <w:rPr>
          <w:rFonts w:ascii="仿宋" w:hAnsi="仿宋" w:eastAsia="仿宋" w:cs="仿宋"/>
          <w:color w:val="auto"/>
          <w:sz w:val="32"/>
          <w:szCs w:val="32"/>
          <w:highlight w:val="none"/>
          <w:u w:val="dotted"/>
        </w:rPr>
      </w:pPr>
    </w:p>
    <w:p w14:paraId="54B1D5FB">
      <w:pPr>
        <w:adjustRightInd w:val="0"/>
        <w:snapToGrid w:val="0"/>
        <w:spacing w:line="360" w:lineRule="auto"/>
        <w:rPr>
          <w:rFonts w:ascii="仿宋" w:hAnsi="仿宋" w:eastAsia="仿宋" w:cs="仿宋"/>
          <w:color w:val="auto"/>
          <w:sz w:val="32"/>
          <w:szCs w:val="32"/>
          <w:highlight w:val="none"/>
          <w:u w:val="dotted"/>
        </w:rPr>
      </w:pPr>
      <w:r>
        <w:rPr>
          <w:rFonts w:hint="eastAsia" w:ascii="仿宋" w:hAnsi="仿宋" w:eastAsia="仿宋" w:cs="仿宋"/>
          <w:color w:val="auto"/>
          <w:sz w:val="32"/>
          <w:szCs w:val="32"/>
          <w:highlight w:val="none"/>
        </w:rPr>
        <w:t>质疑事项2</w:t>
      </w:r>
    </w:p>
    <w:p w14:paraId="0C5F174C">
      <w:pPr>
        <w:adjustRightInd w:val="0"/>
        <w:snapToGrid w:val="0"/>
        <w:spacing w:line="360" w:lineRule="auto"/>
        <w:rPr>
          <w:rFonts w:ascii="仿宋" w:hAnsi="仿宋" w:eastAsia="仿宋" w:cs="仿宋"/>
          <w:color w:val="auto"/>
          <w:sz w:val="32"/>
          <w:szCs w:val="32"/>
          <w:highlight w:val="none"/>
        </w:rPr>
      </w:pPr>
      <w:r>
        <w:rPr>
          <w:rFonts w:hint="eastAsia" w:ascii="仿宋" w:hAnsi="仿宋" w:eastAsia="仿宋" w:cs="仿宋"/>
          <w:color w:val="auto"/>
          <w:sz w:val="32"/>
          <w:szCs w:val="32"/>
          <w:highlight w:val="none"/>
        </w:rPr>
        <w:t>……</w:t>
      </w:r>
    </w:p>
    <w:p w14:paraId="4B6CF072">
      <w:pPr>
        <w:adjustRightInd w:val="0"/>
        <w:snapToGrid w:val="0"/>
        <w:spacing w:line="360" w:lineRule="auto"/>
        <w:rPr>
          <w:rFonts w:ascii="黑体" w:hAnsi="黑体" w:eastAsia="黑体" w:cs="仿宋"/>
          <w:bCs/>
          <w:color w:val="auto"/>
          <w:sz w:val="32"/>
          <w:szCs w:val="32"/>
          <w:highlight w:val="none"/>
        </w:rPr>
      </w:pPr>
      <w:r>
        <w:rPr>
          <w:rFonts w:hint="eastAsia" w:ascii="黑体" w:hAnsi="黑体" w:eastAsia="黑体" w:cs="仿宋"/>
          <w:bCs/>
          <w:color w:val="auto"/>
          <w:sz w:val="32"/>
          <w:szCs w:val="32"/>
          <w:highlight w:val="none"/>
        </w:rPr>
        <w:t>四、与质疑事项相关的质疑请求</w:t>
      </w:r>
    </w:p>
    <w:p w14:paraId="0452C86D">
      <w:pPr>
        <w:adjustRightInd w:val="0"/>
        <w:snapToGrid w:val="0"/>
        <w:spacing w:line="360" w:lineRule="auto"/>
        <w:rPr>
          <w:rFonts w:ascii="仿宋" w:hAnsi="仿宋" w:eastAsia="仿宋" w:cs="仿宋"/>
          <w:color w:val="auto"/>
          <w:sz w:val="32"/>
          <w:szCs w:val="32"/>
          <w:highlight w:val="none"/>
          <w:u w:val="dotted"/>
        </w:rPr>
      </w:pPr>
      <w:r>
        <w:rPr>
          <w:rFonts w:hint="eastAsia" w:ascii="仿宋" w:hAnsi="仿宋" w:eastAsia="仿宋" w:cs="仿宋"/>
          <w:color w:val="auto"/>
          <w:sz w:val="32"/>
          <w:szCs w:val="32"/>
          <w:highlight w:val="none"/>
        </w:rPr>
        <w:t>请求：</w:t>
      </w:r>
    </w:p>
    <w:p w14:paraId="1703602C">
      <w:pPr>
        <w:rPr>
          <w:rFonts w:ascii="方正仿宋_GB2312" w:eastAsia="方正仿宋_GB2312"/>
          <w:color w:val="auto"/>
          <w:sz w:val="30"/>
          <w:szCs w:val="30"/>
          <w:highlight w:val="none"/>
        </w:rPr>
      </w:pPr>
      <w:r>
        <w:rPr>
          <w:rFonts w:hint="eastAsia" w:ascii="方正仿宋_GB2312" w:eastAsia="方正仿宋_GB2312"/>
          <w:color w:val="auto"/>
          <w:sz w:val="30"/>
          <w:szCs w:val="30"/>
          <w:highlight w:val="none"/>
        </w:rPr>
        <w:t xml:space="preserve">签字(签章)：                   公章：                      </w:t>
      </w:r>
    </w:p>
    <w:p w14:paraId="7514C7B1">
      <w:pPr>
        <w:rPr>
          <w:rFonts w:ascii="方正仿宋_GB2312" w:eastAsia="方正仿宋_GB2312"/>
          <w:color w:val="auto"/>
          <w:sz w:val="30"/>
          <w:szCs w:val="30"/>
          <w:highlight w:val="none"/>
        </w:rPr>
      </w:pPr>
      <w:r>
        <w:rPr>
          <w:rFonts w:hint="eastAsia" w:ascii="方正仿宋_GB2312" w:eastAsia="方正仿宋_GB2312"/>
          <w:color w:val="auto"/>
          <w:sz w:val="30"/>
          <w:szCs w:val="30"/>
          <w:highlight w:val="none"/>
        </w:rPr>
        <w:t xml:space="preserve">日期：    </w:t>
      </w:r>
    </w:p>
    <w:p w14:paraId="76DEF358">
      <w:pPr>
        <w:adjustRightInd w:val="0"/>
        <w:snapToGrid w:val="0"/>
        <w:spacing w:line="360" w:lineRule="auto"/>
        <w:rPr>
          <w:rFonts w:ascii="仿宋" w:hAnsi="仿宋" w:eastAsia="仿宋" w:cs="仿宋"/>
          <w:color w:val="auto"/>
          <w:sz w:val="32"/>
          <w:szCs w:val="32"/>
          <w:highlight w:val="none"/>
        </w:rPr>
      </w:pPr>
    </w:p>
    <w:p w14:paraId="79F13DD1">
      <w:pPr>
        <w:adjustRightInd w:val="0"/>
        <w:snapToGrid w:val="0"/>
        <w:spacing w:line="360" w:lineRule="auto"/>
        <w:rPr>
          <w:rFonts w:ascii="仿宋" w:hAnsi="仿宋" w:eastAsia="仿宋" w:cs="仿宋"/>
          <w:color w:val="auto"/>
          <w:sz w:val="32"/>
          <w:szCs w:val="32"/>
          <w:highlight w:val="none"/>
        </w:rPr>
      </w:pPr>
    </w:p>
    <w:p w14:paraId="73229C80">
      <w:pPr>
        <w:jc w:val="center"/>
        <w:rPr>
          <w:rFonts w:ascii="仿宋" w:hAnsi="仿宋" w:eastAsia="仿宋" w:cs="仿宋"/>
          <w:b/>
          <w:bCs/>
          <w:color w:val="auto"/>
          <w:sz w:val="32"/>
          <w:szCs w:val="32"/>
          <w:highlight w:val="none"/>
        </w:rPr>
      </w:pPr>
    </w:p>
    <w:p w14:paraId="3913235C">
      <w:pPr>
        <w:jc w:val="center"/>
        <w:rPr>
          <w:rFonts w:ascii="仿宋" w:hAnsi="仿宋" w:eastAsia="仿宋" w:cs="仿宋"/>
          <w:b/>
          <w:bCs/>
          <w:color w:val="auto"/>
          <w:sz w:val="32"/>
          <w:szCs w:val="32"/>
          <w:highlight w:val="none"/>
        </w:rPr>
      </w:pPr>
    </w:p>
    <w:p w14:paraId="2120E600">
      <w:pPr>
        <w:jc w:val="center"/>
        <w:rPr>
          <w:rFonts w:ascii="仿宋" w:hAnsi="仿宋" w:eastAsia="仿宋" w:cs="仿宋"/>
          <w:b/>
          <w:bCs/>
          <w:color w:val="auto"/>
          <w:sz w:val="32"/>
          <w:szCs w:val="32"/>
          <w:highlight w:val="none"/>
        </w:rPr>
      </w:pPr>
    </w:p>
    <w:p w14:paraId="3934E034">
      <w:pPr>
        <w:jc w:val="center"/>
        <w:rPr>
          <w:rFonts w:ascii="仿宋" w:hAnsi="仿宋" w:eastAsia="仿宋" w:cs="仿宋"/>
          <w:b/>
          <w:bCs/>
          <w:color w:val="auto"/>
          <w:sz w:val="32"/>
          <w:szCs w:val="32"/>
          <w:highlight w:val="none"/>
        </w:rPr>
      </w:pPr>
    </w:p>
    <w:p w14:paraId="2AF27137">
      <w:pPr>
        <w:jc w:val="center"/>
        <w:rPr>
          <w:rFonts w:ascii="仿宋" w:hAnsi="仿宋" w:eastAsia="仿宋" w:cs="仿宋"/>
          <w:b/>
          <w:bCs/>
          <w:color w:val="auto"/>
          <w:sz w:val="32"/>
          <w:szCs w:val="32"/>
          <w:highlight w:val="none"/>
        </w:rPr>
      </w:pPr>
    </w:p>
    <w:p w14:paraId="249EB8E4">
      <w:pPr>
        <w:jc w:val="center"/>
        <w:rPr>
          <w:rFonts w:ascii="仿宋" w:hAnsi="仿宋" w:eastAsia="仿宋" w:cs="仿宋"/>
          <w:b/>
          <w:bCs/>
          <w:color w:val="auto"/>
          <w:sz w:val="32"/>
          <w:szCs w:val="32"/>
          <w:highlight w:val="none"/>
        </w:rPr>
      </w:pPr>
    </w:p>
    <w:p w14:paraId="68D25A1F">
      <w:pPr>
        <w:jc w:val="center"/>
        <w:rPr>
          <w:rFonts w:ascii="仿宋" w:hAnsi="仿宋" w:eastAsia="仿宋" w:cs="仿宋"/>
          <w:b/>
          <w:bCs/>
          <w:color w:val="auto"/>
          <w:sz w:val="32"/>
          <w:szCs w:val="32"/>
          <w:highlight w:val="none"/>
        </w:rPr>
      </w:pPr>
    </w:p>
    <w:p w14:paraId="1464B78B">
      <w:pPr>
        <w:rPr>
          <w:rFonts w:ascii="黑体" w:hAnsi="黑体" w:eastAsia="黑体"/>
          <w:b/>
          <w:color w:val="auto"/>
          <w:sz w:val="32"/>
          <w:szCs w:val="32"/>
          <w:highlight w:val="none"/>
        </w:rPr>
      </w:pPr>
    </w:p>
    <w:p w14:paraId="6B90340F">
      <w:pPr>
        <w:rPr>
          <w:rFonts w:ascii="黑体" w:hAnsi="黑体" w:eastAsia="黑体"/>
          <w:b/>
          <w:color w:val="auto"/>
          <w:sz w:val="32"/>
          <w:szCs w:val="32"/>
          <w:highlight w:val="none"/>
        </w:rPr>
      </w:pPr>
    </w:p>
    <w:p w14:paraId="4CA4212C">
      <w:pPr>
        <w:rPr>
          <w:rFonts w:ascii="黑体" w:hAnsi="黑体" w:eastAsia="黑体"/>
          <w:b/>
          <w:color w:val="auto"/>
          <w:sz w:val="32"/>
          <w:szCs w:val="32"/>
          <w:highlight w:val="none"/>
        </w:rPr>
      </w:pPr>
    </w:p>
    <w:p w14:paraId="50EFF0EA">
      <w:pPr>
        <w:rPr>
          <w:rFonts w:ascii="黑体" w:hAnsi="黑体" w:eastAsia="黑体"/>
          <w:b/>
          <w:color w:val="auto"/>
          <w:sz w:val="32"/>
          <w:szCs w:val="32"/>
          <w:highlight w:val="none"/>
        </w:rPr>
      </w:pPr>
    </w:p>
    <w:p w14:paraId="17A76B5B">
      <w:pPr>
        <w:rPr>
          <w:rFonts w:ascii="黑体" w:hAnsi="黑体" w:eastAsia="黑体"/>
          <w:b/>
          <w:color w:val="auto"/>
          <w:sz w:val="32"/>
          <w:szCs w:val="32"/>
          <w:highlight w:val="none"/>
        </w:rPr>
      </w:pPr>
    </w:p>
    <w:p w14:paraId="4C2E4AF6">
      <w:pPr>
        <w:rPr>
          <w:rFonts w:ascii="黑体" w:hAnsi="黑体" w:eastAsia="黑体"/>
          <w:b/>
          <w:color w:val="auto"/>
          <w:sz w:val="32"/>
          <w:szCs w:val="32"/>
          <w:highlight w:val="none"/>
        </w:rPr>
      </w:pPr>
    </w:p>
    <w:p w14:paraId="2061895C">
      <w:pPr>
        <w:rPr>
          <w:rFonts w:ascii="黑体" w:hAnsi="黑体" w:eastAsia="黑体"/>
          <w:b/>
          <w:color w:val="auto"/>
          <w:sz w:val="32"/>
          <w:szCs w:val="32"/>
          <w:highlight w:val="none"/>
        </w:rPr>
      </w:pPr>
    </w:p>
    <w:p w14:paraId="2B875714">
      <w:pPr>
        <w:rPr>
          <w:rFonts w:ascii="黑体" w:hAnsi="黑体" w:eastAsia="黑体"/>
          <w:b/>
          <w:color w:val="auto"/>
          <w:sz w:val="32"/>
          <w:szCs w:val="32"/>
          <w:highlight w:val="none"/>
        </w:rPr>
      </w:pPr>
    </w:p>
    <w:p w14:paraId="44F25FDE">
      <w:pPr>
        <w:rPr>
          <w:rFonts w:ascii="黑体" w:hAnsi="黑体" w:eastAsia="黑体"/>
          <w:b/>
          <w:color w:val="auto"/>
          <w:sz w:val="32"/>
          <w:szCs w:val="32"/>
          <w:highlight w:val="none"/>
        </w:rPr>
      </w:pPr>
    </w:p>
    <w:p w14:paraId="34C12625">
      <w:pPr>
        <w:rPr>
          <w:rFonts w:ascii="黑体" w:hAnsi="黑体" w:eastAsia="黑体"/>
          <w:b/>
          <w:color w:val="auto"/>
          <w:sz w:val="32"/>
          <w:szCs w:val="32"/>
          <w:highlight w:val="none"/>
        </w:rPr>
      </w:pPr>
      <w:r>
        <w:rPr>
          <w:rFonts w:hint="eastAsia" w:ascii="黑体" w:hAnsi="黑体" w:eastAsia="黑体"/>
          <w:b/>
          <w:color w:val="auto"/>
          <w:sz w:val="32"/>
          <w:szCs w:val="32"/>
          <w:highlight w:val="none"/>
        </w:rPr>
        <w:t>质疑函制作说明：</w:t>
      </w:r>
    </w:p>
    <w:p w14:paraId="10E212F2">
      <w:pPr>
        <w:widowControl/>
        <w:ind w:firstLine="640" w:firstLineChars="200"/>
        <w:jc w:val="left"/>
        <w:rPr>
          <w:rFonts w:ascii="方正仿宋_GB2312" w:eastAsia="方正仿宋_GB2312"/>
          <w:color w:val="auto"/>
          <w:sz w:val="32"/>
          <w:szCs w:val="32"/>
          <w:highlight w:val="none"/>
        </w:rPr>
      </w:pPr>
      <w:r>
        <w:rPr>
          <w:rFonts w:hint="eastAsia" w:ascii="方正仿宋_GB2312" w:eastAsia="方正仿宋_GB2312"/>
          <w:color w:val="auto"/>
          <w:sz w:val="32"/>
          <w:szCs w:val="32"/>
          <w:highlight w:val="none"/>
        </w:rPr>
        <w:t>1.供应商提出质疑时，应提交质疑函和必要的证明材料。</w:t>
      </w:r>
    </w:p>
    <w:p w14:paraId="45331E1D">
      <w:pPr>
        <w:widowControl/>
        <w:ind w:firstLine="640" w:firstLineChars="200"/>
        <w:jc w:val="left"/>
        <w:rPr>
          <w:rFonts w:ascii="方正仿宋_GB2312" w:eastAsia="方正仿宋_GB2312"/>
          <w:color w:val="auto"/>
          <w:sz w:val="32"/>
          <w:szCs w:val="32"/>
          <w:highlight w:val="none"/>
        </w:rPr>
      </w:pPr>
      <w:r>
        <w:rPr>
          <w:rFonts w:hint="eastAsia" w:ascii="方正仿宋_GB2312" w:eastAsia="方正仿宋_GB2312"/>
          <w:color w:val="auto"/>
          <w:sz w:val="32"/>
          <w:szCs w:val="32"/>
          <w:highlight w:val="none"/>
        </w:rPr>
        <w:t>2.质疑供应商若委托代理人进行质疑的，质疑函应按要求列明“授权代表”的有关内容，并在附件中提交由质疑</w:t>
      </w:r>
      <w:r>
        <w:rPr>
          <w:rFonts w:hint="eastAsia" w:ascii="方正仿宋_GB2312" w:hAnsi="宋体" w:eastAsia="方正仿宋_GB2312" w:cs="宋体"/>
          <w:color w:val="auto"/>
          <w:kern w:val="0"/>
          <w:sz w:val="32"/>
          <w:szCs w:val="32"/>
          <w:highlight w:val="none"/>
        </w:rPr>
        <w:t>供应商签署的授权委托书。授权委托书应载明代理人的姓名或者名称、代理事项、具体权限、期限和相关事项。</w:t>
      </w:r>
    </w:p>
    <w:p w14:paraId="4D6D8382">
      <w:pPr>
        <w:widowControl/>
        <w:ind w:firstLine="640" w:firstLineChars="200"/>
        <w:jc w:val="left"/>
        <w:rPr>
          <w:rFonts w:ascii="方正仿宋_GB2312" w:eastAsia="方正仿宋_GB2312"/>
          <w:color w:val="auto"/>
          <w:sz w:val="32"/>
          <w:szCs w:val="32"/>
          <w:highlight w:val="none"/>
        </w:rPr>
      </w:pPr>
      <w:r>
        <w:rPr>
          <w:rFonts w:hint="eastAsia" w:ascii="方正仿宋_GB2312" w:eastAsia="方正仿宋_GB2312"/>
          <w:color w:val="auto"/>
          <w:sz w:val="32"/>
          <w:szCs w:val="32"/>
          <w:highlight w:val="none"/>
        </w:rPr>
        <w:t>3.质疑供应商若对项目的某一分包进行质疑，质疑函中应列明具体分包号。</w:t>
      </w:r>
    </w:p>
    <w:p w14:paraId="016E7C8F">
      <w:pPr>
        <w:widowControl/>
        <w:ind w:firstLine="640" w:firstLineChars="200"/>
        <w:jc w:val="left"/>
        <w:rPr>
          <w:rFonts w:ascii="方正仿宋_GB2312" w:eastAsia="方正仿宋_GB2312"/>
          <w:color w:val="auto"/>
          <w:sz w:val="32"/>
          <w:szCs w:val="32"/>
          <w:highlight w:val="none"/>
        </w:rPr>
      </w:pPr>
      <w:r>
        <w:rPr>
          <w:rFonts w:hint="eastAsia" w:ascii="方正仿宋_GB2312" w:eastAsia="方正仿宋_GB2312"/>
          <w:color w:val="auto"/>
          <w:sz w:val="32"/>
          <w:szCs w:val="32"/>
          <w:highlight w:val="none"/>
        </w:rPr>
        <w:t>4.质疑函的质疑事项应具体、明确，并有必要的事实依据和法律依据。</w:t>
      </w:r>
    </w:p>
    <w:p w14:paraId="24B34F2F">
      <w:pPr>
        <w:widowControl/>
        <w:ind w:firstLine="640" w:firstLineChars="200"/>
        <w:jc w:val="left"/>
        <w:rPr>
          <w:rFonts w:ascii="方正仿宋_GB2312" w:eastAsia="方正仿宋_GB2312"/>
          <w:color w:val="auto"/>
          <w:sz w:val="32"/>
          <w:szCs w:val="32"/>
          <w:highlight w:val="none"/>
        </w:rPr>
      </w:pPr>
      <w:r>
        <w:rPr>
          <w:rFonts w:hint="eastAsia" w:ascii="方正仿宋_GB2312" w:eastAsia="方正仿宋_GB2312"/>
          <w:color w:val="auto"/>
          <w:sz w:val="32"/>
          <w:szCs w:val="32"/>
          <w:highlight w:val="none"/>
        </w:rPr>
        <w:t>5.质疑函的质疑请求应与质疑事项相关。</w:t>
      </w:r>
    </w:p>
    <w:p w14:paraId="5835741C">
      <w:pPr>
        <w:widowControl/>
        <w:ind w:firstLine="640" w:firstLineChars="200"/>
        <w:jc w:val="left"/>
        <w:rPr>
          <w:rFonts w:ascii="方正仿宋_GB2312" w:eastAsia="方正仿宋_GB2312"/>
          <w:color w:val="auto"/>
          <w:sz w:val="32"/>
          <w:szCs w:val="32"/>
          <w:highlight w:val="none"/>
        </w:rPr>
      </w:pPr>
      <w:r>
        <w:rPr>
          <w:rFonts w:hint="eastAsia" w:ascii="方正仿宋_GB2312" w:eastAsia="方正仿宋_GB2312"/>
          <w:color w:val="auto"/>
          <w:sz w:val="32"/>
          <w:szCs w:val="32"/>
          <w:highlight w:val="none"/>
        </w:rPr>
        <w:t>6.质疑供应商为自然人的，质疑函应由本人签字；质疑供应商为法人或者其他组织的，质疑函应由法定代表人、主要负责人，或者其授权代表签字或者盖章，并加盖公章。</w:t>
      </w:r>
    </w:p>
    <w:p w14:paraId="781DC8DE">
      <w:pPr>
        <w:widowControl/>
        <w:ind w:firstLine="600" w:firstLineChars="200"/>
        <w:jc w:val="left"/>
        <w:rPr>
          <w:rFonts w:ascii="方正仿宋_GB2312" w:eastAsia="方正仿宋_GB2312"/>
          <w:color w:val="auto"/>
          <w:sz w:val="30"/>
          <w:szCs w:val="30"/>
          <w:highlight w:val="none"/>
        </w:rPr>
      </w:pPr>
    </w:p>
    <w:p w14:paraId="4AC1B2FB">
      <w:pPr>
        <w:widowControl/>
        <w:spacing w:line="360" w:lineRule="auto"/>
        <w:jc w:val="left"/>
        <w:rPr>
          <w:rFonts w:ascii="微软雅黑" w:hAnsi="微软雅黑" w:cs="宋体"/>
          <w:color w:val="auto"/>
          <w:kern w:val="0"/>
          <w:sz w:val="24"/>
          <w:highlight w:val="none"/>
        </w:rPr>
        <w:sectPr>
          <w:pgSz w:w="11906" w:h="16838"/>
          <w:pgMar w:top="1134" w:right="1134" w:bottom="1134" w:left="1134" w:header="720" w:footer="720" w:gutter="0"/>
          <w:pgNumType w:fmt="decimal"/>
          <w:cols w:space="720" w:num="1"/>
          <w:docGrid w:type="lines" w:linePitch="331" w:charSpace="0"/>
        </w:sectPr>
      </w:pPr>
    </w:p>
    <w:p w14:paraId="55CA4B6A">
      <w:pPr>
        <w:pStyle w:val="9"/>
        <w:jc w:val="center"/>
        <w:rPr>
          <w:rFonts w:ascii="宋体" w:hAnsi="宋体"/>
          <w:b w:val="0"/>
          <w:bCs w:val="0"/>
          <w:color w:val="auto"/>
          <w:highlight w:val="none"/>
        </w:rPr>
      </w:pPr>
      <w:bookmarkStart w:id="348" w:name="_Toc187761580"/>
      <w:r>
        <w:rPr>
          <w:rFonts w:hint="eastAsia" w:ascii="宋体" w:hAnsi="宋体"/>
          <w:b w:val="0"/>
          <w:bCs w:val="0"/>
          <w:color w:val="auto"/>
          <w:highlight w:val="none"/>
        </w:rPr>
        <w:t>第二节 投诉书（格式）</w:t>
      </w:r>
      <w:bookmarkEnd w:id="348"/>
    </w:p>
    <w:p w14:paraId="41FED60E">
      <w:pPr>
        <w:jc w:val="center"/>
        <w:rPr>
          <w:rFonts w:ascii="宋体" w:hAnsi="宋体"/>
          <w:b/>
          <w:color w:val="auto"/>
          <w:sz w:val="44"/>
          <w:szCs w:val="44"/>
          <w:highlight w:val="none"/>
        </w:rPr>
      </w:pPr>
      <w:r>
        <w:rPr>
          <w:rFonts w:hint="eastAsia" w:ascii="宋体" w:hAnsi="宋体"/>
          <w:b/>
          <w:color w:val="auto"/>
          <w:sz w:val="44"/>
          <w:szCs w:val="44"/>
          <w:highlight w:val="none"/>
        </w:rPr>
        <w:t>投诉书范本</w:t>
      </w:r>
    </w:p>
    <w:p w14:paraId="52B409F9">
      <w:pPr>
        <w:rPr>
          <w:rFonts w:ascii="黑体" w:hAnsi="黑体" w:eastAsia="黑体"/>
          <w:color w:val="auto"/>
          <w:sz w:val="32"/>
          <w:szCs w:val="32"/>
          <w:highlight w:val="none"/>
        </w:rPr>
      </w:pPr>
      <w:r>
        <w:rPr>
          <w:rFonts w:hint="eastAsia" w:ascii="黑体" w:hAnsi="黑体" w:eastAsia="黑体"/>
          <w:color w:val="auto"/>
          <w:sz w:val="32"/>
          <w:szCs w:val="32"/>
          <w:highlight w:val="none"/>
        </w:rPr>
        <w:t>一、投诉相关主体基本情况</w:t>
      </w:r>
    </w:p>
    <w:p w14:paraId="63D9A536">
      <w:pPr>
        <w:rPr>
          <w:rFonts w:ascii="方正仿宋_GB2312" w:eastAsia="方正仿宋_GB2312"/>
          <w:color w:val="auto"/>
          <w:sz w:val="32"/>
          <w:szCs w:val="32"/>
          <w:highlight w:val="none"/>
          <w:u w:val="dotted"/>
        </w:rPr>
      </w:pPr>
      <w:r>
        <w:rPr>
          <w:rFonts w:hint="eastAsia" w:ascii="方正仿宋_GB2312" w:eastAsia="方正仿宋_GB2312"/>
          <w:color w:val="auto"/>
          <w:sz w:val="32"/>
          <w:szCs w:val="32"/>
          <w:highlight w:val="none"/>
        </w:rPr>
        <w:t>投诉人：</w:t>
      </w:r>
    </w:p>
    <w:p w14:paraId="2CF2A42D">
      <w:pPr>
        <w:rPr>
          <w:rFonts w:ascii="方正仿宋_GB2312" w:eastAsia="方正仿宋_GB2312"/>
          <w:color w:val="auto"/>
          <w:sz w:val="32"/>
          <w:szCs w:val="32"/>
          <w:highlight w:val="none"/>
          <w:u w:val="single"/>
        </w:rPr>
      </w:pPr>
      <w:r>
        <w:rPr>
          <w:rFonts w:hint="eastAsia" w:ascii="方正仿宋_GB2312" w:eastAsia="方正仿宋_GB2312"/>
          <w:color w:val="auto"/>
          <w:sz w:val="32"/>
          <w:szCs w:val="32"/>
          <w:highlight w:val="none"/>
        </w:rPr>
        <w:t>地     址：邮编：</w:t>
      </w:r>
    </w:p>
    <w:p w14:paraId="6C546915">
      <w:pPr>
        <w:tabs>
          <w:tab w:val="left" w:pos="6510"/>
        </w:tabs>
        <w:jc w:val="left"/>
        <w:rPr>
          <w:rFonts w:ascii="方正仿宋_GB2312" w:eastAsia="方正仿宋_GB2312"/>
          <w:color w:val="auto"/>
          <w:sz w:val="32"/>
          <w:szCs w:val="32"/>
          <w:highlight w:val="none"/>
        </w:rPr>
      </w:pPr>
      <w:r>
        <w:rPr>
          <w:rFonts w:hint="eastAsia" w:ascii="方正仿宋_GB2312" w:eastAsia="方正仿宋_GB2312"/>
          <w:color w:val="auto"/>
          <w:sz w:val="32"/>
          <w:szCs w:val="32"/>
          <w:highlight w:val="none"/>
        </w:rPr>
        <w:t>法定代表人/主要负责人：</w:t>
      </w:r>
    </w:p>
    <w:p w14:paraId="7398100C">
      <w:pPr>
        <w:tabs>
          <w:tab w:val="left" w:pos="6510"/>
        </w:tabs>
        <w:rPr>
          <w:rFonts w:ascii="方正仿宋_GB2312" w:eastAsia="方正仿宋_GB2312"/>
          <w:color w:val="auto"/>
          <w:sz w:val="32"/>
          <w:szCs w:val="32"/>
          <w:highlight w:val="none"/>
          <w:u w:val="dotted"/>
        </w:rPr>
      </w:pPr>
      <w:r>
        <w:rPr>
          <w:rFonts w:hint="eastAsia" w:ascii="方正仿宋_GB2312" w:eastAsia="方正仿宋_GB2312"/>
          <w:color w:val="auto"/>
          <w:sz w:val="32"/>
          <w:szCs w:val="32"/>
          <w:highlight w:val="none"/>
        </w:rPr>
        <w:t>联系电话：</w:t>
      </w:r>
    </w:p>
    <w:p w14:paraId="5CB7944F">
      <w:pPr>
        <w:rPr>
          <w:rFonts w:ascii="方正仿宋_GB2312" w:eastAsia="方正仿宋_GB2312"/>
          <w:color w:val="auto"/>
          <w:sz w:val="32"/>
          <w:szCs w:val="32"/>
          <w:highlight w:val="none"/>
          <w:u w:val="dotted"/>
        </w:rPr>
      </w:pPr>
      <w:r>
        <w:rPr>
          <w:rFonts w:hint="eastAsia" w:ascii="方正仿宋_GB2312" w:eastAsia="方正仿宋_GB2312"/>
          <w:color w:val="auto"/>
          <w:sz w:val="32"/>
          <w:szCs w:val="32"/>
          <w:highlight w:val="none"/>
        </w:rPr>
        <w:t>授权代表：联系电话</w:t>
      </w:r>
      <w:r>
        <w:rPr>
          <w:rFonts w:hint="eastAsia" w:ascii="方正仿宋_GB2312" w:eastAsia="方正仿宋_GB2312"/>
          <w:color w:val="auto"/>
          <w:sz w:val="32"/>
          <w:szCs w:val="32"/>
          <w:highlight w:val="none"/>
          <w:u w:val="dotted"/>
        </w:rPr>
        <w:t xml:space="preserve">：                  </w:t>
      </w:r>
    </w:p>
    <w:p w14:paraId="72EEDC54">
      <w:pPr>
        <w:rPr>
          <w:rFonts w:ascii="方正仿宋_GB2312" w:eastAsia="方正仿宋_GB2312"/>
          <w:color w:val="auto"/>
          <w:sz w:val="32"/>
          <w:szCs w:val="32"/>
          <w:highlight w:val="none"/>
          <w:u w:val="dotted"/>
        </w:rPr>
      </w:pPr>
      <w:r>
        <w:rPr>
          <w:rFonts w:hint="eastAsia" w:ascii="方正仿宋_GB2312" w:eastAsia="方正仿宋_GB2312"/>
          <w:color w:val="auto"/>
          <w:sz w:val="32"/>
          <w:szCs w:val="32"/>
          <w:highlight w:val="none"/>
        </w:rPr>
        <w:t>地     址：邮编：</w:t>
      </w:r>
    </w:p>
    <w:p w14:paraId="4AF2ECA4">
      <w:pPr>
        <w:rPr>
          <w:rFonts w:ascii="方正仿宋_GB2312" w:eastAsia="方正仿宋_GB2312"/>
          <w:color w:val="auto"/>
          <w:sz w:val="32"/>
          <w:szCs w:val="32"/>
          <w:highlight w:val="none"/>
          <w:u w:val="single"/>
        </w:rPr>
      </w:pPr>
      <w:r>
        <w:rPr>
          <w:rFonts w:hint="eastAsia" w:ascii="方正仿宋_GB2312" w:eastAsia="方正仿宋_GB2312"/>
          <w:color w:val="auto"/>
          <w:sz w:val="32"/>
          <w:szCs w:val="32"/>
          <w:highlight w:val="none"/>
        </w:rPr>
        <w:t>被投诉人1：</w:t>
      </w:r>
    </w:p>
    <w:p w14:paraId="6C6CBDC7">
      <w:pPr>
        <w:rPr>
          <w:rFonts w:ascii="方正仿宋_GB2312" w:eastAsia="方正仿宋_GB2312"/>
          <w:color w:val="auto"/>
          <w:sz w:val="32"/>
          <w:szCs w:val="32"/>
          <w:highlight w:val="none"/>
          <w:u w:val="single"/>
        </w:rPr>
      </w:pPr>
      <w:r>
        <w:rPr>
          <w:rFonts w:hint="eastAsia" w:ascii="方正仿宋_GB2312" w:eastAsia="方正仿宋_GB2312"/>
          <w:color w:val="auto"/>
          <w:sz w:val="32"/>
          <w:szCs w:val="32"/>
          <w:highlight w:val="none"/>
        </w:rPr>
        <w:t>地     址：邮编：</w:t>
      </w:r>
    </w:p>
    <w:p w14:paraId="42E1F48F">
      <w:pPr>
        <w:rPr>
          <w:rFonts w:ascii="方正仿宋_GB2312" w:eastAsia="方正仿宋_GB2312"/>
          <w:color w:val="auto"/>
          <w:sz w:val="32"/>
          <w:szCs w:val="32"/>
          <w:highlight w:val="none"/>
          <w:u w:val="single"/>
        </w:rPr>
      </w:pPr>
      <w:r>
        <w:rPr>
          <w:rFonts w:hint="eastAsia" w:ascii="方正仿宋_GB2312" w:eastAsia="方正仿宋_GB2312"/>
          <w:color w:val="auto"/>
          <w:sz w:val="32"/>
          <w:szCs w:val="32"/>
          <w:highlight w:val="none"/>
        </w:rPr>
        <w:t>联系人：联系电话：</w:t>
      </w:r>
    </w:p>
    <w:p w14:paraId="1B71188A">
      <w:pPr>
        <w:rPr>
          <w:rFonts w:ascii="方正仿宋_GB2312" w:eastAsia="方正仿宋_GB2312"/>
          <w:color w:val="auto"/>
          <w:sz w:val="32"/>
          <w:szCs w:val="32"/>
          <w:highlight w:val="none"/>
        </w:rPr>
      </w:pPr>
      <w:r>
        <w:rPr>
          <w:rFonts w:hint="eastAsia" w:ascii="方正仿宋_GB2312" w:eastAsia="方正仿宋_GB2312"/>
          <w:color w:val="auto"/>
          <w:sz w:val="32"/>
          <w:szCs w:val="32"/>
          <w:highlight w:val="none"/>
        </w:rPr>
        <w:t>被投诉人2</w:t>
      </w:r>
    </w:p>
    <w:p w14:paraId="07F1A166">
      <w:pPr>
        <w:rPr>
          <w:rFonts w:ascii="方正仿宋_GB2312" w:eastAsia="方正仿宋_GB2312"/>
          <w:color w:val="auto"/>
          <w:sz w:val="32"/>
          <w:szCs w:val="32"/>
          <w:highlight w:val="none"/>
          <w:u w:val="dotted"/>
        </w:rPr>
      </w:pPr>
      <w:r>
        <w:rPr>
          <w:rFonts w:hint="eastAsia" w:ascii="方正仿宋_GB2312" w:eastAsia="方正仿宋_GB2312"/>
          <w:color w:val="auto"/>
          <w:sz w:val="32"/>
          <w:szCs w:val="32"/>
          <w:highlight w:val="none"/>
        </w:rPr>
        <w:t>……</w:t>
      </w:r>
    </w:p>
    <w:p w14:paraId="040B7287">
      <w:pPr>
        <w:rPr>
          <w:rFonts w:ascii="方正仿宋_GB2312" w:eastAsia="方正仿宋_GB2312"/>
          <w:color w:val="auto"/>
          <w:sz w:val="32"/>
          <w:szCs w:val="32"/>
          <w:highlight w:val="none"/>
          <w:u w:val="single"/>
        </w:rPr>
      </w:pPr>
      <w:r>
        <w:rPr>
          <w:rFonts w:hint="eastAsia" w:ascii="方正仿宋_GB2312" w:eastAsia="方正仿宋_GB2312"/>
          <w:color w:val="auto"/>
          <w:sz w:val="32"/>
          <w:szCs w:val="32"/>
          <w:highlight w:val="none"/>
        </w:rPr>
        <w:t>相关供应商：</w:t>
      </w:r>
    </w:p>
    <w:p w14:paraId="1B1DD962">
      <w:pPr>
        <w:rPr>
          <w:rFonts w:ascii="方正仿宋_GB2312" w:eastAsia="方正仿宋_GB2312"/>
          <w:color w:val="auto"/>
          <w:sz w:val="32"/>
          <w:szCs w:val="32"/>
          <w:highlight w:val="none"/>
          <w:u w:val="single"/>
        </w:rPr>
      </w:pPr>
      <w:r>
        <w:rPr>
          <w:rFonts w:hint="eastAsia" w:ascii="方正仿宋_GB2312" w:eastAsia="方正仿宋_GB2312"/>
          <w:color w:val="auto"/>
          <w:sz w:val="32"/>
          <w:szCs w:val="32"/>
          <w:highlight w:val="none"/>
        </w:rPr>
        <w:t>地     址：邮编：</w:t>
      </w:r>
    </w:p>
    <w:p w14:paraId="1699FC4B">
      <w:pPr>
        <w:rPr>
          <w:rFonts w:ascii="方正仿宋_GB2312" w:eastAsia="方正仿宋_GB2312"/>
          <w:color w:val="auto"/>
          <w:sz w:val="32"/>
          <w:szCs w:val="32"/>
          <w:highlight w:val="none"/>
          <w:u w:val="single"/>
        </w:rPr>
      </w:pPr>
      <w:r>
        <w:rPr>
          <w:rFonts w:hint="eastAsia" w:ascii="方正仿宋_GB2312" w:eastAsia="方正仿宋_GB2312"/>
          <w:color w:val="auto"/>
          <w:sz w:val="32"/>
          <w:szCs w:val="32"/>
          <w:highlight w:val="none"/>
        </w:rPr>
        <w:t>联系人：联系电话：</w:t>
      </w:r>
    </w:p>
    <w:p w14:paraId="76B6F4A5">
      <w:pPr>
        <w:rPr>
          <w:rFonts w:ascii="黑体" w:hAnsi="黑体" w:eastAsia="黑体"/>
          <w:color w:val="auto"/>
          <w:sz w:val="32"/>
          <w:szCs w:val="32"/>
          <w:highlight w:val="none"/>
        </w:rPr>
      </w:pPr>
      <w:r>
        <w:rPr>
          <w:rFonts w:hint="eastAsia" w:ascii="黑体" w:hAnsi="黑体" w:eastAsia="黑体"/>
          <w:color w:val="auto"/>
          <w:sz w:val="32"/>
          <w:szCs w:val="32"/>
          <w:highlight w:val="none"/>
        </w:rPr>
        <w:t>二、投诉项目基本情况</w:t>
      </w:r>
    </w:p>
    <w:p w14:paraId="02499DEB">
      <w:pPr>
        <w:rPr>
          <w:rFonts w:ascii="方正仿宋_GB2312" w:eastAsia="方正仿宋_GB2312"/>
          <w:color w:val="auto"/>
          <w:sz w:val="32"/>
          <w:szCs w:val="32"/>
          <w:highlight w:val="none"/>
          <w:u w:val="dotted"/>
        </w:rPr>
      </w:pPr>
      <w:r>
        <w:rPr>
          <w:rFonts w:hint="eastAsia" w:ascii="方正仿宋_GB2312" w:eastAsia="方正仿宋_GB2312"/>
          <w:color w:val="auto"/>
          <w:sz w:val="32"/>
          <w:szCs w:val="32"/>
          <w:highlight w:val="none"/>
        </w:rPr>
        <w:t>采购项目名称：</w:t>
      </w:r>
      <w:bookmarkStart w:id="349" w:name="PO_3000001866_PM002_18"/>
      <w:r>
        <w:rPr>
          <w:rFonts w:hint="eastAsia" w:ascii="方正仿宋_GB2312" w:eastAsia="方正仿宋_GB2312"/>
          <w:color w:val="auto"/>
          <w:sz w:val="32"/>
          <w:szCs w:val="32"/>
          <w:highlight w:val="none"/>
          <w:u w:val="dotted"/>
        </w:rPr>
        <w:t>[项目采购-项目名称]</w:t>
      </w:r>
      <w:bookmarkEnd w:id="349"/>
    </w:p>
    <w:p w14:paraId="4C7316E4">
      <w:pPr>
        <w:rPr>
          <w:rFonts w:ascii="方正仿宋_GB2312" w:eastAsia="方正仿宋_GB2312"/>
          <w:color w:val="auto"/>
          <w:sz w:val="32"/>
          <w:szCs w:val="32"/>
          <w:highlight w:val="none"/>
          <w:u w:val="single"/>
        </w:rPr>
      </w:pPr>
      <w:r>
        <w:rPr>
          <w:rFonts w:hint="eastAsia" w:ascii="方正仿宋_GB2312" w:eastAsia="方正仿宋_GB2312"/>
          <w:color w:val="auto"/>
          <w:sz w:val="32"/>
          <w:szCs w:val="32"/>
          <w:highlight w:val="none"/>
        </w:rPr>
        <w:t>采购项目编号：</w:t>
      </w:r>
      <w:bookmarkStart w:id="350" w:name="PO_3000001866_PM001_14"/>
      <w:r>
        <w:rPr>
          <w:rFonts w:hint="eastAsia" w:ascii="方正仿宋_GB2312" w:eastAsia="方正仿宋_GB2312"/>
          <w:color w:val="auto"/>
          <w:sz w:val="32"/>
          <w:szCs w:val="32"/>
          <w:highlight w:val="none"/>
          <w:u w:val="dotted"/>
        </w:rPr>
        <w:t>[项目采购-项目编号]</w:t>
      </w:r>
      <w:bookmarkEnd w:id="350"/>
      <w:r>
        <w:rPr>
          <w:rFonts w:hint="eastAsia" w:ascii="方正仿宋_GB2312" w:eastAsia="方正仿宋_GB2312"/>
          <w:color w:val="auto"/>
          <w:sz w:val="32"/>
          <w:szCs w:val="32"/>
          <w:highlight w:val="none"/>
        </w:rPr>
        <w:t>包号：</w:t>
      </w:r>
    </w:p>
    <w:p w14:paraId="23F271F8">
      <w:pPr>
        <w:rPr>
          <w:rFonts w:ascii="方正仿宋_GB2312" w:eastAsia="方正仿宋_GB2312"/>
          <w:color w:val="auto"/>
          <w:sz w:val="32"/>
          <w:szCs w:val="32"/>
          <w:highlight w:val="none"/>
        </w:rPr>
      </w:pPr>
      <w:r>
        <w:rPr>
          <w:rFonts w:hint="eastAsia" w:ascii="方正仿宋_GB2312" w:eastAsia="方正仿宋_GB2312"/>
          <w:color w:val="auto"/>
          <w:sz w:val="32"/>
          <w:szCs w:val="32"/>
          <w:highlight w:val="none"/>
        </w:rPr>
        <w:t>采购人名称：</w:t>
      </w:r>
      <w:bookmarkStart w:id="351" w:name="PO_3000001866_PM026_4"/>
      <w:r>
        <w:rPr>
          <w:rFonts w:hint="eastAsia" w:ascii="方正仿宋_GB2312" w:eastAsia="方正仿宋_GB2312"/>
          <w:color w:val="auto"/>
          <w:sz w:val="32"/>
          <w:szCs w:val="32"/>
          <w:highlight w:val="none"/>
          <w:u w:val="dotted"/>
        </w:rPr>
        <w:t>[项目采购-采购人]</w:t>
      </w:r>
      <w:bookmarkEnd w:id="351"/>
    </w:p>
    <w:p w14:paraId="2C995C6F">
      <w:pPr>
        <w:rPr>
          <w:rFonts w:ascii="方正仿宋_GB2312" w:eastAsia="方正仿宋_GB2312"/>
          <w:color w:val="auto"/>
          <w:sz w:val="32"/>
          <w:szCs w:val="32"/>
          <w:highlight w:val="none"/>
          <w:u w:val="single"/>
        </w:rPr>
      </w:pPr>
      <w:r>
        <w:rPr>
          <w:rFonts w:hint="eastAsia" w:ascii="方正仿宋_GB2312" w:eastAsia="方正仿宋_GB2312"/>
          <w:color w:val="auto"/>
          <w:sz w:val="32"/>
          <w:szCs w:val="32"/>
          <w:highlight w:val="none"/>
        </w:rPr>
        <w:t>代理机构名称：</w:t>
      </w:r>
    </w:p>
    <w:p w14:paraId="4C386731">
      <w:pPr>
        <w:rPr>
          <w:rFonts w:ascii="方正仿宋_GB2312" w:eastAsia="方正仿宋_GB2312"/>
          <w:color w:val="auto"/>
          <w:sz w:val="32"/>
          <w:szCs w:val="32"/>
          <w:highlight w:val="none"/>
          <w:u w:val="dotted"/>
        </w:rPr>
      </w:pPr>
      <w:r>
        <w:rPr>
          <w:rFonts w:hint="eastAsia" w:ascii="方正仿宋_GB2312" w:eastAsia="方正仿宋_GB2312"/>
          <w:color w:val="auto"/>
          <w:sz w:val="32"/>
          <w:szCs w:val="32"/>
          <w:highlight w:val="none"/>
        </w:rPr>
        <w:t>采购文件公告:</w:t>
      </w:r>
      <w:r>
        <w:rPr>
          <w:rFonts w:hint="eastAsia" w:ascii="方正仿宋_GB2312" w:eastAsia="方正仿宋_GB2312"/>
          <w:color w:val="auto"/>
          <w:sz w:val="32"/>
          <w:szCs w:val="32"/>
          <w:highlight w:val="none"/>
          <w:u w:val="dotted"/>
        </w:rPr>
        <w:t xml:space="preserve">是/否 </w:t>
      </w:r>
      <w:r>
        <w:rPr>
          <w:rFonts w:hint="eastAsia" w:ascii="方正仿宋_GB2312" w:eastAsia="方正仿宋_GB2312"/>
          <w:color w:val="auto"/>
          <w:sz w:val="32"/>
          <w:szCs w:val="32"/>
          <w:highlight w:val="none"/>
        </w:rPr>
        <w:t>公告期限：</w:t>
      </w:r>
    </w:p>
    <w:p w14:paraId="4AB9C4F7">
      <w:pPr>
        <w:rPr>
          <w:rFonts w:ascii="方正仿宋_GB2312" w:eastAsia="方正仿宋_GB2312"/>
          <w:color w:val="auto"/>
          <w:sz w:val="32"/>
          <w:szCs w:val="32"/>
          <w:highlight w:val="none"/>
          <w:u w:val="single"/>
        </w:rPr>
      </w:pPr>
      <w:r>
        <w:rPr>
          <w:rFonts w:hint="eastAsia" w:ascii="方正仿宋_GB2312" w:eastAsia="方正仿宋_GB2312"/>
          <w:color w:val="auto"/>
          <w:sz w:val="32"/>
          <w:szCs w:val="32"/>
          <w:highlight w:val="none"/>
        </w:rPr>
        <w:t>采购结果公告:</w:t>
      </w:r>
      <w:r>
        <w:rPr>
          <w:rFonts w:hint="eastAsia" w:ascii="方正仿宋_GB2312" w:eastAsia="方正仿宋_GB2312"/>
          <w:color w:val="auto"/>
          <w:sz w:val="32"/>
          <w:szCs w:val="32"/>
          <w:highlight w:val="none"/>
          <w:u w:val="dotted"/>
        </w:rPr>
        <w:t xml:space="preserve">是/否 </w:t>
      </w:r>
      <w:r>
        <w:rPr>
          <w:rFonts w:hint="eastAsia" w:ascii="方正仿宋_GB2312" w:eastAsia="方正仿宋_GB2312"/>
          <w:color w:val="auto"/>
          <w:sz w:val="32"/>
          <w:szCs w:val="32"/>
          <w:highlight w:val="none"/>
        </w:rPr>
        <w:t>公告期限：</w:t>
      </w:r>
    </w:p>
    <w:p w14:paraId="1208E0B8">
      <w:pPr>
        <w:rPr>
          <w:rFonts w:ascii="黑体" w:hAnsi="黑体" w:eastAsia="黑体"/>
          <w:color w:val="auto"/>
          <w:sz w:val="32"/>
          <w:szCs w:val="32"/>
          <w:highlight w:val="none"/>
        </w:rPr>
      </w:pPr>
      <w:r>
        <w:rPr>
          <w:rFonts w:hint="eastAsia" w:ascii="黑体" w:hAnsi="黑体" w:eastAsia="黑体"/>
          <w:color w:val="auto"/>
          <w:sz w:val="32"/>
          <w:szCs w:val="32"/>
          <w:highlight w:val="none"/>
        </w:rPr>
        <w:t>三、质疑基本情况</w:t>
      </w:r>
    </w:p>
    <w:p w14:paraId="748467AF">
      <w:pPr>
        <w:ind w:firstLine="640" w:firstLineChars="200"/>
        <w:rPr>
          <w:rFonts w:ascii="方正仿宋_GB2312" w:eastAsia="方正仿宋_GB2312"/>
          <w:color w:val="auto"/>
          <w:sz w:val="32"/>
          <w:szCs w:val="32"/>
          <w:highlight w:val="none"/>
          <w:u w:val="dotted"/>
        </w:rPr>
      </w:pPr>
      <w:r>
        <w:rPr>
          <w:rFonts w:hint="eastAsia" w:ascii="方正仿宋_GB2312" w:eastAsia="方正仿宋_GB2312"/>
          <w:color w:val="auto"/>
          <w:sz w:val="32"/>
          <w:szCs w:val="32"/>
          <w:highlight w:val="none"/>
        </w:rPr>
        <w:t>投诉人于年月日,向提出质疑，质疑事项为：</w:t>
      </w:r>
    </w:p>
    <w:p w14:paraId="7C77BA67">
      <w:pPr>
        <w:rPr>
          <w:rFonts w:ascii="方正仿宋_GB2312" w:eastAsia="方正仿宋_GB2312"/>
          <w:color w:val="auto"/>
          <w:sz w:val="32"/>
          <w:szCs w:val="32"/>
          <w:highlight w:val="none"/>
          <w:u w:val="dotted"/>
        </w:rPr>
      </w:pPr>
    </w:p>
    <w:p w14:paraId="242922FC">
      <w:pPr>
        <w:ind w:firstLine="480" w:firstLineChars="150"/>
        <w:rPr>
          <w:rFonts w:ascii="方正仿宋_GB2312" w:eastAsia="方正仿宋_GB2312"/>
          <w:color w:val="auto"/>
          <w:sz w:val="32"/>
          <w:szCs w:val="32"/>
          <w:highlight w:val="none"/>
        </w:rPr>
      </w:pPr>
      <w:r>
        <w:rPr>
          <w:rFonts w:hint="eastAsia" w:ascii="方正仿宋_GB2312" w:eastAsia="方正仿宋_GB2312"/>
          <w:color w:val="auto"/>
          <w:sz w:val="32"/>
          <w:szCs w:val="32"/>
          <w:highlight w:val="none"/>
          <w:u w:val="dotted"/>
        </w:rPr>
        <w:t>采购人/代理机构</w:t>
      </w:r>
      <w:r>
        <w:rPr>
          <w:rFonts w:hint="eastAsia" w:ascii="方正仿宋_GB2312" w:eastAsia="方正仿宋_GB2312"/>
          <w:color w:val="auto"/>
          <w:sz w:val="32"/>
          <w:szCs w:val="32"/>
          <w:highlight w:val="none"/>
        </w:rPr>
        <w:t>于年月日,就质疑事项作出了答复/没有在法定期限内作出答复。</w:t>
      </w:r>
    </w:p>
    <w:p w14:paraId="25C7E447">
      <w:pPr>
        <w:rPr>
          <w:rFonts w:ascii="黑体" w:hAnsi="黑体" w:eastAsia="黑体"/>
          <w:color w:val="auto"/>
          <w:sz w:val="32"/>
          <w:szCs w:val="32"/>
          <w:highlight w:val="none"/>
        </w:rPr>
      </w:pPr>
      <w:r>
        <w:rPr>
          <w:rFonts w:hint="eastAsia" w:ascii="黑体" w:hAnsi="黑体" w:eastAsia="黑体"/>
          <w:color w:val="auto"/>
          <w:sz w:val="32"/>
          <w:szCs w:val="32"/>
          <w:highlight w:val="none"/>
        </w:rPr>
        <w:t>四、投诉事项具体内容</w:t>
      </w:r>
    </w:p>
    <w:p w14:paraId="651C06E0">
      <w:pPr>
        <w:rPr>
          <w:rFonts w:ascii="方正仿宋_GB2312" w:eastAsia="方正仿宋_GB2312"/>
          <w:color w:val="auto"/>
          <w:sz w:val="32"/>
          <w:szCs w:val="32"/>
          <w:highlight w:val="none"/>
          <w:u w:val="single"/>
        </w:rPr>
      </w:pPr>
      <w:r>
        <w:rPr>
          <w:rFonts w:hint="eastAsia" w:ascii="方正仿宋_GB2312" w:eastAsia="方正仿宋_GB2312"/>
          <w:color w:val="auto"/>
          <w:sz w:val="32"/>
          <w:szCs w:val="32"/>
          <w:highlight w:val="none"/>
        </w:rPr>
        <w:t>投诉事项 1：</w:t>
      </w:r>
    </w:p>
    <w:p w14:paraId="4AE61E51">
      <w:pPr>
        <w:rPr>
          <w:rFonts w:ascii="方正仿宋_GB2312" w:eastAsia="方正仿宋_GB2312"/>
          <w:color w:val="auto"/>
          <w:sz w:val="32"/>
          <w:szCs w:val="32"/>
          <w:highlight w:val="none"/>
        </w:rPr>
      </w:pPr>
      <w:r>
        <w:rPr>
          <w:rFonts w:hint="eastAsia" w:ascii="方正仿宋_GB2312" w:eastAsia="方正仿宋_GB2312"/>
          <w:color w:val="auto"/>
          <w:sz w:val="32"/>
          <w:szCs w:val="32"/>
          <w:highlight w:val="none"/>
        </w:rPr>
        <w:t>事实依据：</w:t>
      </w:r>
    </w:p>
    <w:p w14:paraId="19ABFE04">
      <w:pPr>
        <w:rPr>
          <w:rFonts w:ascii="方正仿宋_GB2312" w:eastAsia="方正仿宋_GB2312"/>
          <w:color w:val="auto"/>
          <w:sz w:val="32"/>
          <w:szCs w:val="32"/>
          <w:highlight w:val="none"/>
          <w:u w:val="dotted"/>
        </w:rPr>
      </w:pPr>
    </w:p>
    <w:p w14:paraId="54EFF7BC">
      <w:pPr>
        <w:rPr>
          <w:rFonts w:ascii="方正仿宋_GB2312" w:eastAsia="方正仿宋_GB2312"/>
          <w:color w:val="auto"/>
          <w:sz w:val="32"/>
          <w:szCs w:val="32"/>
          <w:highlight w:val="none"/>
          <w:u w:val="single"/>
        </w:rPr>
      </w:pPr>
      <w:r>
        <w:rPr>
          <w:rFonts w:hint="eastAsia" w:ascii="方正仿宋_GB2312" w:eastAsia="方正仿宋_GB2312"/>
          <w:color w:val="auto"/>
          <w:sz w:val="32"/>
          <w:szCs w:val="32"/>
          <w:highlight w:val="none"/>
        </w:rPr>
        <w:t>法律依据：</w:t>
      </w:r>
    </w:p>
    <w:p w14:paraId="050CBFEA">
      <w:pPr>
        <w:rPr>
          <w:rFonts w:ascii="方正仿宋_GB2312" w:eastAsia="方正仿宋_GB2312"/>
          <w:color w:val="auto"/>
          <w:sz w:val="32"/>
          <w:szCs w:val="32"/>
          <w:highlight w:val="none"/>
          <w:u w:val="dotted"/>
        </w:rPr>
      </w:pPr>
    </w:p>
    <w:p w14:paraId="105F5E02">
      <w:pPr>
        <w:rPr>
          <w:rFonts w:ascii="方正仿宋_GB2312" w:eastAsia="方正仿宋_GB2312"/>
          <w:color w:val="auto"/>
          <w:sz w:val="32"/>
          <w:szCs w:val="32"/>
          <w:highlight w:val="none"/>
        </w:rPr>
      </w:pPr>
      <w:r>
        <w:rPr>
          <w:rFonts w:hint="eastAsia" w:ascii="方正仿宋_GB2312" w:eastAsia="方正仿宋_GB2312"/>
          <w:color w:val="auto"/>
          <w:sz w:val="32"/>
          <w:szCs w:val="32"/>
          <w:highlight w:val="none"/>
        </w:rPr>
        <w:t>投诉事项2</w:t>
      </w:r>
    </w:p>
    <w:p w14:paraId="61705B37">
      <w:pPr>
        <w:rPr>
          <w:rFonts w:ascii="方正仿宋_GB2312" w:eastAsia="方正仿宋_GB2312"/>
          <w:color w:val="auto"/>
          <w:sz w:val="32"/>
          <w:szCs w:val="32"/>
          <w:highlight w:val="none"/>
          <w:u w:val="dotted"/>
        </w:rPr>
      </w:pPr>
      <w:r>
        <w:rPr>
          <w:rFonts w:hint="eastAsia" w:ascii="方正仿宋_GB2312" w:eastAsia="方正仿宋_GB2312"/>
          <w:color w:val="auto"/>
          <w:sz w:val="32"/>
          <w:szCs w:val="32"/>
          <w:highlight w:val="none"/>
        </w:rPr>
        <w:t>……</w:t>
      </w:r>
    </w:p>
    <w:p w14:paraId="1170570E">
      <w:pPr>
        <w:rPr>
          <w:rFonts w:ascii="黑体" w:hAnsi="黑体" w:eastAsia="黑体"/>
          <w:color w:val="auto"/>
          <w:sz w:val="32"/>
          <w:szCs w:val="32"/>
          <w:highlight w:val="none"/>
        </w:rPr>
      </w:pPr>
      <w:r>
        <w:rPr>
          <w:rFonts w:hint="eastAsia" w:ascii="黑体" w:hAnsi="黑体" w:eastAsia="黑体"/>
          <w:color w:val="auto"/>
          <w:sz w:val="32"/>
          <w:szCs w:val="32"/>
          <w:highlight w:val="none"/>
        </w:rPr>
        <w:t>五、与投诉事项相关的投诉请求</w:t>
      </w:r>
    </w:p>
    <w:p w14:paraId="29ECDC4F">
      <w:pPr>
        <w:rPr>
          <w:rFonts w:ascii="方正仿宋_GB2312" w:eastAsia="方正仿宋_GB2312"/>
          <w:color w:val="auto"/>
          <w:sz w:val="32"/>
          <w:szCs w:val="32"/>
          <w:highlight w:val="none"/>
        </w:rPr>
      </w:pPr>
      <w:r>
        <w:rPr>
          <w:rFonts w:hint="eastAsia" w:ascii="方正仿宋_GB2312" w:eastAsia="方正仿宋_GB2312"/>
          <w:color w:val="auto"/>
          <w:sz w:val="32"/>
          <w:szCs w:val="32"/>
          <w:highlight w:val="none"/>
        </w:rPr>
        <w:t>请求：</w:t>
      </w:r>
    </w:p>
    <w:p w14:paraId="3F0ED69D">
      <w:pPr>
        <w:rPr>
          <w:rFonts w:ascii="方正仿宋_GB2312" w:eastAsia="方正仿宋_GB2312"/>
          <w:color w:val="auto"/>
          <w:sz w:val="32"/>
          <w:szCs w:val="32"/>
          <w:highlight w:val="none"/>
          <w:u w:val="single"/>
        </w:rPr>
      </w:pPr>
    </w:p>
    <w:p w14:paraId="2241C8C2">
      <w:pPr>
        <w:rPr>
          <w:rFonts w:ascii="方正仿宋_GB2312" w:eastAsia="方正仿宋_GB2312"/>
          <w:color w:val="auto"/>
          <w:sz w:val="32"/>
          <w:szCs w:val="32"/>
          <w:highlight w:val="none"/>
        </w:rPr>
      </w:pPr>
      <w:r>
        <w:rPr>
          <w:rFonts w:hint="eastAsia" w:ascii="方正仿宋_GB2312" w:eastAsia="方正仿宋_GB2312"/>
          <w:color w:val="auto"/>
          <w:sz w:val="32"/>
          <w:szCs w:val="32"/>
          <w:highlight w:val="none"/>
        </w:rPr>
        <w:t xml:space="preserve">签字(签章)：                   公章：                      </w:t>
      </w:r>
    </w:p>
    <w:p w14:paraId="0BD15DD8">
      <w:pPr>
        <w:rPr>
          <w:rFonts w:ascii="方正仿宋_GB2312" w:eastAsia="方正仿宋_GB2312"/>
          <w:color w:val="auto"/>
          <w:sz w:val="32"/>
          <w:szCs w:val="32"/>
          <w:highlight w:val="none"/>
        </w:rPr>
      </w:pPr>
      <w:r>
        <w:rPr>
          <w:rFonts w:hint="eastAsia" w:ascii="方正仿宋_GB2312" w:eastAsia="方正仿宋_GB2312"/>
          <w:color w:val="auto"/>
          <w:sz w:val="32"/>
          <w:szCs w:val="32"/>
          <w:highlight w:val="none"/>
        </w:rPr>
        <w:t xml:space="preserve">日期：    </w:t>
      </w:r>
    </w:p>
    <w:p w14:paraId="00F39EF4">
      <w:pPr>
        <w:rPr>
          <w:rFonts w:ascii="黑体" w:hAnsi="黑体" w:eastAsia="黑体"/>
          <w:b/>
          <w:color w:val="auto"/>
          <w:sz w:val="32"/>
          <w:szCs w:val="32"/>
          <w:highlight w:val="none"/>
        </w:rPr>
      </w:pPr>
    </w:p>
    <w:p w14:paraId="79329B28">
      <w:pPr>
        <w:rPr>
          <w:rFonts w:ascii="黑体" w:hAnsi="黑体" w:eastAsia="黑体"/>
          <w:b/>
          <w:color w:val="auto"/>
          <w:sz w:val="32"/>
          <w:szCs w:val="32"/>
          <w:highlight w:val="none"/>
        </w:rPr>
      </w:pPr>
      <w:r>
        <w:rPr>
          <w:rFonts w:hint="eastAsia" w:ascii="黑体" w:hAnsi="黑体" w:eastAsia="黑体"/>
          <w:b/>
          <w:color w:val="auto"/>
          <w:sz w:val="32"/>
          <w:szCs w:val="32"/>
          <w:highlight w:val="none"/>
        </w:rPr>
        <w:t>投诉书制作说明：</w:t>
      </w:r>
    </w:p>
    <w:p w14:paraId="738E2ACC">
      <w:pPr>
        <w:widowControl/>
        <w:ind w:firstLine="640" w:firstLineChars="200"/>
        <w:rPr>
          <w:rFonts w:ascii="方正仿宋_GB2312" w:hAnsi="宋体" w:eastAsia="方正仿宋_GB2312" w:cs="宋体"/>
          <w:color w:val="auto"/>
          <w:kern w:val="0"/>
          <w:sz w:val="32"/>
          <w:szCs w:val="32"/>
          <w:highlight w:val="none"/>
        </w:rPr>
      </w:pPr>
      <w:r>
        <w:rPr>
          <w:rFonts w:hint="eastAsia" w:ascii="方正仿宋_GB2312" w:eastAsia="方正仿宋_GB2312"/>
          <w:color w:val="auto"/>
          <w:sz w:val="32"/>
          <w:szCs w:val="32"/>
          <w:highlight w:val="none"/>
        </w:rPr>
        <w:t>1.投诉人提起投诉时，应当提交投诉书和必要的证明材料，并按照被投诉人和与投诉事项有关的供应商数量提供投诉书副本。</w:t>
      </w:r>
    </w:p>
    <w:p w14:paraId="076D1417">
      <w:pPr>
        <w:widowControl/>
        <w:ind w:firstLine="640" w:firstLineChars="200"/>
        <w:jc w:val="left"/>
        <w:rPr>
          <w:rFonts w:ascii="方正仿宋_GB2312" w:hAnsi="宋体" w:eastAsia="方正仿宋_GB2312" w:cs="宋体"/>
          <w:color w:val="auto"/>
          <w:kern w:val="0"/>
          <w:sz w:val="32"/>
          <w:szCs w:val="32"/>
          <w:highlight w:val="none"/>
        </w:rPr>
      </w:pPr>
      <w:r>
        <w:rPr>
          <w:rFonts w:hint="eastAsia" w:ascii="方正仿宋_GB2312" w:eastAsia="方正仿宋_GB2312"/>
          <w:color w:val="auto"/>
          <w:sz w:val="32"/>
          <w:szCs w:val="32"/>
          <w:highlight w:val="none"/>
        </w:rPr>
        <w:t>2.投诉人若委托代理人进行投诉的，投诉书应按照要求列明“授权代表”的有关内容，并在附件中提交由</w:t>
      </w:r>
      <w:r>
        <w:rPr>
          <w:rFonts w:hint="eastAsia" w:ascii="方正仿宋_GB2312" w:hAnsi="宋体" w:eastAsia="方正仿宋_GB2312" w:cs="宋体"/>
          <w:color w:val="auto"/>
          <w:kern w:val="0"/>
          <w:sz w:val="32"/>
          <w:szCs w:val="32"/>
          <w:highlight w:val="none"/>
        </w:rPr>
        <w:t>投诉人签署的授权委托书。授权委托书应当载明代理人的姓名或者名称、代理事项、具体权限、期限和相关事项。</w:t>
      </w:r>
    </w:p>
    <w:p w14:paraId="5338E6E7">
      <w:pPr>
        <w:widowControl/>
        <w:ind w:firstLine="640" w:firstLineChars="200"/>
        <w:jc w:val="left"/>
        <w:rPr>
          <w:rFonts w:ascii="方正仿宋_GB2312" w:eastAsia="方正仿宋_GB2312"/>
          <w:color w:val="auto"/>
          <w:sz w:val="32"/>
          <w:szCs w:val="32"/>
          <w:highlight w:val="none"/>
        </w:rPr>
      </w:pPr>
      <w:r>
        <w:rPr>
          <w:rFonts w:hint="eastAsia" w:ascii="方正仿宋_GB2312" w:eastAsia="方正仿宋_GB2312"/>
          <w:color w:val="auto"/>
          <w:sz w:val="32"/>
          <w:szCs w:val="32"/>
          <w:highlight w:val="none"/>
        </w:rPr>
        <w:t>3.投诉人若对项目的某一分包进行投诉，投诉书应列明具体分包号。</w:t>
      </w:r>
    </w:p>
    <w:p w14:paraId="3C922A72">
      <w:pPr>
        <w:widowControl/>
        <w:ind w:firstLine="640" w:firstLineChars="200"/>
        <w:jc w:val="left"/>
        <w:rPr>
          <w:rFonts w:ascii="方正仿宋_GB2312" w:eastAsia="方正仿宋_GB2312"/>
          <w:color w:val="auto"/>
          <w:sz w:val="32"/>
          <w:szCs w:val="32"/>
          <w:highlight w:val="none"/>
        </w:rPr>
      </w:pPr>
      <w:r>
        <w:rPr>
          <w:rFonts w:hint="eastAsia" w:ascii="方正仿宋_GB2312" w:eastAsia="方正仿宋_GB2312"/>
          <w:color w:val="auto"/>
          <w:sz w:val="32"/>
          <w:szCs w:val="32"/>
          <w:highlight w:val="none"/>
        </w:rPr>
        <w:t>4.投诉书应简要列明质疑事项，质疑函、质疑答复等作为附件材料提供。</w:t>
      </w:r>
    </w:p>
    <w:p w14:paraId="68EDF315">
      <w:pPr>
        <w:widowControl/>
        <w:ind w:firstLine="640" w:firstLineChars="200"/>
        <w:jc w:val="left"/>
        <w:rPr>
          <w:rFonts w:ascii="方正仿宋_GB2312" w:eastAsia="方正仿宋_GB2312"/>
          <w:color w:val="auto"/>
          <w:sz w:val="32"/>
          <w:szCs w:val="32"/>
          <w:highlight w:val="none"/>
        </w:rPr>
      </w:pPr>
      <w:r>
        <w:rPr>
          <w:rFonts w:hint="eastAsia" w:ascii="方正仿宋_GB2312" w:eastAsia="方正仿宋_GB2312"/>
          <w:color w:val="auto"/>
          <w:sz w:val="32"/>
          <w:szCs w:val="32"/>
          <w:highlight w:val="none"/>
        </w:rPr>
        <w:t>5.投诉书的投诉事项应具体、明确，并有必要的事实依据和法律依据。</w:t>
      </w:r>
    </w:p>
    <w:p w14:paraId="6F425559">
      <w:pPr>
        <w:widowControl/>
        <w:ind w:firstLine="640" w:firstLineChars="200"/>
        <w:jc w:val="left"/>
        <w:rPr>
          <w:rFonts w:ascii="方正仿宋_GB2312" w:eastAsia="方正仿宋_GB2312"/>
          <w:color w:val="auto"/>
          <w:sz w:val="32"/>
          <w:szCs w:val="32"/>
          <w:highlight w:val="none"/>
        </w:rPr>
      </w:pPr>
      <w:r>
        <w:rPr>
          <w:rFonts w:hint="eastAsia" w:ascii="方正仿宋_GB2312" w:eastAsia="方正仿宋_GB2312"/>
          <w:color w:val="auto"/>
          <w:sz w:val="32"/>
          <w:szCs w:val="32"/>
          <w:highlight w:val="none"/>
        </w:rPr>
        <w:t>6.投诉书的投诉请求应与投诉事项相关。</w:t>
      </w:r>
    </w:p>
    <w:p w14:paraId="558786A6">
      <w:pPr>
        <w:widowControl/>
        <w:ind w:firstLine="640" w:firstLineChars="200"/>
        <w:jc w:val="left"/>
        <w:rPr>
          <w:rFonts w:ascii="方正仿宋_GB2312" w:hAnsi="宋体" w:eastAsia="方正仿宋_GB2312" w:cs="宋体"/>
          <w:color w:val="auto"/>
          <w:kern w:val="0"/>
          <w:sz w:val="32"/>
          <w:szCs w:val="32"/>
          <w:highlight w:val="none"/>
        </w:rPr>
      </w:pPr>
      <w:r>
        <w:rPr>
          <w:rFonts w:hint="eastAsia" w:ascii="方正仿宋_GB2312" w:eastAsia="方正仿宋_GB2312"/>
          <w:color w:val="auto"/>
          <w:sz w:val="32"/>
          <w:szCs w:val="32"/>
          <w:highlight w:val="none"/>
        </w:rPr>
        <w:t>7.投诉人为自然人的，投诉书应当由本人签字；投诉人为法人或者其他组织的，投诉书应当由法定代表人、主要负责人，或者其授权代表签字或者盖章，并加盖公章。</w:t>
      </w:r>
    </w:p>
    <w:p w14:paraId="4A2A099B">
      <w:pPr>
        <w:snapToGrid w:val="0"/>
        <w:spacing w:before="50" w:after="165" w:afterLines="50" w:line="360" w:lineRule="auto"/>
        <w:ind w:firstLine="480" w:firstLineChars="200"/>
        <w:jc w:val="left"/>
        <w:rPr>
          <w:color w:val="auto"/>
          <w:sz w:val="24"/>
          <w:highlight w:val="none"/>
        </w:rPr>
      </w:pPr>
    </w:p>
    <w:p w14:paraId="6846EA3F">
      <w:pPr>
        <w:rPr>
          <w:color w:val="auto"/>
          <w:highlight w:val="none"/>
        </w:rPr>
      </w:pPr>
    </w:p>
    <w:sectPr>
      <w:footerReference r:id="rId9" w:type="first"/>
      <w:footerReference r:id="rId7" w:type="default"/>
      <w:footerReference r:id="rId8" w:type="even"/>
      <w:pgSz w:w="11906" w:h="16838"/>
      <w:pgMar w:top="1134" w:right="1134" w:bottom="1134" w:left="1134" w:header="720" w:footer="720" w:gutter="0"/>
      <w:pgNumType w:fmt="decimal"/>
      <w:cols w:space="720" w:num="1"/>
      <w:docGrid w:type="lines" w:linePitch="331"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embedRegular r:id="rId1" w:fontKey="{059BA896-5F8E-4226-A5CC-AA519D9B4780}"/>
  </w:font>
  <w:font w:name="黑体">
    <w:panose1 w:val="02010609060101010101"/>
    <w:charset w:val="86"/>
    <w:family w:val="auto"/>
    <w:pitch w:val="default"/>
    <w:sig w:usb0="800002BF" w:usb1="38CF7CFA" w:usb2="00000016" w:usb3="00000000" w:csb0="00040001" w:csb1="00000000"/>
    <w:embedRegular r:id="rId2" w:fontKey="{5148EE59-EB9E-4024-BEE6-1B275C968E38}"/>
  </w:font>
  <w:font w:name="Courier New">
    <w:panose1 w:val="02070309020205020404"/>
    <w:charset w:val="01"/>
    <w:family w:val="modern"/>
    <w:pitch w:val="default"/>
    <w:sig w:usb0="E0002EFF" w:usb1="C0007843" w:usb2="00000009" w:usb3="00000000" w:csb0="400001FF" w:csb1="FFFF0000"/>
    <w:embedRegular r:id="rId3" w:fontKey="{FA5F052F-FA72-450E-B661-CBE6E7BD929B}"/>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embedRegular r:id="rId4" w:fontKey="{F86A5D0F-9333-4BB8-BD06-B149E0421CDC}"/>
  </w:font>
  <w:font w:name="微软雅黑">
    <w:panose1 w:val="020B0503020204020204"/>
    <w:charset w:val="86"/>
    <w:family w:val="swiss"/>
    <w:pitch w:val="default"/>
    <w:sig w:usb0="80000287" w:usb1="2ACF3C50" w:usb2="00000016" w:usb3="00000000" w:csb0="0004001F" w:csb1="00000000"/>
    <w:embedRegular r:id="rId5" w:fontKey="{599EC2DA-ECCE-4662-8743-AE26453509ED}"/>
  </w:font>
  <w:font w:name="Cambria">
    <w:panose1 w:val="02040503050406030204"/>
    <w:charset w:val="00"/>
    <w:family w:val="roman"/>
    <w:pitch w:val="default"/>
    <w:sig w:usb0="E00006FF" w:usb1="420024FF" w:usb2="02000000" w:usb3="00000000" w:csb0="2000019F" w:csb1="00000000"/>
  </w:font>
  <w:font w:name="PMingLiU-ExtB">
    <w:panose1 w:val="02020500000000000000"/>
    <w:charset w:val="88"/>
    <w:family w:val="roman"/>
    <w:pitch w:val="default"/>
    <w:sig w:usb0="8000002F" w:usb1="02000008" w:usb2="00000000" w:usb3="00000000" w:csb0="00100001" w:csb1="00000000"/>
  </w:font>
  <w:font w:name="方正仿宋_GB2312">
    <w:panose1 w:val="02000000000000000000"/>
    <w:charset w:val="86"/>
    <w:family w:val="auto"/>
    <w:pitch w:val="default"/>
    <w:sig w:usb0="A00002BF" w:usb1="184F6CFA" w:usb2="00000012" w:usb3="00000000" w:csb0="00040001" w:csb1="00000000"/>
    <w:embedRegular r:id="rId6" w:fontKey="{736DE206-AD7D-4A7D-A46D-9451B2797901}"/>
  </w:font>
  <w:font w:name="仿宋">
    <w:panose1 w:val="02010609060101010101"/>
    <w:charset w:val="86"/>
    <w:family w:val="modern"/>
    <w:pitch w:val="default"/>
    <w:sig w:usb0="800002BF" w:usb1="38CF7CFA" w:usb2="00000016" w:usb3="00000000" w:csb0="00040001" w:csb1="00000000"/>
    <w:embedRegular r:id="rId7" w:fontKey="{2B63E120-1F47-451F-A3EF-39422D6A3CBA}"/>
  </w:font>
  <w:font w:name="Tahoma">
    <w:panose1 w:val="020B0604030504040204"/>
    <w:charset w:val="00"/>
    <w:family w:val="swiss"/>
    <w:pitch w:val="default"/>
    <w:sig w:usb0="E1002EFF" w:usb1="C000605B" w:usb2="00000029" w:usb3="00000000" w:csb0="200101FF" w:csb1="20280000"/>
  </w:font>
  <w:font w:name="仿宋_GB2312">
    <w:panose1 w:val="02010609030101010101"/>
    <w:charset w:val="86"/>
    <w:family w:val="modern"/>
    <w:pitch w:val="default"/>
    <w:sig w:usb0="00000001" w:usb1="080E0000" w:usb2="00000000" w:usb3="00000000" w:csb0="00040000" w:csb1="00000000"/>
  </w:font>
  <w:font w:name="华文新魏">
    <w:panose1 w:val="02010800040101010101"/>
    <w:charset w:val="86"/>
    <w:family w:val="auto"/>
    <w:pitch w:val="default"/>
    <w:sig w:usb0="00000001" w:usb1="080F0000" w:usb2="00000000" w:usb3="00000000" w:csb0="00040000" w:csb1="00000000"/>
    <w:embedRegular r:id="rId8" w:fontKey="{755761AB-2EB4-4987-B4C3-F0AFD34BDBB0}"/>
  </w:font>
  <w:font w:name="Arial Unicode MS">
    <w:panose1 w:val="020B0604020202020204"/>
    <w:charset w:val="86"/>
    <w:family w:val="swiss"/>
    <w:pitch w:val="default"/>
    <w:sig w:usb0="FFFFFFFF" w:usb1="E9FFFFFF" w:usb2="0000003F" w:usb3="00000000" w:csb0="603F01FF" w:csb1="FFFF0000"/>
    <w:embedRegular r:id="rId9" w:fontKey="{4771C7E4-A893-468A-8430-B62AF912080F}"/>
  </w:font>
  <w:font w:name="方正小标宋简体">
    <w:panose1 w:val="03000509000000000000"/>
    <w:charset w:val="86"/>
    <w:family w:val="script"/>
    <w:pitch w:val="default"/>
    <w:sig w:usb0="00000001" w:usb1="080E0000" w:usb2="00000000" w:usb3="00000000" w:csb0="00040000" w:csb1="00000000"/>
    <w:embedRegular r:id="rId10" w:fontKey="{4BDEF19D-59FB-4E92-875E-DA468D2CF702}"/>
  </w:font>
  <w:font w:name="Helvetica LT Pro">
    <w:altName w:val="Segoe Print"/>
    <w:panose1 w:val="00000000000000000000"/>
    <w:charset w:val="00"/>
    <w:family w:val="auto"/>
    <w:pitch w:val="default"/>
    <w:sig w:usb0="00000000" w:usb1="00000000" w:usb2="00000000" w:usb3="00000000" w:csb0="20000097" w:csb1="00000000"/>
    <w:embedRegular r:id="rId11" w:fontKey="{E44945C0-D316-464B-9EC0-48CBDE8CAE9B}"/>
  </w:font>
  <w:font w:name="Segoe Print">
    <w:panose1 w:val="02000600000000000000"/>
    <w:charset w:val="00"/>
    <w:family w:val="auto"/>
    <w:pitch w:val="default"/>
    <w:sig w:usb0="0000028F" w:usb1="00000000" w:usb2="00000000" w:usb3="00000000" w:csb0="2000009F" w:csb1="47010000"/>
  </w:font>
  <w:font w:name="楷体">
    <w:panose1 w:val="02010609060101010101"/>
    <w:charset w:val="86"/>
    <w:family w:val="modern"/>
    <w:pitch w:val="default"/>
    <w:sig w:usb0="800002BF" w:usb1="38CF7CFA" w:usb2="00000016" w:usb3="00000000" w:csb0="00040001" w:csb1="00000000"/>
    <w:embedRegular r:id="rId12" w:fontKey="{B9DE6139-6131-4E8B-A83A-37CCDBD09F65}"/>
  </w:font>
  <w:font w:name="WPSEMBED1">
    <w:panose1 w:val="020B0604020202020204"/>
    <w:charset w:val="86"/>
    <w:family w:val="auto"/>
    <w:pitch w:val="default"/>
    <w:sig w:usb0="FFFFFFFF" w:usb1="E9FFFFFF" w:usb2="0000003F" w:usb3="00000000" w:csb0="603F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6179314">
    <w:pPr>
      <w:pStyle w:val="26"/>
    </w:pPr>
  </w:p>
  <w:p w14:paraId="0E506492">
    <w:pPr>
      <w:pStyle w:val="26"/>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FDC0567">
    <w:pPr>
      <w:pStyle w:val="26"/>
    </w:pPr>
  </w:p>
  <w:p w14:paraId="0F31B18D">
    <w:pPr>
      <w:pStyle w:val="26"/>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C5AD283">
    <w:pPr>
      <w:pStyle w:val="26"/>
      <w:rPr>
        <w:rFonts w:hint="default"/>
        <w:lang w:val="en-US"/>
      </w:rPr>
    </w:pPr>
    <w:r>
      <w:rPr>
        <w:sz w:val="21"/>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6" name="文本框 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00DF9890">
                          <w:pPr>
                            <w:pStyle w:val="26"/>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AwiRJeMQIAAGEEAAAOAAAAAAAAAAEAIAAAAB8BAABkcnMvZTJvRG9jLnhtbFBLBQYA&#10;AAAABgAGAFkBAADCBQAAAAA=&#10;">
              <v:fill on="f" focussize="0,0"/>
              <v:stroke on="f" weight="0.5pt"/>
              <v:imagedata o:title=""/>
              <o:lock v:ext="edit" aspectratio="f"/>
              <v:textbox inset="0mm,0mm,0mm,0mm" style="mso-fit-shape-to-text:t;">
                <w:txbxContent>
                  <w:p w14:paraId="00DF9890">
                    <w:pPr>
                      <w:pStyle w:val="26"/>
                    </w:pPr>
                    <w:r>
                      <w:fldChar w:fldCharType="begin"/>
                    </w:r>
                    <w:r>
                      <w:instrText xml:space="preserve"> PAGE  \* MERGEFORMAT </w:instrText>
                    </w:r>
                    <w:r>
                      <w:fldChar w:fldCharType="separate"/>
                    </w:r>
                    <w:r>
                      <w:t>1</w:t>
                    </w:r>
                    <w:r>
                      <w:fldChar w:fldCharType="end"/>
                    </w:r>
                  </w:p>
                </w:txbxContent>
              </v:textbox>
            </v:shape>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D64DD2F">
    <w:pPr>
      <w:pStyle w:val="26"/>
    </w:pPr>
    <w:r>
      <w:rPr>
        <w:sz w:val="21"/>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7"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5C0C94F3">
                          <w:pPr>
                            <w:pStyle w:val="26"/>
                          </w:pPr>
                          <w:r>
                            <w:fldChar w:fldCharType="begin"/>
                          </w:r>
                          <w:r>
                            <w:instrText xml:space="preserve"> PAGE  \* MERGEFORMAT </w:instrText>
                          </w:r>
                          <w:r>
                            <w:fldChar w:fldCharType="separate"/>
                          </w:r>
                          <w:r>
                            <w:t>139</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9YuHZDICAABhBAAADgAAAAAAAAABACAAAAAfAQAAZHJzL2Uyb0RvYy54bWxQSwUG&#10;AAAAAAYABgBZAQAAwwUAAAAA&#10;">
              <v:fill on="f" focussize="0,0"/>
              <v:stroke on="f" weight="0.5pt"/>
              <v:imagedata o:title=""/>
              <o:lock v:ext="edit" aspectratio="f"/>
              <v:textbox inset="0mm,0mm,0mm,0mm" style="mso-fit-shape-to-text:t;">
                <w:txbxContent>
                  <w:p w14:paraId="5C0C94F3">
                    <w:pPr>
                      <w:pStyle w:val="26"/>
                    </w:pPr>
                    <w:r>
                      <w:fldChar w:fldCharType="begin"/>
                    </w:r>
                    <w:r>
                      <w:instrText xml:space="preserve"> PAGE  \* MERGEFORMAT </w:instrText>
                    </w:r>
                    <w:r>
                      <w:fldChar w:fldCharType="separate"/>
                    </w:r>
                    <w:r>
                      <w:t>139</w:t>
                    </w:r>
                    <w:r>
                      <w:fldChar w:fldCharType="end"/>
                    </w:r>
                  </w:p>
                </w:txbxContent>
              </v:textbox>
            </v:shape>
          </w:pict>
        </mc:Fallback>
      </mc:AlternateConten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8D6C568">
    <w:pPr>
      <w:pStyle w:val="26"/>
      <w:rPr>
        <w:rStyle w:val="41"/>
      </w:rPr>
    </w:pPr>
    <w:r>
      <w:fldChar w:fldCharType="begin"/>
    </w:r>
    <w:r>
      <w:rPr>
        <w:rStyle w:val="41"/>
      </w:rPr>
      <w:instrText xml:space="preserve">PAGE  </w:instrText>
    </w:r>
    <w:r>
      <w:fldChar w:fldCharType="end"/>
    </w:r>
  </w:p>
  <w:p w14:paraId="76FC5844">
    <w:pPr>
      <w:pStyle w:val="26"/>
    </w:pPr>
  </w:p>
  <w:p w14:paraId="685578CA"/>
  <w:p w14:paraId="6E3A0DB9"/>
  <w:p w14:paraId="1E9B42C8"/>
  <w:p w14:paraId="163AE56F"/>
  <w:p w14:paraId="62850E92"/>
  <w:p w14:paraId="471A29CA"/>
  <w:p w14:paraId="5B3D809E"/>
  <w:p w14:paraId="5C8B5A1F"/>
  <w:p w14:paraId="2676C0B8"/>
  <w:p w14:paraId="366AECBB"/>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4070F9C">
    <w:pPr>
      <w:pStyle w:val="26"/>
      <w:rPr>
        <w:rStyle w:val="41"/>
      </w:rPr>
    </w:pPr>
    <w:r>
      <w:fldChar w:fldCharType="begin"/>
    </w:r>
    <w:r>
      <w:rPr>
        <w:rStyle w:val="41"/>
      </w:rPr>
      <w:instrText xml:space="preserve">PAGE  </w:instrText>
    </w:r>
    <w:r>
      <w:fldChar w:fldCharType="separate"/>
    </w:r>
    <w:r>
      <w:rPr>
        <w:rStyle w:val="41"/>
      </w:rPr>
      <w:t>122</w:t>
    </w:r>
    <w:r>
      <w:fldChar w:fldCharType="end"/>
    </w:r>
  </w:p>
  <w:p w14:paraId="77D68DC1">
    <w:pPr>
      <w:pStyle w:val="26"/>
    </w:pPr>
    <w:r>
      <w:rPr>
        <w:rFonts w:hint="eastAsia"/>
      </w:rPr>
      <w:t>121</w:t>
    </w:r>
  </w:p>
  <w:p w14:paraId="1674A1F0"/>
  <w:p w14:paraId="63794AE4"/>
  <w:p w14:paraId="1206AA9A"/>
  <w:p w14:paraId="07766C3B"/>
  <w:p w14:paraId="4A264DC5"/>
  <w:p w14:paraId="24B8DF0C"/>
  <w:p w14:paraId="6E83C92A"/>
  <w:p w14:paraId="4B0C738E"/>
  <w:p w14:paraId="6C04A085"/>
  <w:p w14:paraId="212907C6"/>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477AAD4">
    <w:pPr>
      <w:pStyle w:val="27"/>
    </w:pPr>
    <w:r>
      <w:rPr>
        <w:rFonts w:hint="eastAsia"/>
      </w:rPr>
      <w:t>南宁市政府采购公开招标采购文件</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DC3C4FD3"/>
    <w:multiLevelType w:val="singleLevel"/>
    <w:tmpl w:val="DC3C4FD3"/>
    <w:lvl w:ilvl="0" w:tentative="0">
      <w:start w:val="1"/>
      <w:numFmt w:val="decimal"/>
      <w:suff w:val="nothing"/>
      <w:lvlText w:val="（%1）"/>
      <w:lvlJc w:val="left"/>
    </w:lvl>
  </w:abstractNum>
  <w:abstractNum w:abstractNumId="1">
    <w:nsid w:val="00000007"/>
    <w:multiLevelType w:val="multilevel"/>
    <w:tmpl w:val="00000007"/>
    <w:lvl w:ilvl="0" w:tentative="0">
      <w:start w:val="1"/>
      <w:numFmt w:val="decimal"/>
      <w:lvlText w:val="（%1）"/>
      <w:lvlJc w:val="left"/>
      <w:pPr>
        <w:tabs>
          <w:tab w:val="left" w:pos="1140"/>
        </w:tabs>
        <w:ind w:left="1140" w:hanging="720"/>
      </w:pPr>
      <w:rPr>
        <w:rFonts w:ascii="宋体" w:hAnsi="宋体" w:eastAsia="宋体" w:cs="Times New Roman"/>
      </w:rPr>
    </w:lvl>
    <w:lvl w:ilvl="1" w:tentative="0">
      <w:start w:val="1"/>
      <w:numFmt w:val="lowerLetter"/>
      <w:lvlText w:val="%2)"/>
      <w:lvlJc w:val="left"/>
      <w:pPr>
        <w:tabs>
          <w:tab w:val="left" w:pos="1260"/>
        </w:tabs>
        <w:ind w:left="1260" w:hanging="420"/>
      </w:pPr>
    </w:lvl>
    <w:lvl w:ilvl="2" w:tentative="0">
      <w:start w:val="1"/>
      <w:numFmt w:val="lowerRoman"/>
      <w:lvlText w:val="%3."/>
      <w:lvlJc w:val="right"/>
      <w:pPr>
        <w:tabs>
          <w:tab w:val="left" w:pos="1680"/>
        </w:tabs>
        <w:ind w:left="1680" w:hanging="420"/>
      </w:pPr>
    </w:lvl>
    <w:lvl w:ilvl="3" w:tentative="0">
      <w:start w:val="1"/>
      <w:numFmt w:val="decimal"/>
      <w:lvlText w:val="%4."/>
      <w:lvlJc w:val="left"/>
      <w:pPr>
        <w:tabs>
          <w:tab w:val="left" w:pos="2100"/>
        </w:tabs>
        <w:ind w:left="2100" w:hanging="420"/>
      </w:pPr>
    </w:lvl>
    <w:lvl w:ilvl="4" w:tentative="0">
      <w:start w:val="1"/>
      <w:numFmt w:val="lowerLetter"/>
      <w:lvlText w:val="%5)"/>
      <w:lvlJc w:val="left"/>
      <w:pPr>
        <w:tabs>
          <w:tab w:val="left" w:pos="2520"/>
        </w:tabs>
        <w:ind w:left="2520" w:hanging="420"/>
      </w:pPr>
    </w:lvl>
    <w:lvl w:ilvl="5" w:tentative="0">
      <w:start w:val="1"/>
      <w:numFmt w:val="lowerRoman"/>
      <w:lvlText w:val="%6."/>
      <w:lvlJc w:val="right"/>
      <w:pPr>
        <w:tabs>
          <w:tab w:val="left" w:pos="2940"/>
        </w:tabs>
        <w:ind w:left="2940" w:hanging="420"/>
      </w:pPr>
    </w:lvl>
    <w:lvl w:ilvl="6" w:tentative="0">
      <w:start w:val="1"/>
      <w:numFmt w:val="decimal"/>
      <w:lvlText w:val="%7."/>
      <w:lvlJc w:val="left"/>
      <w:pPr>
        <w:tabs>
          <w:tab w:val="left" w:pos="3360"/>
        </w:tabs>
        <w:ind w:left="3360" w:hanging="420"/>
      </w:pPr>
    </w:lvl>
    <w:lvl w:ilvl="7" w:tentative="0">
      <w:start w:val="1"/>
      <w:numFmt w:val="lowerLetter"/>
      <w:lvlText w:val="%8)"/>
      <w:lvlJc w:val="left"/>
      <w:pPr>
        <w:tabs>
          <w:tab w:val="left" w:pos="3780"/>
        </w:tabs>
        <w:ind w:left="3780" w:hanging="420"/>
      </w:pPr>
    </w:lvl>
    <w:lvl w:ilvl="8" w:tentative="0">
      <w:start w:val="1"/>
      <w:numFmt w:val="lowerRoman"/>
      <w:lvlText w:val="%9."/>
      <w:lvlJc w:val="right"/>
      <w:pPr>
        <w:tabs>
          <w:tab w:val="left" w:pos="4200"/>
        </w:tabs>
        <w:ind w:left="4200" w:hanging="420"/>
      </w:pPr>
    </w:lvl>
  </w:abstractNum>
  <w:abstractNum w:abstractNumId="2">
    <w:nsid w:val="34444808"/>
    <w:multiLevelType w:val="multilevel"/>
    <w:tmpl w:val="34444808"/>
    <w:lvl w:ilvl="0" w:tentative="0">
      <w:start w:val="1"/>
      <w:numFmt w:val="decimal"/>
      <w:lvlText w:val="%1、"/>
      <w:lvlJc w:val="left"/>
      <w:pPr>
        <w:ind w:left="660" w:hanging="360"/>
      </w:pPr>
      <w:rPr>
        <w:rFonts w:hint="default"/>
      </w:rPr>
    </w:lvl>
    <w:lvl w:ilvl="1" w:tentative="0">
      <w:start w:val="1"/>
      <w:numFmt w:val="lowerLetter"/>
      <w:lvlText w:val="%2)"/>
      <w:lvlJc w:val="left"/>
      <w:pPr>
        <w:ind w:left="1140" w:hanging="420"/>
      </w:pPr>
    </w:lvl>
    <w:lvl w:ilvl="2" w:tentative="0">
      <w:start w:val="1"/>
      <w:numFmt w:val="lowerRoman"/>
      <w:lvlText w:val="%3."/>
      <w:lvlJc w:val="right"/>
      <w:pPr>
        <w:ind w:left="1560" w:hanging="420"/>
      </w:pPr>
    </w:lvl>
    <w:lvl w:ilvl="3" w:tentative="0">
      <w:start w:val="1"/>
      <w:numFmt w:val="decimal"/>
      <w:lvlText w:val="%4."/>
      <w:lvlJc w:val="left"/>
      <w:pPr>
        <w:ind w:left="1980" w:hanging="420"/>
      </w:pPr>
    </w:lvl>
    <w:lvl w:ilvl="4" w:tentative="0">
      <w:start w:val="1"/>
      <w:numFmt w:val="lowerLetter"/>
      <w:lvlText w:val="%5)"/>
      <w:lvlJc w:val="left"/>
      <w:pPr>
        <w:ind w:left="2400" w:hanging="420"/>
      </w:pPr>
    </w:lvl>
    <w:lvl w:ilvl="5" w:tentative="0">
      <w:start w:val="1"/>
      <w:numFmt w:val="lowerRoman"/>
      <w:lvlText w:val="%6."/>
      <w:lvlJc w:val="right"/>
      <w:pPr>
        <w:ind w:left="2820" w:hanging="420"/>
      </w:pPr>
    </w:lvl>
    <w:lvl w:ilvl="6" w:tentative="0">
      <w:start w:val="1"/>
      <w:numFmt w:val="decimal"/>
      <w:lvlText w:val="%7."/>
      <w:lvlJc w:val="left"/>
      <w:pPr>
        <w:ind w:left="3240" w:hanging="420"/>
      </w:pPr>
    </w:lvl>
    <w:lvl w:ilvl="7" w:tentative="0">
      <w:start w:val="1"/>
      <w:numFmt w:val="lowerLetter"/>
      <w:lvlText w:val="%8)"/>
      <w:lvlJc w:val="left"/>
      <w:pPr>
        <w:ind w:left="3660" w:hanging="420"/>
      </w:pPr>
    </w:lvl>
    <w:lvl w:ilvl="8" w:tentative="0">
      <w:start w:val="1"/>
      <w:numFmt w:val="lowerRoman"/>
      <w:lvlText w:val="%9."/>
      <w:lvlJc w:val="right"/>
      <w:pPr>
        <w:ind w:left="4080" w:hanging="420"/>
      </w:pPr>
    </w:lvl>
  </w:abstractNum>
  <w:abstractNum w:abstractNumId="3">
    <w:nsid w:val="41367BD3"/>
    <w:multiLevelType w:val="multilevel"/>
    <w:tmpl w:val="41367BD3"/>
    <w:lvl w:ilvl="0" w:tentative="0">
      <w:start w:val="6"/>
      <w:numFmt w:val="decimal"/>
      <w:lvlText w:val="%1、"/>
      <w:lvlJc w:val="left"/>
      <w:pPr>
        <w:ind w:left="360" w:hanging="360"/>
      </w:pPr>
      <w:rPr>
        <w:rFonts w:hint="default"/>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4">
    <w:nsid w:val="51536378"/>
    <w:multiLevelType w:val="singleLevel"/>
    <w:tmpl w:val="51536378"/>
    <w:lvl w:ilvl="0" w:tentative="0">
      <w:start w:val="1"/>
      <w:numFmt w:val="decimal"/>
      <w:suff w:val="nothing"/>
      <w:lvlText w:val="（%1）"/>
      <w:lvlJc w:val="left"/>
      <w:pPr>
        <w:ind w:left="0" w:firstLine="0"/>
      </w:pPr>
    </w:lvl>
  </w:abstractNum>
  <w:abstractNum w:abstractNumId="5">
    <w:nsid w:val="72962756"/>
    <w:multiLevelType w:val="multilevel"/>
    <w:tmpl w:val="72962756"/>
    <w:lvl w:ilvl="0" w:tentative="0">
      <w:start w:val="1"/>
      <w:numFmt w:val="japaneseCounting"/>
      <w:lvlText w:val="（%1）"/>
      <w:lvlJc w:val="left"/>
      <w:pPr>
        <w:ind w:left="1237" w:hanging="765"/>
      </w:pPr>
      <w:rPr>
        <w:rFonts w:hint="default"/>
      </w:rPr>
    </w:lvl>
    <w:lvl w:ilvl="1" w:tentative="0">
      <w:start w:val="1"/>
      <w:numFmt w:val="lowerLetter"/>
      <w:lvlText w:val="%2)"/>
      <w:lvlJc w:val="left"/>
      <w:pPr>
        <w:ind w:left="1312" w:hanging="420"/>
      </w:pPr>
    </w:lvl>
    <w:lvl w:ilvl="2" w:tentative="0">
      <w:start w:val="1"/>
      <w:numFmt w:val="lowerRoman"/>
      <w:lvlText w:val="%3."/>
      <w:lvlJc w:val="right"/>
      <w:pPr>
        <w:ind w:left="1732" w:hanging="420"/>
      </w:pPr>
    </w:lvl>
    <w:lvl w:ilvl="3" w:tentative="0">
      <w:start w:val="1"/>
      <w:numFmt w:val="decimal"/>
      <w:lvlText w:val="%4."/>
      <w:lvlJc w:val="left"/>
      <w:pPr>
        <w:ind w:left="2152" w:hanging="420"/>
      </w:pPr>
    </w:lvl>
    <w:lvl w:ilvl="4" w:tentative="0">
      <w:start w:val="1"/>
      <w:numFmt w:val="lowerLetter"/>
      <w:lvlText w:val="%5)"/>
      <w:lvlJc w:val="left"/>
      <w:pPr>
        <w:ind w:left="2572" w:hanging="420"/>
      </w:pPr>
    </w:lvl>
    <w:lvl w:ilvl="5" w:tentative="0">
      <w:start w:val="1"/>
      <w:numFmt w:val="lowerRoman"/>
      <w:lvlText w:val="%6."/>
      <w:lvlJc w:val="right"/>
      <w:pPr>
        <w:ind w:left="2992" w:hanging="420"/>
      </w:pPr>
    </w:lvl>
    <w:lvl w:ilvl="6" w:tentative="0">
      <w:start w:val="1"/>
      <w:numFmt w:val="decimal"/>
      <w:lvlText w:val="%7."/>
      <w:lvlJc w:val="left"/>
      <w:pPr>
        <w:ind w:left="3412" w:hanging="420"/>
      </w:pPr>
    </w:lvl>
    <w:lvl w:ilvl="7" w:tentative="0">
      <w:start w:val="1"/>
      <w:numFmt w:val="lowerLetter"/>
      <w:lvlText w:val="%8)"/>
      <w:lvlJc w:val="left"/>
      <w:pPr>
        <w:ind w:left="3832" w:hanging="420"/>
      </w:pPr>
    </w:lvl>
    <w:lvl w:ilvl="8" w:tentative="0">
      <w:start w:val="1"/>
      <w:numFmt w:val="lowerRoman"/>
      <w:lvlText w:val="%9."/>
      <w:lvlJc w:val="right"/>
      <w:pPr>
        <w:ind w:left="4252" w:hanging="420"/>
      </w:pPr>
    </w:lvl>
  </w:abstractNum>
  <w:num w:numId="1">
    <w:abstractNumId w:val="3"/>
    <w:lvlOverride w:ilvl="0">
      <w:startOverride w:val="6"/>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0"/>
  </w:num>
  <w:num w:numId="3">
    <w:abstractNumId w:val="4"/>
    <w:lvlOverride w:ilvl="0">
      <w:startOverride w:val="1"/>
    </w:lvlOverride>
  </w:num>
  <w:num w:numId="4">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0"/>
  <w:embedTrueTypeFonts/>
  <w:saveSubsetFonts/>
  <w:bordersDoNotSurroundHeader w:val="0"/>
  <w:bordersDoNotSurroundFooter w:val="0"/>
  <w:hideSpellingErrors/>
  <w:documentProtection w:enforcement="0"/>
  <w:defaultTabStop w:val="420"/>
  <w:drawingGridHorizontalSpacing w:val="105"/>
  <w:drawingGridVerticalSpacing w:val="331"/>
  <w:displayHorizontalDrawingGridEvery w:val="1"/>
  <w:displayVerticalDrawingGridEvery w:val="1"/>
  <w:noPunctuationKerning w:val="1"/>
  <w:characterSpacingControl w:val="compressPunctuation"/>
  <w:doNotValidateAgainstSchema/>
  <w:doNotDemarcateInvalidXml/>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ZDdkNzFjNDYwYjZlN2FjZWI2ZTc0MWE5OWI5YTdkY2MifQ=="/>
  </w:docVars>
  <w:rsids>
    <w:rsidRoot w:val="00172A27"/>
    <w:rsid w:val="0000096C"/>
    <w:rsid w:val="00000CDB"/>
    <w:rsid w:val="00001CDA"/>
    <w:rsid w:val="00004344"/>
    <w:rsid w:val="00004C84"/>
    <w:rsid w:val="00004D6C"/>
    <w:rsid w:val="00005359"/>
    <w:rsid w:val="00005909"/>
    <w:rsid w:val="000207D5"/>
    <w:rsid w:val="00021052"/>
    <w:rsid w:val="00022127"/>
    <w:rsid w:val="00022867"/>
    <w:rsid w:val="00022AF5"/>
    <w:rsid w:val="000248BC"/>
    <w:rsid w:val="00024E82"/>
    <w:rsid w:val="000250CA"/>
    <w:rsid w:val="00026572"/>
    <w:rsid w:val="00027659"/>
    <w:rsid w:val="00030800"/>
    <w:rsid w:val="00031652"/>
    <w:rsid w:val="00031AFD"/>
    <w:rsid w:val="00034A7D"/>
    <w:rsid w:val="00035197"/>
    <w:rsid w:val="0003587A"/>
    <w:rsid w:val="00035F9C"/>
    <w:rsid w:val="0003625D"/>
    <w:rsid w:val="000401CD"/>
    <w:rsid w:val="00044EDB"/>
    <w:rsid w:val="000470B4"/>
    <w:rsid w:val="00051AFD"/>
    <w:rsid w:val="00051C19"/>
    <w:rsid w:val="00053AAB"/>
    <w:rsid w:val="00053B7C"/>
    <w:rsid w:val="00054304"/>
    <w:rsid w:val="000553BC"/>
    <w:rsid w:val="00056551"/>
    <w:rsid w:val="0006218D"/>
    <w:rsid w:val="00062927"/>
    <w:rsid w:val="00063F24"/>
    <w:rsid w:val="00065586"/>
    <w:rsid w:val="00065AF0"/>
    <w:rsid w:val="00066EA9"/>
    <w:rsid w:val="00066FE1"/>
    <w:rsid w:val="0006762D"/>
    <w:rsid w:val="00071460"/>
    <w:rsid w:val="00072B02"/>
    <w:rsid w:val="00074D5F"/>
    <w:rsid w:val="00075B13"/>
    <w:rsid w:val="00076A60"/>
    <w:rsid w:val="000775B5"/>
    <w:rsid w:val="00077BF5"/>
    <w:rsid w:val="00081789"/>
    <w:rsid w:val="0008187C"/>
    <w:rsid w:val="00084028"/>
    <w:rsid w:val="00084EF9"/>
    <w:rsid w:val="00085A0D"/>
    <w:rsid w:val="0009041D"/>
    <w:rsid w:val="00092A54"/>
    <w:rsid w:val="00092F65"/>
    <w:rsid w:val="0009317E"/>
    <w:rsid w:val="00093B18"/>
    <w:rsid w:val="00093DAF"/>
    <w:rsid w:val="00094E84"/>
    <w:rsid w:val="000952D8"/>
    <w:rsid w:val="00095EEA"/>
    <w:rsid w:val="000971F1"/>
    <w:rsid w:val="000A7A4B"/>
    <w:rsid w:val="000B5A03"/>
    <w:rsid w:val="000C302E"/>
    <w:rsid w:val="000C3673"/>
    <w:rsid w:val="000C5D44"/>
    <w:rsid w:val="000C6886"/>
    <w:rsid w:val="000C7BF9"/>
    <w:rsid w:val="000D5F48"/>
    <w:rsid w:val="000D6223"/>
    <w:rsid w:val="000D7284"/>
    <w:rsid w:val="000E1B95"/>
    <w:rsid w:val="000E1BA1"/>
    <w:rsid w:val="000E6783"/>
    <w:rsid w:val="000E72CB"/>
    <w:rsid w:val="000F1BBE"/>
    <w:rsid w:val="000F1E9D"/>
    <w:rsid w:val="000F3E98"/>
    <w:rsid w:val="000F4157"/>
    <w:rsid w:val="000F43A6"/>
    <w:rsid w:val="000F7CE5"/>
    <w:rsid w:val="00102095"/>
    <w:rsid w:val="001031E7"/>
    <w:rsid w:val="00104245"/>
    <w:rsid w:val="0011076B"/>
    <w:rsid w:val="001108AC"/>
    <w:rsid w:val="00110DD2"/>
    <w:rsid w:val="0011187C"/>
    <w:rsid w:val="0011284E"/>
    <w:rsid w:val="00115179"/>
    <w:rsid w:val="00116FC9"/>
    <w:rsid w:val="00120019"/>
    <w:rsid w:val="00120C46"/>
    <w:rsid w:val="0012184C"/>
    <w:rsid w:val="00125837"/>
    <w:rsid w:val="001267A5"/>
    <w:rsid w:val="001306A8"/>
    <w:rsid w:val="001343B4"/>
    <w:rsid w:val="00134A96"/>
    <w:rsid w:val="00136621"/>
    <w:rsid w:val="00140B14"/>
    <w:rsid w:val="00140CE8"/>
    <w:rsid w:val="0014298C"/>
    <w:rsid w:val="00143996"/>
    <w:rsid w:val="00143DA6"/>
    <w:rsid w:val="001459BF"/>
    <w:rsid w:val="00151CEE"/>
    <w:rsid w:val="0015209C"/>
    <w:rsid w:val="001551E7"/>
    <w:rsid w:val="00156A9E"/>
    <w:rsid w:val="00156C6F"/>
    <w:rsid w:val="00163148"/>
    <w:rsid w:val="00163EEC"/>
    <w:rsid w:val="0016643D"/>
    <w:rsid w:val="001669F1"/>
    <w:rsid w:val="00170AA7"/>
    <w:rsid w:val="00172A27"/>
    <w:rsid w:val="00173852"/>
    <w:rsid w:val="00174DAE"/>
    <w:rsid w:val="00174F9B"/>
    <w:rsid w:val="00177D95"/>
    <w:rsid w:val="00181460"/>
    <w:rsid w:val="00182C28"/>
    <w:rsid w:val="001906AE"/>
    <w:rsid w:val="00190F4C"/>
    <w:rsid w:val="0019130A"/>
    <w:rsid w:val="00192EE4"/>
    <w:rsid w:val="00193168"/>
    <w:rsid w:val="0019332B"/>
    <w:rsid w:val="00193D49"/>
    <w:rsid w:val="00195074"/>
    <w:rsid w:val="0019577E"/>
    <w:rsid w:val="001A0056"/>
    <w:rsid w:val="001A6AF9"/>
    <w:rsid w:val="001B1366"/>
    <w:rsid w:val="001B2568"/>
    <w:rsid w:val="001B2BDE"/>
    <w:rsid w:val="001B2FAE"/>
    <w:rsid w:val="001B429E"/>
    <w:rsid w:val="001C2444"/>
    <w:rsid w:val="001C2E44"/>
    <w:rsid w:val="001C4767"/>
    <w:rsid w:val="001C550E"/>
    <w:rsid w:val="001C66D5"/>
    <w:rsid w:val="001D047F"/>
    <w:rsid w:val="001D0BA3"/>
    <w:rsid w:val="001E0216"/>
    <w:rsid w:val="001E0590"/>
    <w:rsid w:val="001E3612"/>
    <w:rsid w:val="001E3E3A"/>
    <w:rsid w:val="001E4E53"/>
    <w:rsid w:val="001E6153"/>
    <w:rsid w:val="001E6C5D"/>
    <w:rsid w:val="001E6D88"/>
    <w:rsid w:val="001E7A04"/>
    <w:rsid w:val="001E7A09"/>
    <w:rsid w:val="001E7AB6"/>
    <w:rsid w:val="001F330A"/>
    <w:rsid w:val="001F4D3C"/>
    <w:rsid w:val="001F57B1"/>
    <w:rsid w:val="00201770"/>
    <w:rsid w:val="002028BE"/>
    <w:rsid w:val="00204164"/>
    <w:rsid w:val="00204F25"/>
    <w:rsid w:val="00205999"/>
    <w:rsid w:val="00207350"/>
    <w:rsid w:val="002078FD"/>
    <w:rsid w:val="00207DB7"/>
    <w:rsid w:val="00212F76"/>
    <w:rsid w:val="00214ACE"/>
    <w:rsid w:val="0021557C"/>
    <w:rsid w:val="00215887"/>
    <w:rsid w:val="002202EA"/>
    <w:rsid w:val="00221909"/>
    <w:rsid w:val="002230A4"/>
    <w:rsid w:val="002268D2"/>
    <w:rsid w:val="00231EAB"/>
    <w:rsid w:val="002326F7"/>
    <w:rsid w:val="00232E04"/>
    <w:rsid w:val="00232F57"/>
    <w:rsid w:val="00236055"/>
    <w:rsid w:val="00236B7D"/>
    <w:rsid w:val="0024035D"/>
    <w:rsid w:val="002410B9"/>
    <w:rsid w:val="0024120D"/>
    <w:rsid w:val="00241686"/>
    <w:rsid w:val="00242C6C"/>
    <w:rsid w:val="002441B4"/>
    <w:rsid w:val="0024447A"/>
    <w:rsid w:val="00244627"/>
    <w:rsid w:val="0025280E"/>
    <w:rsid w:val="002544EE"/>
    <w:rsid w:val="00254713"/>
    <w:rsid w:val="002563B4"/>
    <w:rsid w:val="00256B37"/>
    <w:rsid w:val="0025753A"/>
    <w:rsid w:val="00257716"/>
    <w:rsid w:val="00262C01"/>
    <w:rsid w:val="002641A3"/>
    <w:rsid w:val="00265FD2"/>
    <w:rsid w:val="0027371B"/>
    <w:rsid w:val="002738BD"/>
    <w:rsid w:val="00274416"/>
    <w:rsid w:val="002815FC"/>
    <w:rsid w:val="002841AC"/>
    <w:rsid w:val="00284AD2"/>
    <w:rsid w:val="002867CF"/>
    <w:rsid w:val="00286948"/>
    <w:rsid w:val="002914AB"/>
    <w:rsid w:val="00293976"/>
    <w:rsid w:val="00297271"/>
    <w:rsid w:val="002B020C"/>
    <w:rsid w:val="002B0500"/>
    <w:rsid w:val="002B1239"/>
    <w:rsid w:val="002B2DD2"/>
    <w:rsid w:val="002B3400"/>
    <w:rsid w:val="002B4610"/>
    <w:rsid w:val="002B761E"/>
    <w:rsid w:val="002C0483"/>
    <w:rsid w:val="002C1328"/>
    <w:rsid w:val="002C27F2"/>
    <w:rsid w:val="002C38A0"/>
    <w:rsid w:val="002C64E6"/>
    <w:rsid w:val="002C7DD7"/>
    <w:rsid w:val="002D00B1"/>
    <w:rsid w:val="002D2EF2"/>
    <w:rsid w:val="002D3B55"/>
    <w:rsid w:val="002D4568"/>
    <w:rsid w:val="002D6CD7"/>
    <w:rsid w:val="002D79A4"/>
    <w:rsid w:val="002E0A18"/>
    <w:rsid w:val="002E6BA4"/>
    <w:rsid w:val="002E7F39"/>
    <w:rsid w:val="002F3699"/>
    <w:rsid w:val="002F55FD"/>
    <w:rsid w:val="002F667D"/>
    <w:rsid w:val="002F7651"/>
    <w:rsid w:val="00300267"/>
    <w:rsid w:val="003014B1"/>
    <w:rsid w:val="00303D76"/>
    <w:rsid w:val="003051FD"/>
    <w:rsid w:val="00305816"/>
    <w:rsid w:val="003072ED"/>
    <w:rsid w:val="00314B65"/>
    <w:rsid w:val="003157BB"/>
    <w:rsid w:val="00315EB2"/>
    <w:rsid w:val="00316025"/>
    <w:rsid w:val="003162D6"/>
    <w:rsid w:val="00316994"/>
    <w:rsid w:val="00320B19"/>
    <w:rsid w:val="00321CA1"/>
    <w:rsid w:val="00322C10"/>
    <w:rsid w:val="00323CA3"/>
    <w:rsid w:val="00327461"/>
    <w:rsid w:val="00330ECC"/>
    <w:rsid w:val="00330EE9"/>
    <w:rsid w:val="003331F5"/>
    <w:rsid w:val="00337A9F"/>
    <w:rsid w:val="00340A75"/>
    <w:rsid w:val="0034291C"/>
    <w:rsid w:val="00344631"/>
    <w:rsid w:val="00344CAF"/>
    <w:rsid w:val="00346976"/>
    <w:rsid w:val="003471F2"/>
    <w:rsid w:val="00347950"/>
    <w:rsid w:val="00353067"/>
    <w:rsid w:val="00353905"/>
    <w:rsid w:val="00355191"/>
    <w:rsid w:val="003627F9"/>
    <w:rsid w:val="00362ADA"/>
    <w:rsid w:val="00365551"/>
    <w:rsid w:val="0036624C"/>
    <w:rsid w:val="00366E54"/>
    <w:rsid w:val="0037075A"/>
    <w:rsid w:val="00371581"/>
    <w:rsid w:val="00371C87"/>
    <w:rsid w:val="00380673"/>
    <w:rsid w:val="003809BA"/>
    <w:rsid w:val="0038109F"/>
    <w:rsid w:val="0038213E"/>
    <w:rsid w:val="00383A05"/>
    <w:rsid w:val="00384176"/>
    <w:rsid w:val="00384EB6"/>
    <w:rsid w:val="003862C3"/>
    <w:rsid w:val="003868E3"/>
    <w:rsid w:val="00392110"/>
    <w:rsid w:val="003929A6"/>
    <w:rsid w:val="0039417D"/>
    <w:rsid w:val="003955FE"/>
    <w:rsid w:val="00395ABC"/>
    <w:rsid w:val="00395C77"/>
    <w:rsid w:val="00396BDC"/>
    <w:rsid w:val="003A3917"/>
    <w:rsid w:val="003A622A"/>
    <w:rsid w:val="003A6B82"/>
    <w:rsid w:val="003B031E"/>
    <w:rsid w:val="003B09F8"/>
    <w:rsid w:val="003B2195"/>
    <w:rsid w:val="003B31F1"/>
    <w:rsid w:val="003B60D8"/>
    <w:rsid w:val="003B6E54"/>
    <w:rsid w:val="003B7C9A"/>
    <w:rsid w:val="003C027A"/>
    <w:rsid w:val="003C393F"/>
    <w:rsid w:val="003C3B20"/>
    <w:rsid w:val="003C5796"/>
    <w:rsid w:val="003C6C92"/>
    <w:rsid w:val="003D0C7B"/>
    <w:rsid w:val="003D0DB6"/>
    <w:rsid w:val="003D3176"/>
    <w:rsid w:val="003D3465"/>
    <w:rsid w:val="003D478D"/>
    <w:rsid w:val="003D7400"/>
    <w:rsid w:val="003D7E8E"/>
    <w:rsid w:val="003E0AD4"/>
    <w:rsid w:val="003E1425"/>
    <w:rsid w:val="003E64C1"/>
    <w:rsid w:val="003F1067"/>
    <w:rsid w:val="003F1F9C"/>
    <w:rsid w:val="003F7B0D"/>
    <w:rsid w:val="00400E12"/>
    <w:rsid w:val="004029ED"/>
    <w:rsid w:val="00403AA3"/>
    <w:rsid w:val="0040651A"/>
    <w:rsid w:val="00406E35"/>
    <w:rsid w:val="004118DC"/>
    <w:rsid w:val="00422812"/>
    <w:rsid w:val="004229F4"/>
    <w:rsid w:val="004315CD"/>
    <w:rsid w:val="00431C3B"/>
    <w:rsid w:val="0043408F"/>
    <w:rsid w:val="00435268"/>
    <w:rsid w:val="0044023A"/>
    <w:rsid w:val="004434E0"/>
    <w:rsid w:val="004437ED"/>
    <w:rsid w:val="00443A42"/>
    <w:rsid w:val="00443B7A"/>
    <w:rsid w:val="00445B45"/>
    <w:rsid w:val="0044600A"/>
    <w:rsid w:val="00447BDE"/>
    <w:rsid w:val="00447D04"/>
    <w:rsid w:val="00450ADB"/>
    <w:rsid w:val="00452102"/>
    <w:rsid w:val="004531C4"/>
    <w:rsid w:val="00453441"/>
    <w:rsid w:val="00453725"/>
    <w:rsid w:val="00453C63"/>
    <w:rsid w:val="00460940"/>
    <w:rsid w:val="0046694A"/>
    <w:rsid w:val="0046760D"/>
    <w:rsid w:val="00467833"/>
    <w:rsid w:val="00474447"/>
    <w:rsid w:val="004747B1"/>
    <w:rsid w:val="004758C4"/>
    <w:rsid w:val="00476437"/>
    <w:rsid w:val="00477905"/>
    <w:rsid w:val="004805D2"/>
    <w:rsid w:val="00480B97"/>
    <w:rsid w:val="004820E2"/>
    <w:rsid w:val="00484D84"/>
    <w:rsid w:val="00485058"/>
    <w:rsid w:val="004853B6"/>
    <w:rsid w:val="004861BA"/>
    <w:rsid w:val="00486E44"/>
    <w:rsid w:val="0048743C"/>
    <w:rsid w:val="00490158"/>
    <w:rsid w:val="0049027F"/>
    <w:rsid w:val="00490AD8"/>
    <w:rsid w:val="00491634"/>
    <w:rsid w:val="004925A4"/>
    <w:rsid w:val="0049296E"/>
    <w:rsid w:val="004929AD"/>
    <w:rsid w:val="004966FB"/>
    <w:rsid w:val="004A0443"/>
    <w:rsid w:val="004A5F2A"/>
    <w:rsid w:val="004A6736"/>
    <w:rsid w:val="004B0D78"/>
    <w:rsid w:val="004B2258"/>
    <w:rsid w:val="004B49D2"/>
    <w:rsid w:val="004B49F0"/>
    <w:rsid w:val="004C0684"/>
    <w:rsid w:val="004C0996"/>
    <w:rsid w:val="004C5B3E"/>
    <w:rsid w:val="004C7D72"/>
    <w:rsid w:val="004E125C"/>
    <w:rsid w:val="004E126C"/>
    <w:rsid w:val="004E4F28"/>
    <w:rsid w:val="004F5BCD"/>
    <w:rsid w:val="00502ABB"/>
    <w:rsid w:val="005033B8"/>
    <w:rsid w:val="00503827"/>
    <w:rsid w:val="00503A40"/>
    <w:rsid w:val="0050516E"/>
    <w:rsid w:val="00506840"/>
    <w:rsid w:val="00506D28"/>
    <w:rsid w:val="00511A25"/>
    <w:rsid w:val="00517D40"/>
    <w:rsid w:val="0052067D"/>
    <w:rsid w:val="00520861"/>
    <w:rsid w:val="00520BA9"/>
    <w:rsid w:val="00521880"/>
    <w:rsid w:val="00523E94"/>
    <w:rsid w:val="00525C35"/>
    <w:rsid w:val="005279FB"/>
    <w:rsid w:val="00532BF5"/>
    <w:rsid w:val="00534FB1"/>
    <w:rsid w:val="0053541C"/>
    <w:rsid w:val="005364D7"/>
    <w:rsid w:val="00536840"/>
    <w:rsid w:val="0054145B"/>
    <w:rsid w:val="005416D5"/>
    <w:rsid w:val="00542234"/>
    <w:rsid w:val="005435A1"/>
    <w:rsid w:val="005458AD"/>
    <w:rsid w:val="0054723A"/>
    <w:rsid w:val="0054778A"/>
    <w:rsid w:val="00550DCC"/>
    <w:rsid w:val="00551125"/>
    <w:rsid w:val="0055409E"/>
    <w:rsid w:val="00554A36"/>
    <w:rsid w:val="00556FCF"/>
    <w:rsid w:val="005612A8"/>
    <w:rsid w:val="00562514"/>
    <w:rsid w:val="00564C6D"/>
    <w:rsid w:val="00570C36"/>
    <w:rsid w:val="0057133A"/>
    <w:rsid w:val="00576E04"/>
    <w:rsid w:val="0057733C"/>
    <w:rsid w:val="00581AC2"/>
    <w:rsid w:val="00583AC0"/>
    <w:rsid w:val="00584880"/>
    <w:rsid w:val="00584BFC"/>
    <w:rsid w:val="005856FC"/>
    <w:rsid w:val="00585B3D"/>
    <w:rsid w:val="005873D0"/>
    <w:rsid w:val="005917A6"/>
    <w:rsid w:val="00591B28"/>
    <w:rsid w:val="005932B6"/>
    <w:rsid w:val="00594A31"/>
    <w:rsid w:val="00594CF4"/>
    <w:rsid w:val="00595B77"/>
    <w:rsid w:val="00596F89"/>
    <w:rsid w:val="005A3A05"/>
    <w:rsid w:val="005B26AD"/>
    <w:rsid w:val="005B333A"/>
    <w:rsid w:val="005B53A3"/>
    <w:rsid w:val="005C0074"/>
    <w:rsid w:val="005C06FA"/>
    <w:rsid w:val="005C0B79"/>
    <w:rsid w:val="005D54D6"/>
    <w:rsid w:val="005D6CCE"/>
    <w:rsid w:val="005E24C9"/>
    <w:rsid w:val="005E38AF"/>
    <w:rsid w:val="005E5B0F"/>
    <w:rsid w:val="005E64CF"/>
    <w:rsid w:val="005E671C"/>
    <w:rsid w:val="005F5F6C"/>
    <w:rsid w:val="005F60A9"/>
    <w:rsid w:val="005F6F86"/>
    <w:rsid w:val="00600743"/>
    <w:rsid w:val="006048A4"/>
    <w:rsid w:val="00605362"/>
    <w:rsid w:val="006064F7"/>
    <w:rsid w:val="006068F0"/>
    <w:rsid w:val="00606C3B"/>
    <w:rsid w:val="00622C28"/>
    <w:rsid w:val="00626CA8"/>
    <w:rsid w:val="006271A0"/>
    <w:rsid w:val="006301C4"/>
    <w:rsid w:val="00631BAB"/>
    <w:rsid w:val="00632500"/>
    <w:rsid w:val="006328BC"/>
    <w:rsid w:val="006406A8"/>
    <w:rsid w:val="00640B4E"/>
    <w:rsid w:val="00641D5B"/>
    <w:rsid w:val="00644694"/>
    <w:rsid w:val="00644AAD"/>
    <w:rsid w:val="00653CDE"/>
    <w:rsid w:val="00654E22"/>
    <w:rsid w:val="00655C0F"/>
    <w:rsid w:val="00656442"/>
    <w:rsid w:val="006605F2"/>
    <w:rsid w:val="00661DA0"/>
    <w:rsid w:val="00661FD0"/>
    <w:rsid w:val="006632E6"/>
    <w:rsid w:val="00663A92"/>
    <w:rsid w:val="00670E85"/>
    <w:rsid w:val="00674717"/>
    <w:rsid w:val="006749DE"/>
    <w:rsid w:val="00675A8C"/>
    <w:rsid w:val="00676923"/>
    <w:rsid w:val="006769BB"/>
    <w:rsid w:val="0067703D"/>
    <w:rsid w:val="006831E3"/>
    <w:rsid w:val="006851E8"/>
    <w:rsid w:val="00691B1A"/>
    <w:rsid w:val="00692AE5"/>
    <w:rsid w:val="006935F6"/>
    <w:rsid w:val="00694532"/>
    <w:rsid w:val="0069534A"/>
    <w:rsid w:val="00695425"/>
    <w:rsid w:val="006954AF"/>
    <w:rsid w:val="006A101B"/>
    <w:rsid w:val="006A11CB"/>
    <w:rsid w:val="006A18B4"/>
    <w:rsid w:val="006A5775"/>
    <w:rsid w:val="006A6DC8"/>
    <w:rsid w:val="006B24D7"/>
    <w:rsid w:val="006B2531"/>
    <w:rsid w:val="006B49F9"/>
    <w:rsid w:val="006C015A"/>
    <w:rsid w:val="006C2360"/>
    <w:rsid w:val="006C293D"/>
    <w:rsid w:val="006C55A9"/>
    <w:rsid w:val="006C5999"/>
    <w:rsid w:val="006D0A1B"/>
    <w:rsid w:val="006D6A62"/>
    <w:rsid w:val="006E259F"/>
    <w:rsid w:val="006E53B9"/>
    <w:rsid w:val="006F0015"/>
    <w:rsid w:val="006F174C"/>
    <w:rsid w:val="006F1A7C"/>
    <w:rsid w:val="00703B6B"/>
    <w:rsid w:val="00705B95"/>
    <w:rsid w:val="00707FF2"/>
    <w:rsid w:val="007109C3"/>
    <w:rsid w:val="00711A26"/>
    <w:rsid w:val="0071418F"/>
    <w:rsid w:val="00715422"/>
    <w:rsid w:val="00715456"/>
    <w:rsid w:val="00717D53"/>
    <w:rsid w:val="007220A4"/>
    <w:rsid w:val="0072351B"/>
    <w:rsid w:val="0072624B"/>
    <w:rsid w:val="00730FBB"/>
    <w:rsid w:val="0073261C"/>
    <w:rsid w:val="00736625"/>
    <w:rsid w:val="00744B4B"/>
    <w:rsid w:val="00745BFF"/>
    <w:rsid w:val="0074683F"/>
    <w:rsid w:val="00747C90"/>
    <w:rsid w:val="007549ED"/>
    <w:rsid w:val="0075643C"/>
    <w:rsid w:val="00756DD1"/>
    <w:rsid w:val="00757B36"/>
    <w:rsid w:val="00760A31"/>
    <w:rsid w:val="00761289"/>
    <w:rsid w:val="00761EA6"/>
    <w:rsid w:val="00762CE0"/>
    <w:rsid w:val="00764849"/>
    <w:rsid w:val="00767154"/>
    <w:rsid w:val="0077344A"/>
    <w:rsid w:val="00773B6C"/>
    <w:rsid w:val="00773FEE"/>
    <w:rsid w:val="00775AAB"/>
    <w:rsid w:val="007800E6"/>
    <w:rsid w:val="00781C9F"/>
    <w:rsid w:val="00781DF2"/>
    <w:rsid w:val="007904A5"/>
    <w:rsid w:val="00790B95"/>
    <w:rsid w:val="007937A3"/>
    <w:rsid w:val="00794E3C"/>
    <w:rsid w:val="007959A1"/>
    <w:rsid w:val="007A1E54"/>
    <w:rsid w:val="007A5556"/>
    <w:rsid w:val="007A7C98"/>
    <w:rsid w:val="007B43AB"/>
    <w:rsid w:val="007B4684"/>
    <w:rsid w:val="007B6B15"/>
    <w:rsid w:val="007B72DC"/>
    <w:rsid w:val="007C09EA"/>
    <w:rsid w:val="007C1852"/>
    <w:rsid w:val="007C2309"/>
    <w:rsid w:val="007C3B9F"/>
    <w:rsid w:val="007C67A1"/>
    <w:rsid w:val="007D49C5"/>
    <w:rsid w:val="007D5273"/>
    <w:rsid w:val="007D6581"/>
    <w:rsid w:val="007D6EBC"/>
    <w:rsid w:val="007D7114"/>
    <w:rsid w:val="007E1D75"/>
    <w:rsid w:val="007E4817"/>
    <w:rsid w:val="007E6955"/>
    <w:rsid w:val="007F0A33"/>
    <w:rsid w:val="007F13EC"/>
    <w:rsid w:val="007F1D2B"/>
    <w:rsid w:val="007F2BFE"/>
    <w:rsid w:val="007F334C"/>
    <w:rsid w:val="007F4D7D"/>
    <w:rsid w:val="007F6F34"/>
    <w:rsid w:val="007F717F"/>
    <w:rsid w:val="007F79EB"/>
    <w:rsid w:val="00806528"/>
    <w:rsid w:val="00806FB0"/>
    <w:rsid w:val="00813A86"/>
    <w:rsid w:val="008158D6"/>
    <w:rsid w:val="00815AE1"/>
    <w:rsid w:val="008176CE"/>
    <w:rsid w:val="00822736"/>
    <w:rsid w:val="008232D5"/>
    <w:rsid w:val="008236D1"/>
    <w:rsid w:val="00823F88"/>
    <w:rsid w:val="008269DE"/>
    <w:rsid w:val="0082700E"/>
    <w:rsid w:val="008300D6"/>
    <w:rsid w:val="0083505A"/>
    <w:rsid w:val="00840E22"/>
    <w:rsid w:val="00842808"/>
    <w:rsid w:val="00843D45"/>
    <w:rsid w:val="008510E5"/>
    <w:rsid w:val="00852105"/>
    <w:rsid w:val="0085356F"/>
    <w:rsid w:val="0085544C"/>
    <w:rsid w:val="008604A4"/>
    <w:rsid w:val="008606F1"/>
    <w:rsid w:val="00860B81"/>
    <w:rsid w:val="00860D9E"/>
    <w:rsid w:val="00860E79"/>
    <w:rsid w:val="008618B9"/>
    <w:rsid w:val="00861D5D"/>
    <w:rsid w:val="00862516"/>
    <w:rsid w:val="00863D24"/>
    <w:rsid w:val="00865A4A"/>
    <w:rsid w:val="0086784A"/>
    <w:rsid w:val="0087165F"/>
    <w:rsid w:val="00873615"/>
    <w:rsid w:val="00874110"/>
    <w:rsid w:val="0088093B"/>
    <w:rsid w:val="008811BB"/>
    <w:rsid w:val="00883749"/>
    <w:rsid w:val="00884C48"/>
    <w:rsid w:val="008920A9"/>
    <w:rsid w:val="00894FBD"/>
    <w:rsid w:val="0089747C"/>
    <w:rsid w:val="008974F2"/>
    <w:rsid w:val="008A2903"/>
    <w:rsid w:val="008A4589"/>
    <w:rsid w:val="008A4C6A"/>
    <w:rsid w:val="008A5631"/>
    <w:rsid w:val="008A5A7B"/>
    <w:rsid w:val="008B03C3"/>
    <w:rsid w:val="008B19A3"/>
    <w:rsid w:val="008C277B"/>
    <w:rsid w:val="008C4798"/>
    <w:rsid w:val="008C5042"/>
    <w:rsid w:val="008D1B23"/>
    <w:rsid w:val="008D3FFB"/>
    <w:rsid w:val="008D43F8"/>
    <w:rsid w:val="008D4D49"/>
    <w:rsid w:val="008E2354"/>
    <w:rsid w:val="008E268A"/>
    <w:rsid w:val="008E2F9C"/>
    <w:rsid w:val="008E3451"/>
    <w:rsid w:val="008E41C9"/>
    <w:rsid w:val="008E41EC"/>
    <w:rsid w:val="008E4F9A"/>
    <w:rsid w:val="008E53FF"/>
    <w:rsid w:val="008E5D13"/>
    <w:rsid w:val="008F0E48"/>
    <w:rsid w:val="008F2C14"/>
    <w:rsid w:val="008F2DCC"/>
    <w:rsid w:val="008F517C"/>
    <w:rsid w:val="008F661D"/>
    <w:rsid w:val="009008CA"/>
    <w:rsid w:val="00902455"/>
    <w:rsid w:val="00904A9B"/>
    <w:rsid w:val="00905884"/>
    <w:rsid w:val="00916B39"/>
    <w:rsid w:val="00920D6C"/>
    <w:rsid w:val="00921304"/>
    <w:rsid w:val="00921DFA"/>
    <w:rsid w:val="00922C33"/>
    <w:rsid w:val="00922C8D"/>
    <w:rsid w:val="00923170"/>
    <w:rsid w:val="009245FD"/>
    <w:rsid w:val="009276D5"/>
    <w:rsid w:val="009348D2"/>
    <w:rsid w:val="009349C3"/>
    <w:rsid w:val="009357EB"/>
    <w:rsid w:val="00937C7E"/>
    <w:rsid w:val="0094209F"/>
    <w:rsid w:val="00942D58"/>
    <w:rsid w:val="00942FDE"/>
    <w:rsid w:val="0094455D"/>
    <w:rsid w:val="009507C9"/>
    <w:rsid w:val="00952863"/>
    <w:rsid w:val="009528FA"/>
    <w:rsid w:val="00953FFB"/>
    <w:rsid w:val="00956C36"/>
    <w:rsid w:val="00960CE5"/>
    <w:rsid w:val="0096166D"/>
    <w:rsid w:val="00964218"/>
    <w:rsid w:val="00964D29"/>
    <w:rsid w:val="0096645C"/>
    <w:rsid w:val="00982895"/>
    <w:rsid w:val="00983663"/>
    <w:rsid w:val="00986437"/>
    <w:rsid w:val="00986C7E"/>
    <w:rsid w:val="0098767A"/>
    <w:rsid w:val="00987D2D"/>
    <w:rsid w:val="009911B9"/>
    <w:rsid w:val="009924D4"/>
    <w:rsid w:val="009961B0"/>
    <w:rsid w:val="009963BC"/>
    <w:rsid w:val="00996675"/>
    <w:rsid w:val="00996A79"/>
    <w:rsid w:val="00996C3F"/>
    <w:rsid w:val="009A5C17"/>
    <w:rsid w:val="009A6B50"/>
    <w:rsid w:val="009A6C00"/>
    <w:rsid w:val="009A71A3"/>
    <w:rsid w:val="009B4CAE"/>
    <w:rsid w:val="009B644A"/>
    <w:rsid w:val="009B67C7"/>
    <w:rsid w:val="009B6D76"/>
    <w:rsid w:val="009C3D9F"/>
    <w:rsid w:val="009C5CC6"/>
    <w:rsid w:val="009C60E6"/>
    <w:rsid w:val="009C6887"/>
    <w:rsid w:val="009D322E"/>
    <w:rsid w:val="009D5E30"/>
    <w:rsid w:val="009D64B0"/>
    <w:rsid w:val="009D6F77"/>
    <w:rsid w:val="009D78E3"/>
    <w:rsid w:val="009D78FE"/>
    <w:rsid w:val="009E0DF2"/>
    <w:rsid w:val="009E0EAB"/>
    <w:rsid w:val="009E2765"/>
    <w:rsid w:val="009E2C4C"/>
    <w:rsid w:val="009E30FA"/>
    <w:rsid w:val="009E412F"/>
    <w:rsid w:val="009E4670"/>
    <w:rsid w:val="009E509B"/>
    <w:rsid w:val="009E5519"/>
    <w:rsid w:val="009E5F55"/>
    <w:rsid w:val="009E7D4A"/>
    <w:rsid w:val="009F02F1"/>
    <w:rsid w:val="009F0578"/>
    <w:rsid w:val="009F0C67"/>
    <w:rsid w:val="009F1884"/>
    <w:rsid w:val="009F48CE"/>
    <w:rsid w:val="009F4CA4"/>
    <w:rsid w:val="009F5431"/>
    <w:rsid w:val="009F5C57"/>
    <w:rsid w:val="00A01445"/>
    <w:rsid w:val="00A049C2"/>
    <w:rsid w:val="00A07660"/>
    <w:rsid w:val="00A079C6"/>
    <w:rsid w:val="00A109AC"/>
    <w:rsid w:val="00A11161"/>
    <w:rsid w:val="00A11791"/>
    <w:rsid w:val="00A12D20"/>
    <w:rsid w:val="00A15316"/>
    <w:rsid w:val="00A15437"/>
    <w:rsid w:val="00A2018B"/>
    <w:rsid w:val="00A207B9"/>
    <w:rsid w:val="00A317A2"/>
    <w:rsid w:val="00A31C07"/>
    <w:rsid w:val="00A31E32"/>
    <w:rsid w:val="00A3550A"/>
    <w:rsid w:val="00A3572F"/>
    <w:rsid w:val="00A35D90"/>
    <w:rsid w:val="00A36178"/>
    <w:rsid w:val="00A37610"/>
    <w:rsid w:val="00A37BF4"/>
    <w:rsid w:val="00A37ECC"/>
    <w:rsid w:val="00A41DC7"/>
    <w:rsid w:val="00A4364F"/>
    <w:rsid w:val="00A45772"/>
    <w:rsid w:val="00A5424F"/>
    <w:rsid w:val="00A54EBE"/>
    <w:rsid w:val="00A56CB5"/>
    <w:rsid w:val="00A57D58"/>
    <w:rsid w:val="00A621F8"/>
    <w:rsid w:val="00A6351C"/>
    <w:rsid w:val="00A640D3"/>
    <w:rsid w:val="00A64717"/>
    <w:rsid w:val="00A748C9"/>
    <w:rsid w:val="00A74EB5"/>
    <w:rsid w:val="00A755CC"/>
    <w:rsid w:val="00A7677D"/>
    <w:rsid w:val="00A76ADC"/>
    <w:rsid w:val="00A77398"/>
    <w:rsid w:val="00A80C51"/>
    <w:rsid w:val="00A81EDF"/>
    <w:rsid w:val="00A82980"/>
    <w:rsid w:val="00A83A62"/>
    <w:rsid w:val="00A874DE"/>
    <w:rsid w:val="00A87BD7"/>
    <w:rsid w:val="00A929CC"/>
    <w:rsid w:val="00A94C1A"/>
    <w:rsid w:val="00A9536F"/>
    <w:rsid w:val="00A95495"/>
    <w:rsid w:val="00A955F2"/>
    <w:rsid w:val="00AA0FBE"/>
    <w:rsid w:val="00AA2B34"/>
    <w:rsid w:val="00AA4479"/>
    <w:rsid w:val="00AA45D2"/>
    <w:rsid w:val="00AA48D1"/>
    <w:rsid w:val="00AA643A"/>
    <w:rsid w:val="00AB4DFE"/>
    <w:rsid w:val="00AB671C"/>
    <w:rsid w:val="00AB7BFD"/>
    <w:rsid w:val="00AB7E31"/>
    <w:rsid w:val="00AC3C59"/>
    <w:rsid w:val="00AC7829"/>
    <w:rsid w:val="00AD2F5B"/>
    <w:rsid w:val="00AD464B"/>
    <w:rsid w:val="00AD72C1"/>
    <w:rsid w:val="00AD7E81"/>
    <w:rsid w:val="00AE0FF5"/>
    <w:rsid w:val="00AE127D"/>
    <w:rsid w:val="00AE3AB2"/>
    <w:rsid w:val="00AF12E5"/>
    <w:rsid w:val="00AF78EE"/>
    <w:rsid w:val="00AF7D70"/>
    <w:rsid w:val="00B017FE"/>
    <w:rsid w:val="00B023D9"/>
    <w:rsid w:val="00B04C8A"/>
    <w:rsid w:val="00B05D04"/>
    <w:rsid w:val="00B07F7D"/>
    <w:rsid w:val="00B17E63"/>
    <w:rsid w:val="00B17F7F"/>
    <w:rsid w:val="00B207FA"/>
    <w:rsid w:val="00B20869"/>
    <w:rsid w:val="00B211ED"/>
    <w:rsid w:val="00B21345"/>
    <w:rsid w:val="00B26E6E"/>
    <w:rsid w:val="00B27FC4"/>
    <w:rsid w:val="00B306F4"/>
    <w:rsid w:val="00B31770"/>
    <w:rsid w:val="00B319D0"/>
    <w:rsid w:val="00B32866"/>
    <w:rsid w:val="00B33B3B"/>
    <w:rsid w:val="00B34DFA"/>
    <w:rsid w:val="00B35530"/>
    <w:rsid w:val="00B43B87"/>
    <w:rsid w:val="00B52B37"/>
    <w:rsid w:val="00B548FD"/>
    <w:rsid w:val="00B54D1D"/>
    <w:rsid w:val="00B556FB"/>
    <w:rsid w:val="00B56361"/>
    <w:rsid w:val="00B57706"/>
    <w:rsid w:val="00B61746"/>
    <w:rsid w:val="00B62005"/>
    <w:rsid w:val="00B62E96"/>
    <w:rsid w:val="00B665F7"/>
    <w:rsid w:val="00B67934"/>
    <w:rsid w:val="00B70C68"/>
    <w:rsid w:val="00B76FFB"/>
    <w:rsid w:val="00B7795B"/>
    <w:rsid w:val="00B77961"/>
    <w:rsid w:val="00B803FE"/>
    <w:rsid w:val="00B84C74"/>
    <w:rsid w:val="00B91562"/>
    <w:rsid w:val="00B94CF1"/>
    <w:rsid w:val="00B9547B"/>
    <w:rsid w:val="00BA2043"/>
    <w:rsid w:val="00BA2379"/>
    <w:rsid w:val="00BA3AE9"/>
    <w:rsid w:val="00BA4C02"/>
    <w:rsid w:val="00BA6F13"/>
    <w:rsid w:val="00BB23CD"/>
    <w:rsid w:val="00BB3A8E"/>
    <w:rsid w:val="00BB59AD"/>
    <w:rsid w:val="00BB5CD0"/>
    <w:rsid w:val="00BB65B0"/>
    <w:rsid w:val="00BB7111"/>
    <w:rsid w:val="00BC05F6"/>
    <w:rsid w:val="00BC0690"/>
    <w:rsid w:val="00BC0785"/>
    <w:rsid w:val="00BC11BC"/>
    <w:rsid w:val="00BC2052"/>
    <w:rsid w:val="00BC279D"/>
    <w:rsid w:val="00BC2FBC"/>
    <w:rsid w:val="00BC4D83"/>
    <w:rsid w:val="00BC5B13"/>
    <w:rsid w:val="00BC6D1F"/>
    <w:rsid w:val="00BC78A0"/>
    <w:rsid w:val="00BD1033"/>
    <w:rsid w:val="00BD1CD3"/>
    <w:rsid w:val="00BD5539"/>
    <w:rsid w:val="00BD6443"/>
    <w:rsid w:val="00BE0A97"/>
    <w:rsid w:val="00BE0F5B"/>
    <w:rsid w:val="00BE209F"/>
    <w:rsid w:val="00BE242C"/>
    <w:rsid w:val="00BE30D4"/>
    <w:rsid w:val="00BE713B"/>
    <w:rsid w:val="00BF0BC8"/>
    <w:rsid w:val="00BF2DE4"/>
    <w:rsid w:val="00BF4E4B"/>
    <w:rsid w:val="00BF64C9"/>
    <w:rsid w:val="00BF7045"/>
    <w:rsid w:val="00BF72CD"/>
    <w:rsid w:val="00BF79CA"/>
    <w:rsid w:val="00C03881"/>
    <w:rsid w:val="00C03EC3"/>
    <w:rsid w:val="00C051BA"/>
    <w:rsid w:val="00C052AB"/>
    <w:rsid w:val="00C06107"/>
    <w:rsid w:val="00C114D9"/>
    <w:rsid w:val="00C115C2"/>
    <w:rsid w:val="00C12A33"/>
    <w:rsid w:val="00C20A8B"/>
    <w:rsid w:val="00C21B1C"/>
    <w:rsid w:val="00C22CCF"/>
    <w:rsid w:val="00C234FA"/>
    <w:rsid w:val="00C250DC"/>
    <w:rsid w:val="00C25ECD"/>
    <w:rsid w:val="00C3109D"/>
    <w:rsid w:val="00C31DD3"/>
    <w:rsid w:val="00C3405B"/>
    <w:rsid w:val="00C40FF2"/>
    <w:rsid w:val="00C41BE7"/>
    <w:rsid w:val="00C444B2"/>
    <w:rsid w:val="00C4721A"/>
    <w:rsid w:val="00C479A8"/>
    <w:rsid w:val="00C47EAE"/>
    <w:rsid w:val="00C50941"/>
    <w:rsid w:val="00C510B7"/>
    <w:rsid w:val="00C5335B"/>
    <w:rsid w:val="00C54574"/>
    <w:rsid w:val="00C55D81"/>
    <w:rsid w:val="00C644B3"/>
    <w:rsid w:val="00C64614"/>
    <w:rsid w:val="00C64673"/>
    <w:rsid w:val="00C67F26"/>
    <w:rsid w:val="00C72985"/>
    <w:rsid w:val="00C73607"/>
    <w:rsid w:val="00C7749B"/>
    <w:rsid w:val="00C82DE7"/>
    <w:rsid w:val="00C84648"/>
    <w:rsid w:val="00C84F36"/>
    <w:rsid w:val="00C863EE"/>
    <w:rsid w:val="00C90447"/>
    <w:rsid w:val="00C90F87"/>
    <w:rsid w:val="00C913EC"/>
    <w:rsid w:val="00C91EA9"/>
    <w:rsid w:val="00C95721"/>
    <w:rsid w:val="00CB10A1"/>
    <w:rsid w:val="00CB1671"/>
    <w:rsid w:val="00CB3128"/>
    <w:rsid w:val="00CB4EE8"/>
    <w:rsid w:val="00CB582D"/>
    <w:rsid w:val="00CB61BD"/>
    <w:rsid w:val="00CB63FC"/>
    <w:rsid w:val="00CB78F3"/>
    <w:rsid w:val="00CC19E8"/>
    <w:rsid w:val="00CC1B5B"/>
    <w:rsid w:val="00CC1E96"/>
    <w:rsid w:val="00CC30D3"/>
    <w:rsid w:val="00CC7527"/>
    <w:rsid w:val="00CD60E2"/>
    <w:rsid w:val="00CE14C9"/>
    <w:rsid w:val="00CE6A01"/>
    <w:rsid w:val="00CF32E4"/>
    <w:rsid w:val="00CF3473"/>
    <w:rsid w:val="00CF37DE"/>
    <w:rsid w:val="00CF45D0"/>
    <w:rsid w:val="00CF4883"/>
    <w:rsid w:val="00CF608F"/>
    <w:rsid w:val="00CF6FCC"/>
    <w:rsid w:val="00D00B83"/>
    <w:rsid w:val="00D02CF7"/>
    <w:rsid w:val="00D02F05"/>
    <w:rsid w:val="00D03053"/>
    <w:rsid w:val="00D03757"/>
    <w:rsid w:val="00D050E2"/>
    <w:rsid w:val="00D06972"/>
    <w:rsid w:val="00D06A07"/>
    <w:rsid w:val="00D144B0"/>
    <w:rsid w:val="00D21461"/>
    <w:rsid w:val="00D2287C"/>
    <w:rsid w:val="00D22BE5"/>
    <w:rsid w:val="00D26C11"/>
    <w:rsid w:val="00D3087B"/>
    <w:rsid w:val="00D30B85"/>
    <w:rsid w:val="00D30BBB"/>
    <w:rsid w:val="00D348C4"/>
    <w:rsid w:val="00D37A63"/>
    <w:rsid w:val="00D41481"/>
    <w:rsid w:val="00D43AA4"/>
    <w:rsid w:val="00D44310"/>
    <w:rsid w:val="00D44B33"/>
    <w:rsid w:val="00D47C7E"/>
    <w:rsid w:val="00D51A09"/>
    <w:rsid w:val="00D51BC1"/>
    <w:rsid w:val="00D53350"/>
    <w:rsid w:val="00D556A1"/>
    <w:rsid w:val="00D563C2"/>
    <w:rsid w:val="00D57164"/>
    <w:rsid w:val="00D57281"/>
    <w:rsid w:val="00D57A8C"/>
    <w:rsid w:val="00D57BC6"/>
    <w:rsid w:val="00D65967"/>
    <w:rsid w:val="00D70122"/>
    <w:rsid w:val="00D7025D"/>
    <w:rsid w:val="00D732AF"/>
    <w:rsid w:val="00D75C41"/>
    <w:rsid w:val="00D777F1"/>
    <w:rsid w:val="00D800B0"/>
    <w:rsid w:val="00D805DE"/>
    <w:rsid w:val="00D80B69"/>
    <w:rsid w:val="00D8185B"/>
    <w:rsid w:val="00D8194A"/>
    <w:rsid w:val="00D82F3E"/>
    <w:rsid w:val="00D90C97"/>
    <w:rsid w:val="00D968BC"/>
    <w:rsid w:val="00D969A3"/>
    <w:rsid w:val="00DA3B20"/>
    <w:rsid w:val="00DA3D2A"/>
    <w:rsid w:val="00DA584A"/>
    <w:rsid w:val="00DB6895"/>
    <w:rsid w:val="00DB78B9"/>
    <w:rsid w:val="00DC01DB"/>
    <w:rsid w:val="00DC4007"/>
    <w:rsid w:val="00DC7AB8"/>
    <w:rsid w:val="00DD211C"/>
    <w:rsid w:val="00DD3DE1"/>
    <w:rsid w:val="00DD525D"/>
    <w:rsid w:val="00DD5508"/>
    <w:rsid w:val="00DD5E05"/>
    <w:rsid w:val="00DD7926"/>
    <w:rsid w:val="00DD7F98"/>
    <w:rsid w:val="00DE0E0D"/>
    <w:rsid w:val="00DE33FB"/>
    <w:rsid w:val="00DE56E6"/>
    <w:rsid w:val="00DE5E63"/>
    <w:rsid w:val="00DE675A"/>
    <w:rsid w:val="00DF50E0"/>
    <w:rsid w:val="00DF693E"/>
    <w:rsid w:val="00E138A9"/>
    <w:rsid w:val="00E13B1F"/>
    <w:rsid w:val="00E1452E"/>
    <w:rsid w:val="00E20739"/>
    <w:rsid w:val="00E2148E"/>
    <w:rsid w:val="00E35D66"/>
    <w:rsid w:val="00E375E1"/>
    <w:rsid w:val="00E378C7"/>
    <w:rsid w:val="00E40A3B"/>
    <w:rsid w:val="00E41764"/>
    <w:rsid w:val="00E4228B"/>
    <w:rsid w:val="00E431DF"/>
    <w:rsid w:val="00E46780"/>
    <w:rsid w:val="00E47FF8"/>
    <w:rsid w:val="00E502C4"/>
    <w:rsid w:val="00E541E9"/>
    <w:rsid w:val="00E54657"/>
    <w:rsid w:val="00E6420E"/>
    <w:rsid w:val="00E64EDC"/>
    <w:rsid w:val="00E6697F"/>
    <w:rsid w:val="00E74681"/>
    <w:rsid w:val="00E76151"/>
    <w:rsid w:val="00E76C4F"/>
    <w:rsid w:val="00E7799A"/>
    <w:rsid w:val="00E77CF4"/>
    <w:rsid w:val="00E801B8"/>
    <w:rsid w:val="00E8042B"/>
    <w:rsid w:val="00E80A30"/>
    <w:rsid w:val="00E820A0"/>
    <w:rsid w:val="00E825A1"/>
    <w:rsid w:val="00E900AD"/>
    <w:rsid w:val="00E9217F"/>
    <w:rsid w:val="00E93A05"/>
    <w:rsid w:val="00E9496E"/>
    <w:rsid w:val="00E95E2C"/>
    <w:rsid w:val="00E96765"/>
    <w:rsid w:val="00E97D09"/>
    <w:rsid w:val="00EA009B"/>
    <w:rsid w:val="00EA04B7"/>
    <w:rsid w:val="00EA0937"/>
    <w:rsid w:val="00EA4A2C"/>
    <w:rsid w:val="00EA61CF"/>
    <w:rsid w:val="00EA7723"/>
    <w:rsid w:val="00EB09F8"/>
    <w:rsid w:val="00EB0E8C"/>
    <w:rsid w:val="00EB17F3"/>
    <w:rsid w:val="00EB2298"/>
    <w:rsid w:val="00EB2470"/>
    <w:rsid w:val="00EB28CA"/>
    <w:rsid w:val="00EB28E3"/>
    <w:rsid w:val="00EB4F4C"/>
    <w:rsid w:val="00EB52F2"/>
    <w:rsid w:val="00EB57D6"/>
    <w:rsid w:val="00EC4030"/>
    <w:rsid w:val="00EC5445"/>
    <w:rsid w:val="00ED293D"/>
    <w:rsid w:val="00ED4169"/>
    <w:rsid w:val="00ED7E8E"/>
    <w:rsid w:val="00EE1688"/>
    <w:rsid w:val="00EE1976"/>
    <w:rsid w:val="00EE23CC"/>
    <w:rsid w:val="00EF36D5"/>
    <w:rsid w:val="00EF3F63"/>
    <w:rsid w:val="00EF4C13"/>
    <w:rsid w:val="00EF6EEB"/>
    <w:rsid w:val="00F01551"/>
    <w:rsid w:val="00F02152"/>
    <w:rsid w:val="00F05420"/>
    <w:rsid w:val="00F072C2"/>
    <w:rsid w:val="00F1066F"/>
    <w:rsid w:val="00F21207"/>
    <w:rsid w:val="00F2230F"/>
    <w:rsid w:val="00F243FD"/>
    <w:rsid w:val="00F27B73"/>
    <w:rsid w:val="00F33FC7"/>
    <w:rsid w:val="00F343C9"/>
    <w:rsid w:val="00F34A2F"/>
    <w:rsid w:val="00F352E7"/>
    <w:rsid w:val="00F43736"/>
    <w:rsid w:val="00F4628C"/>
    <w:rsid w:val="00F50D39"/>
    <w:rsid w:val="00F50FBA"/>
    <w:rsid w:val="00F5107C"/>
    <w:rsid w:val="00F5110A"/>
    <w:rsid w:val="00F51DC6"/>
    <w:rsid w:val="00F52FF2"/>
    <w:rsid w:val="00F53FD4"/>
    <w:rsid w:val="00F56BEA"/>
    <w:rsid w:val="00F571CE"/>
    <w:rsid w:val="00F63113"/>
    <w:rsid w:val="00F6681A"/>
    <w:rsid w:val="00F707DE"/>
    <w:rsid w:val="00F71E15"/>
    <w:rsid w:val="00F72D89"/>
    <w:rsid w:val="00F74F31"/>
    <w:rsid w:val="00F75227"/>
    <w:rsid w:val="00F87EF7"/>
    <w:rsid w:val="00F91BCF"/>
    <w:rsid w:val="00F9366D"/>
    <w:rsid w:val="00F95FE2"/>
    <w:rsid w:val="00FA0D4F"/>
    <w:rsid w:val="00FA2334"/>
    <w:rsid w:val="00FA3C12"/>
    <w:rsid w:val="00FA5C05"/>
    <w:rsid w:val="00FA6DD0"/>
    <w:rsid w:val="00FB02D1"/>
    <w:rsid w:val="00FB3A1E"/>
    <w:rsid w:val="00FB3C91"/>
    <w:rsid w:val="00FB4DCC"/>
    <w:rsid w:val="00FB6647"/>
    <w:rsid w:val="00FC2BF8"/>
    <w:rsid w:val="00FC3B2D"/>
    <w:rsid w:val="00FC3E44"/>
    <w:rsid w:val="00FC5433"/>
    <w:rsid w:val="00FD31C0"/>
    <w:rsid w:val="00FD3F1A"/>
    <w:rsid w:val="00FD442A"/>
    <w:rsid w:val="00FD6406"/>
    <w:rsid w:val="00FD7E6D"/>
    <w:rsid w:val="00FE23EB"/>
    <w:rsid w:val="00FE518E"/>
    <w:rsid w:val="00FE5FE9"/>
    <w:rsid w:val="00FE662E"/>
    <w:rsid w:val="00FF0F02"/>
    <w:rsid w:val="00FF1F90"/>
    <w:rsid w:val="00FF3EC4"/>
    <w:rsid w:val="00FF6998"/>
    <w:rsid w:val="00FF6F38"/>
    <w:rsid w:val="00FF7189"/>
    <w:rsid w:val="01777826"/>
    <w:rsid w:val="01825E49"/>
    <w:rsid w:val="03247F30"/>
    <w:rsid w:val="033F4F25"/>
    <w:rsid w:val="03771E7F"/>
    <w:rsid w:val="03BC4411"/>
    <w:rsid w:val="0413083D"/>
    <w:rsid w:val="043438CC"/>
    <w:rsid w:val="043B6BD9"/>
    <w:rsid w:val="04CC7824"/>
    <w:rsid w:val="04FC07BA"/>
    <w:rsid w:val="05472F59"/>
    <w:rsid w:val="05542491"/>
    <w:rsid w:val="05AC5C28"/>
    <w:rsid w:val="05D940DD"/>
    <w:rsid w:val="05FF6A84"/>
    <w:rsid w:val="061E54C3"/>
    <w:rsid w:val="06440BB2"/>
    <w:rsid w:val="068F06C2"/>
    <w:rsid w:val="074A3B33"/>
    <w:rsid w:val="093211A4"/>
    <w:rsid w:val="093538AC"/>
    <w:rsid w:val="094A246D"/>
    <w:rsid w:val="096A04BC"/>
    <w:rsid w:val="09834458"/>
    <w:rsid w:val="09CD219B"/>
    <w:rsid w:val="09ED576F"/>
    <w:rsid w:val="09F0063B"/>
    <w:rsid w:val="0AD15249"/>
    <w:rsid w:val="0ADB0F46"/>
    <w:rsid w:val="0B42246A"/>
    <w:rsid w:val="0C37554D"/>
    <w:rsid w:val="0CCC7512"/>
    <w:rsid w:val="0CD619C5"/>
    <w:rsid w:val="0D126D7A"/>
    <w:rsid w:val="0DAD6BC9"/>
    <w:rsid w:val="0E232D13"/>
    <w:rsid w:val="0E8F4C4E"/>
    <w:rsid w:val="0F1530EC"/>
    <w:rsid w:val="0F1B63F9"/>
    <w:rsid w:val="0FA40D8C"/>
    <w:rsid w:val="10307374"/>
    <w:rsid w:val="103849FE"/>
    <w:rsid w:val="10817E99"/>
    <w:rsid w:val="11170296"/>
    <w:rsid w:val="127952CC"/>
    <w:rsid w:val="13E764AF"/>
    <w:rsid w:val="141E57DD"/>
    <w:rsid w:val="14E9337C"/>
    <w:rsid w:val="15255E1B"/>
    <w:rsid w:val="15541369"/>
    <w:rsid w:val="15FB648B"/>
    <w:rsid w:val="168503A9"/>
    <w:rsid w:val="16DE7AA3"/>
    <w:rsid w:val="16FC5F37"/>
    <w:rsid w:val="179432AA"/>
    <w:rsid w:val="179D7CAF"/>
    <w:rsid w:val="17DC2995"/>
    <w:rsid w:val="17EE050A"/>
    <w:rsid w:val="17EF415E"/>
    <w:rsid w:val="181E6DC2"/>
    <w:rsid w:val="1827044F"/>
    <w:rsid w:val="18ED1C3E"/>
    <w:rsid w:val="19357065"/>
    <w:rsid w:val="1938118C"/>
    <w:rsid w:val="1940737B"/>
    <w:rsid w:val="1994593B"/>
    <w:rsid w:val="19A54BF8"/>
    <w:rsid w:val="19B65D80"/>
    <w:rsid w:val="19FA13E8"/>
    <w:rsid w:val="1A673801"/>
    <w:rsid w:val="1A7E2D7E"/>
    <w:rsid w:val="1B485D7F"/>
    <w:rsid w:val="1C04352F"/>
    <w:rsid w:val="1C3E30E2"/>
    <w:rsid w:val="1C555657"/>
    <w:rsid w:val="1C794DB6"/>
    <w:rsid w:val="1D0C42FA"/>
    <w:rsid w:val="1D5829E8"/>
    <w:rsid w:val="1D9E2F6D"/>
    <w:rsid w:val="1D9E4054"/>
    <w:rsid w:val="1E0C274A"/>
    <w:rsid w:val="1E20682C"/>
    <w:rsid w:val="1EE83214"/>
    <w:rsid w:val="1F062676"/>
    <w:rsid w:val="1F3257AB"/>
    <w:rsid w:val="1F6400A0"/>
    <w:rsid w:val="1F72788A"/>
    <w:rsid w:val="1FC500F1"/>
    <w:rsid w:val="1FD746B4"/>
    <w:rsid w:val="20733E9E"/>
    <w:rsid w:val="210D791D"/>
    <w:rsid w:val="212009D3"/>
    <w:rsid w:val="216750D4"/>
    <w:rsid w:val="22AD3C10"/>
    <w:rsid w:val="23300850"/>
    <w:rsid w:val="23C6058D"/>
    <w:rsid w:val="2403533D"/>
    <w:rsid w:val="245B3C6C"/>
    <w:rsid w:val="24C30AFA"/>
    <w:rsid w:val="25100723"/>
    <w:rsid w:val="25935328"/>
    <w:rsid w:val="26142FF5"/>
    <w:rsid w:val="26B22875"/>
    <w:rsid w:val="27744DCA"/>
    <w:rsid w:val="277A7005"/>
    <w:rsid w:val="2782420C"/>
    <w:rsid w:val="28246887"/>
    <w:rsid w:val="28D17050"/>
    <w:rsid w:val="29437F8A"/>
    <w:rsid w:val="29613A86"/>
    <w:rsid w:val="2A01352F"/>
    <w:rsid w:val="2A19198F"/>
    <w:rsid w:val="2A300308"/>
    <w:rsid w:val="2A9C10F6"/>
    <w:rsid w:val="2B2215EC"/>
    <w:rsid w:val="2BA240E7"/>
    <w:rsid w:val="2BB67DF7"/>
    <w:rsid w:val="2C1B10DA"/>
    <w:rsid w:val="2C496358"/>
    <w:rsid w:val="2C503A8F"/>
    <w:rsid w:val="2D15736A"/>
    <w:rsid w:val="2E132A42"/>
    <w:rsid w:val="2E340593"/>
    <w:rsid w:val="2F2B2677"/>
    <w:rsid w:val="2F6F68A8"/>
    <w:rsid w:val="2FD82B05"/>
    <w:rsid w:val="2FE5420E"/>
    <w:rsid w:val="301756EA"/>
    <w:rsid w:val="30383BE7"/>
    <w:rsid w:val="30C95F53"/>
    <w:rsid w:val="31AF64BD"/>
    <w:rsid w:val="31C90585"/>
    <w:rsid w:val="329B4965"/>
    <w:rsid w:val="333A41AC"/>
    <w:rsid w:val="333C58BA"/>
    <w:rsid w:val="33C63C91"/>
    <w:rsid w:val="33EC1A12"/>
    <w:rsid w:val="347F27BE"/>
    <w:rsid w:val="348558FB"/>
    <w:rsid w:val="34C70F08"/>
    <w:rsid w:val="34E65E9A"/>
    <w:rsid w:val="3575401F"/>
    <w:rsid w:val="35CC282D"/>
    <w:rsid w:val="367C727E"/>
    <w:rsid w:val="37781DED"/>
    <w:rsid w:val="37AF4D96"/>
    <w:rsid w:val="382011CF"/>
    <w:rsid w:val="38DB01DF"/>
    <w:rsid w:val="38E86458"/>
    <w:rsid w:val="38EE7BF2"/>
    <w:rsid w:val="39205D9E"/>
    <w:rsid w:val="39C03D42"/>
    <w:rsid w:val="39FE1D13"/>
    <w:rsid w:val="3A123DC4"/>
    <w:rsid w:val="3A2A0FE4"/>
    <w:rsid w:val="3AED2F5F"/>
    <w:rsid w:val="3B523786"/>
    <w:rsid w:val="3B5E2A01"/>
    <w:rsid w:val="3B64119B"/>
    <w:rsid w:val="3BB43137"/>
    <w:rsid w:val="3BD238CE"/>
    <w:rsid w:val="3C010324"/>
    <w:rsid w:val="3C1E3FD8"/>
    <w:rsid w:val="3C8431B7"/>
    <w:rsid w:val="3CAD3FF2"/>
    <w:rsid w:val="3CFE26EE"/>
    <w:rsid w:val="3D247283"/>
    <w:rsid w:val="3D5500C5"/>
    <w:rsid w:val="3D6A0D51"/>
    <w:rsid w:val="3D864DFE"/>
    <w:rsid w:val="3E1C74BC"/>
    <w:rsid w:val="3E246CFD"/>
    <w:rsid w:val="3F065C3B"/>
    <w:rsid w:val="3FAE2C88"/>
    <w:rsid w:val="3FF07EA2"/>
    <w:rsid w:val="40AA2AB7"/>
    <w:rsid w:val="42906C7E"/>
    <w:rsid w:val="429A30A4"/>
    <w:rsid w:val="44586B88"/>
    <w:rsid w:val="44CA4BFA"/>
    <w:rsid w:val="44FB129D"/>
    <w:rsid w:val="45177639"/>
    <w:rsid w:val="45475A45"/>
    <w:rsid w:val="45764987"/>
    <w:rsid w:val="45C81AEB"/>
    <w:rsid w:val="45D42CB9"/>
    <w:rsid w:val="468C5C3B"/>
    <w:rsid w:val="46B8390E"/>
    <w:rsid w:val="47967C79"/>
    <w:rsid w:val="48EF0463"/>
    <w:rsid w:val="492E789D"/>
    <w:rsid w:val="499C12C5"/>
    <w:rsid w:val="49B45578"/>
    <w:rsid w:val="49E8450A"/>
    <w:rsid w:val="49EB1425"/>
    <w:rsid w:val="4A231B04"/>
    <w:rsid w:val="4A2B70E1"/>
    <w:rsid w:val="4A61143D"/>
    <w:rsid w:val="4A8B470A"/>
    <w:rsid w:val="4ADB7BCB"/>
    <w:rsid w:val="4B014375"/>
    <w:rsid w:val="4B631CDC"/>
    <w:rsid w:val="4B7F61B4"/>
    <w:rsid w:val="4B8D6ED7"/>
    <w:rsid w:val="4C6F091D"/>
    <w:rsid w:val="4CCC1EC1"/>
    <w:rsid w:val="4CD55219"/>
    <w:rsid w:val="4CD875E2"/>
    <w:rsid w:val="4D083EE4"/>
    <w:rsid w:val="4E793F47"/>
    <w:rsid w:val="4EE01165"/>
    <w:rsid w:val="4F212FD8"/>
    <w:rsid w:val="4F7060CE"/>
    <w:rsid w:val="4FE13ED5"/>
    <w:rsid w:val="504970E8"/>
    <w:rsid w:val="50993A38"/>
    <w:rsid w:val="50D13E6B"/>
    <w:rsid w:val="53781AC3"/>
    <w:rsid w:val="540B4766"/>
    <w:rsid w:val="54110E79"/>
    <w:rsid w:val="54196F31"/>
    <w:rsid w:val="544E5D7F"/>
    <w:rsid w:val="54BD1793"/>
    <w:rsid w:val="54E07EAA"/>
    <w:rsid w:val="55335C92"/>
    <w:rsid w:val="554B5B7F"/>
    <w:rsid w:val="55DC1881"/>
    <w:rsid w:val="55E24301"/>
    <w:rsid w:val="55E620CB"/>
    <w:rsid w:val="55FD3848"/>
    <w:rsid w:val="56064CB0"/>
    <w:rsid w:val="564D1BEB"/>
    <w:rsid w:val="56551179"/>
    <w:rsid w:val="56591A17"/>
    <w:rsid w:val="56775382"/>
    <w:rsid w:val="580854C2"/>
    <w:rsid w:val="58235328"/>
    <w:rsid w:val="58811DA0"/>
    <w:rsid w:val="58962F03"/>
    <w:rsid w:val="58AA6758"/>
    <w:rsid w:val="58E92E1E"/>
    <w:rsid w:val="58ED0274"/>
    <w:rsid w:val="590C783E"/>
    <w:rsid w:val="5A07278A"/>
    <w:rsid w:val="5A676B82"/>
    <w:rsid w:val="5A7C74B9"/>
    <w:rsid w:val="5B1213E7"/>
    <w:rsid w:val="5BCC5A39"/>
    <w:rsid w:val="5CB25BC2"/>
    <w:rsid w:val="5D373670"/>
    <w:rsid w:val="5D4C1AE9"/>
    <w:rsid w:val="5DFD1C6C"/>
    <w:rsid w:val="5E3901A6"/>
    <w:rsid w:val="5F676194"/>
    <w:rsid w:val="5F983A11"/>
    <w:rsid w:val="5FBC5DC5"/>
    <w:rsid w:val="5FF437B1"/>
    <w:rsid w:val="60032DFD"/>
    <w:rsid w:val="601F469E"/>
    <w:rsid w:val="602D021B"/>
    <w:rsid w:val="60A06A6E"/>
    <w:rsid w:val="60D467DC"/>
    <w:rsid w:val="60DE1205"/>
    <w:rsid w:val="615B47C2"/>
    <w:rsid w:val="620D32E9"/>
    <w:rsid w:val="62820300"/>
    <w:rsid w:val="62880AF6"/>
    <w:rsid w:val="62A02B74"/>
    <w:rsid w:val="63810C4D"/>
    <w:rsid w:val="63A96CD4"/>
    <w:rsid w:val="64DA5A7F"/>
    <w:rsid w:val="64E831C7"/>
    <w:rsid w:val="657A6506"/>
    <w:rsid w:val="66124963"/>
    <w:rsid w:val="664A0267"/>
    <w:rsid w:val="664B7015"/>
    <w:rsid w:val="66AA6977"/>
    <w:rsid w:val="67262022"/>
    <w:rsid w:val="67306AAC"/>
    <w:rsid w:val="67A4786A"/>
    <w:rsid w:val="68370929"/>
    <w:rsid w:val="68EB538E"/>
    <w:rsid w:val="69012A9A"/>
    <w:rsid w:val="69A753F0"/>
    <w:rsid w:val="6A1567FD"/>
    <w:rsid w:val="6A301889"/>
    <w:rsid w:val="6AE501B3"/>
    <w:rsid w:val="6B214F29"/>
    <w:rsid w:val="6B6D576A"/>
    <w:rsid w:val="6C305B70"/>
    <w:rsid w:val="6C3F2469"/>
    <w:rsid w:val="6C4D7961"/>
    <w:rsid w:val="6DD544E1"/>
    <w:rsid w:val="6E02415E"/>
    <w:rsid w:val="6E4B6F06"/>
    <w:rsid w:val="6E626484"/>
    <w:rsid w:val="6EBB5C05"/>
    <w:rsid w:val="6F4638FD"/>
    <w:rsid w:val="6F793996"/>
    <w:rsid w:val="6FA86B63"/>
    <w:rsid w:val="6FC9243C"/>
    <w:rsid w:val="6FFF5D18"/>
    <w:rsid w:val="704A5ECE"/>
    <w:rsid w:val="70CC422D"/>
    <w:rsid w:val="71353C29"/>
    <w:rsid w:val="7186508A"/>
    <w:rsid w:val="71C31671"/>
    <w:rsid w:val="72F54468"/>
    <w:rsid w:val="73CA3031"/>
    <w:rsid w:val="740022CC"/>
    <w:rsid w:val="744051B7"/>
    <w:rsid w:val="74585EAC"/>
    <w:rsid w:val="74AD75FB"/>
    <w:rsid w:val="74B542D0"/>
    <w:rsid w:val="74F160B9"/>
    <w:rsid w:val="75457F23"/>
    <w:rsid w:val="75B74C0D"/>
    <w:rsid w:val="760477CC"/>
    <w:rsid w:val="763A525E"/>
    <w:rsid w:val="7647739D"/>
    <w:rsid w:val="773C532B"/>
    <w:rsid w:val="778C5A2E"/>
    <w:rsid w:val="77BE0FA8"/>
    <w:rsid w:val="77BE675B"/>
    <w:rsid w:val="77EC20F6"/>
    <w:rsid w:val="78956F2C"/>
    <w:rsid w:val="78A24BAC"/>
    <w:rsid w:val="78EA52F9"/>
    <w:rsid w:val="792E5DCC"/>
    <w:rsid w:val="79A60D90"/>
    <w:rsid w:val="79AE22D1"/>
    <w:rsid w:val="79BE214E"/>
    <w:rsid w:val="7A7206F1"/>
    <w:rsid w:val="7A7D4AFB"/>
    <w:rsid w:val="7ABFFF03"/>
    <w:rsid w:val="7B04178F"/>
    <w:rsid w:val="7B7D1AE6"/>
    <w:rsid w:val="7BD209F2"/>
    <w:rsid w:val="7C6010D0"/>
    <w:rsid w:val="7CAD7043"/>
    <w:rsid w:val="7CDB1547"/>
    <w:rsid w:val="7CFD3876"/>
    <w:rsid w:val="7D703BB0"/>
    <w:rsid w:val="7D7A1B55"/>
    <w:rsid w:val="7E952C57"/>
    <w:rsid w:val="7EED25D2"/>
    <w:rsid w:val="7F165E89"/>
    <w:rsid w:val="7F211F43"/>
    <w:rsid w:val="7FFF7D69"/>
    <w:rsid w:val="C4E71991"/>
    <w:rsid w:val="D7578950"/>
    <w:rsid w:val="EFF1382C"/>
    <w:rsid w:val="EFF6DAA6"/>
    <w:rsid w:val="F7CF99D3"/>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nhideWhenUsed="0" w:uiPriority="0" w:semiHidden="0" w:name="heading 4"/>
    <w:lsdException w:qFormat="1" w:unhideWhenUsed="0" w:uiPriority="9" w:semiHidden="0"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qFormat="1" w:unhideWhenUsed="0" w:uiPriority="0" w:semiHidden="0" w:name="index 8"/>
    <w:lsdException w:uiPriority="99" w:name="index 9"/>
    <w:lsdException w:qFormat="1" w:unhideWhenUsed="0" w:uiPriority="39" w:semiHidden="0" w:name="toc 1"/>
    <w:lsdException w:qFormat="1" w:unhideWhenUsed="0" w:uiPriority="39" w:semiHidden="0" w:name="toc 2"/>
    <w:lsdException w:qFormat="1" w:uiPriority="39" w:semiHidden="0" w:name="toc 3"/>
    <w:lsdException w:qFormat="1" w:uiPriority="39" w:semiHidden="0" w:name="toc 4"/>
    <w:lsdException w:qFormat="1" w:uiPriority="39" w:semiHidden="0" w:name="toc 5"/>
    <w:lsdException w:qFormat="1" w:uiPriority="39" w:semiHidden="0" w:name="toc 6"/>
    <w:lsdException w:qFormat="1" w:uiPriority="39" w:semiHidden="0" w:name="toc 7"/>
    <w:lsdException w:qFormat="1" w:uiPriority="39" w:semiHidden="0" w:name="toc 8"/>
    <w:lsdException w:qFormat="1" w:uiPriority="39" w:semiHidden="0" w:name="toc 9"/>
    <w:lsdException w:qFormat="1" w:unhideWhenUsed="0" w:uiPriority="0" w:semiHidden="0" w:name="Normal Indent"/>
    <w:lsdException w:uiPriority="99" w:name="footnote text"/>
    <w:lsdException w:qFormat="1" w:unhideWhenUsed="0" w:uiPriority="0" w:semiHidden="0" w:name="annotation text"/>
    <w:lsdException w:qFormat="1" w:unhideWhenUsed="0" w:uiPriority="99" w:semiHidden="0" w:name="header"/>
    <w:lsdException w:qFormat="1" w:unhideWhenUsed="0" w:uiPriority="99" w:semiHidden="0" w:name="footer"/>
    <w:lsdException w:uiPriority="99" w:name="index heading"/>
    <w:lsdException w:qFormat="1" w:unhideWhenUsed="0" w:uiPriority="0" w:semiHidden="0" w:name="caption"/>
    <w:lsdException w:uiPriority="99" w:name="table of figures"/>
    <w:lsdException w:uiPriority="99" w:name="envelope address"/>
    <w:lsdException w:qFormat="1" w:unhideWhenUsed="0" w:uiPriority="0" w:semiHidden="0" w:name="envelope return"/>
    <w:lsdException w:uiPriority="99" w:name="footnote reference"/>
    <w:lsdException w:qFormat="1" w:unhideWhenUsed="0" w:uiPriority="99" w:semiHidden="0"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qFormat="1" w:unhideWhenUsed="0" w:uiPriority="0" w:semiHidden="0"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sdException w:uiPriority="99" w:name="Closing"/>
    <w:lsdException w:uiPriority="99" w:name="Signature"/>
    <w:lsdException w:qFormat="1" w:uiPriority="1" w:name="Default Paragraph Font"/>
    <w:lsdException w:qFormat="1" w:uiPriority="0" w:semiHidden="0"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nhideWhenUsed="0" w:uiPriority="0" w:semiHidden="0" w:name="Date"/>
    <w:lsdException w:qFormat="1" w:uiPriority="99" w:semiHidden="0" w:name="Body Text First Indent"/>
    <w:lsdException w:qFormat="1" w:uiPriority="99" w:semiHidden="0" w:name="Body Text First Indent 2"/>
    <w:lsdException w:uiPriority="99" w:name="Note Heading"/>
    <w:lsdException w:uiPriority="99" w:name="Body Text 2"/>
    <w:lsdException w:qFormat="1" w:uiPriority="99" w:semiHidden="0" w:name="Body Text 3"/>
    <w:lsdException w:qFormat="1" w:unhideWhenUsed="0" w:uiPriority="0" w:semiHidden="0" w:name="Body Text Indent 2"/>
    <w:lsdException w:uiPriority="99" w:name="Body Text Indent 3"/>
    <w:lsdException w:uiPriority="99" w:name="Block Text"/>
    <w:lsdException w:qFormat="1" w:unhideWhenUsed="0" w:uiPriority="99" w:semiHidden="0" w:name="Hyperlink"/>
    <w:lsdException w:qFormat="1" w:uiPriority="99" w:name="FollowedHyperlink"/>
    <w:lsdException w:qFormat="1" w:unhideWhenUsed="0" w:uiPriority="22" w:semiHidden="0" w:name="Strong"/>
    <w:lsdException w:qFormat="1" w:unhideWhenUsed="0" w:uiPriority="20" w:semiHidden="0" w:name="Emphasis"/>
    <w:lsdException w:qFormat="1" w:unhideWhenUsed="0" w:uiPriority="0" w:semiHidden="0" w:name="Document Map"/>
    <w:lsdException w:qFormat="1" w:unhideWhenUsed="0" w:uiPriority="0"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iPriority="99" w:semiHidden="0"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0" w:semiHidden="0"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8">
    <w:name w:val="heading 1"/>
    <w:basedOn w:val="1"/>
    <w:next w:val="1"/>
    <w:link w:val="47"/>
    <w:qFormat/>
    <w:uiPriority w:val="0"/>
    <w:pPr>
      <w:keepNext/>
      <w:keepLines/>
      <w:spacing w:before="340" w:after="330" w:line="576" w:lineRule="auto"/>
      <w:outlineLvl w:val="0"/>
    </w:pPr>
    <w:rPr>
      <w:b/>
      <w:bCs/>
      <w:kern w:val="44"/>
      <w:sz w:val="44"/>
      <w:szCs w:val="44"/>
    </w:rPr>
  </w:style>
  <w:style w:type="paragraph" w:styleId="9">
    <w:name w:val="heading 2"/>
    <w:basedOn w:val="1"/>
    <w:next w:val="1"/>
    <w:link w:val="48"/>
    <w:qFormat/>
    <w:uiPriority w:val="0"/>
    <w:pPr>
      <w:keepNext/>
      <w:keepLines/>
      <w:spacing w:before="260" w:after="260" w:line="413" w:lineRule="auto"/>
      <w:outlineLvl w:val="1"/>
    </w:pPr>
    <w:rPr>
      <w:rFonts w:ascii="Arial" w:hAnsi="Arial" w:eastAsia="黑体"/>
      <w:b/>
      <w:bCs/>
      <w:sz w:val="32"/>
      <w:szCs w:val="32"/>
    </w:rPr>
  </w:style>
  <w:style w:type="paragraph" w:styleId="10">
    <w:name w:val="heading 3"/>
    <w:basedOn w:val="1"/>
    <w:next w:val="1"/>
    <w:link w:val="49"/>
    <w:qFormat/>
    <w:uiPriority w:val="0"/>
    <w:pPr>
      <w:keepNext/>
      <w:keepLines/>
      <w:spacing w:line="600" w:lineRule="exact"/>
      <w:ind w:firstLine="643" w:firstLineChars="200"/>
      <w:outlineLvl w:val="2"/>
    </w:pPr>
    <w:rPr>
      <w:b/>
      <w:bCs/>
      <w:sz w:val="32"/>
      <w:szCs w:val="32"/>
    </w:rPr>
  </w:style>
  <w:style w:type="paragraph" w:styleId="11">
    <w:name w:val="heading 4"/>
    <w:basedOn w:val="1"/>
    <w:next w:val="1"/>
    <w:link w:val="50"/>
    <w:qFormat/>
    <w:uiPriority w:val="0"/>
    <w:pPr>
      <w:tabs>
        <w:tab w:val="left" w:pos="2155"/>
      </w:tabs>
      <w:adjustRightInd w:val="0"/>
      <w:spacing w:before="120" w:line="360" w:lineRule="auto"/>
      <w:ind w:left="2155" w:hanging="1078"/>
      <w:textAlignment w:val="baseline"/>
      <w:outlineLvl w:val="3"/>
    </w:pPr>
    <w:rPr>
      <w:rFonts w:ascii="Arial" w:eastAsia="黑体"/>
      <w:kern w:val="0"/>
      <w:sz w:val="28"/>
      <w:szCs w:val="20"/>
    </w:rPr>
  </w:style>
  <w:style w:type="paragraph" w:styleId="12">
    <w:name w:val="heading 5"/>
    <w:basedOn w:val="1"/>
    <w:next w:val="1"/>
    <w:link w:val="51"/>
    <w:qFormat/>
    <w:uiPriority w:val="9"/>
    <w:pPr>
      <w:keepNext/>
      <w:keepLines/>
      <w:spacing w:before="280" w:after="290" w:line="376" w:lineRule="auto"/>
      <w:outlineLvl w:val="4"/>
    </w:pPr>
    <w:rPr>
      <w:b/>
      <w:bCs/>
      <w:sz w:val="28"/>
      <w:szCs w:val="28"/>
    </w:rPr>
  </w:style>
  <w:style w:type="character" w:default="1" w:styleId="39">
    <w:name w:val="Default Paragraph Font"/>
    <w:semiHidden/>
    <w:unhideWhenUsed/>
    <w:qFormat/>
    <w:uiPriority w:val="1"/>
  </w:style>
  <w:style w:type="table" w:default="1" w:styleId="37">
    <w:name w:val="Normal Table"/>
    <w:semiHidden/>
    <w:unhideWhenUsed/>
    <w:qFormat/>
    <w:uiPriority w:val="99"/>
    <w:pPr>
      <w:keepNext w:val="0"/>
      <w:keepLines w:val="0"/>
      <w:widowControl/>
      <w:suppressLineNumbers w:val="0"/>
      <w:spacing w:before="0" w:beforeAutospacing="0" w:after="0" w:afterAutospacing="0"/>
      <w:ind w:left="0" w:right="0"/>
    </w:pPr>
    <w:rPr>
      <w:rFonts w:hint="default" w:ascii="Times New Roman" w:hAnsi="Times New Roman" w:cs="Times New Roman"/>
      <w:sz w:val="20"/>
      <w:szCs w:val="20"/>
    </w:rPr>
    <w:tblPr>
      <w:tblCellMar>
        <w:top w:w="0" w:type="dxa"/>
        <w:left w:w="108" w:type="dxa"/>
        <w:bottom w:w="0" w:type="dxa"/>
        <w:right w:w="108" w:type="dxa"/>
      </w:tblCellMar>
    </w:tblPr>
  </w:style>
  <w:style w:type="paragraph" w:styleId="2">
    <w:name w:val="Body Text First Indent 2"/>
    <w:basedOn w:val="3"/>
    <w:next w:val="5"/>
    <w:unhideWhenUsed/>
    <w:qFormat/>
    <w:uiPriority w:val="99"/>
    <w:pPr>
      <w:spacing w:after="120"/>
      <w:ind w:left="420" w:leftChars="200" w:firstLine="420" w:firstLineChars="200"/>
    </w:pPr>
    <w:rPr>
      <w:rFonts w:ascii="Calibri" w:hAnsi="Calibri"/>
      <w:sz w:val="21"/>
      <w:szCs w:val="24"/>
    </w:rPr>
  </w:style>
  <w:style w:type="paragraph" w:styleId="3">
    <w:name w:val="Body Text Indent"/>
    <w:basedOn w:val="1"/>
    <w:next w:val="4"/>
    <w:link w:val="173"/>
    <w:qFormat/>
    <w:uiPriority w:val="0"/>
    <w:pPr>
      <w:spacing w:line="200" w:lineRule="exact"/>
      <w:ind w:firstLine="301"/>
    </w:pPr>
    <w:rPr>
      <w:rFonts w:ascii="宋体" w:hAnsi="Courier New"/>
      <w:spacing w:val="-4"/>
      <w:sz w:val="18"/>
      <w:szCs w:val="20"/>
    </w:rPr>
  </w:style>
  <w:style w:type="paragraph" w:styleId="4">
    <w:name w:val="envelope return"/>
    <w:basedOn w:val="1"/>
    <w:qFormat/>
    <w:uiPriority w:val="0"/>
    <w:pPr>
      <w:widowControl/>
      <w:snapToGrid w:val="0"/>
      <w:spacing w:after="200"/>
      <w:jc w:val="left"/>
    </w:pPr>
    <w:rPr>
      <w:rFonts w:ascii="Arial" w:hAnsi="Arial" w:eastAsia="微软雅黑"/>
      <w:kern w:val="0"/>
      <w:sz w:val="22"/>
      <w:szCs w:val="22"/>
    </w:rPr>
  </w:style>
  <w:style w:type="paragraph" w:styleId="5">
    <w:name w:val="Body Text First Indent"/>
    <w:basedOn w:val="6"/>
    <w:unhideWhenUsed/>
    <w:qFormat/>
    <w:uiPriority w:val="99"/>
    <w:pPr>
      <w:ind w:firstLine="420" w:firstLineChars="100"/>
    </w:pPr>
    <w:rPr>
      <w:rFonts w:ascii="Calibri" w:hAnsi="Calibri"/>
    </w:rPr>
  </w:style>
  <w:style w:type="paragraph" w:styleId="6">
    <w:name w:val="Body Text"/>
    <w:basedOn w:val="1"/>
    <w:next w:val="7"/>
    <w:link w:val="171"/>
    <w:unhideWhenUsed/>
    <w:qFormat/>
    <w:uiPriority w:val="0"/>
    <w:pPr>
      <w:spacing w:after="120"/>
    </w:pPr>
  </w:style>
  <w:style w:type="paragraph" w:styleId="7">
    <w:name w:val="Plain Text"/>
    <w:basedOn w:val="1"/>
    <w:link w:val="170"/>
    <w:qFormat/>
    <w:uiPriority w:val="0"/>
    <w:rPr>
      <w:rFonts w:ascii="宋体" w:hAnsi="Courier New"/>
      <w:szCs w:val="20"/>
    </w:rPr>
  </w:style>
  <w:style w:type="paragraph" w:styleId="13">
    <w:name w:val="toc 7"/>
    <w:basedOn w:val="1"/>
    <w:next w:val="1"/>
    <w:unhideWhenUsed/>
    <w:qFormat/>
    <w:uiPriority w:val="39"/>
    <w:pPr>
      <w:jc w:val="left"/>
    </w:pPr>
    <w:rPr>
      <w:rFonts w:ascii="Calibri" w:hAnsi="Calibri"/>
      <w:sz w:val="22"/>
      <w:szCs w:val="22"/>
    </w:rPr>
  </w:style>
  <w:style w:type="paragraph" w:styleId="14">
    <w:name w:val="index 8"/>
    <w:basedOn w:val="1"/>
    <w:next w:val="1"/>
    <w:qFormat/>
    <w:uiPriority w:val="0"/>
    <w:pPr>
      <w:ind w:left="2940"/>
    </w:pPr>
  </w:style>
  <w:style w:type="paragraph" w:styleId="15">
    <w:name w:val="Normal Indent"/>
    <w:basedOn w:val="1"/>
    <w:qFormat/>
    <w:uiPriority w:val="0"/>
    <w:pPr>
      <w:ind w:firstLine="420"/>
    </w:pPr>
    <w:rPr>
      <w:szCs w:val="20"/>
    </w:rPr>
  </w:style>
  <w:style w:type="paragraph" w:styleId="16">
    <w:name w:val="caption"/>
    <w:basedOn w:val="1"/>
    <w:next w:val="1"/>
    <w:qFormat/>
    <w:uiPriority w:val="0"/>
    <w:pPr>
      <w:spacing w:before="152" w:after="160"/>
    </w:pPr>
    <w:rPr>
      <w:rFonts w:ascii="Arial" w:hAnsi="Arial" w:eastAsia="黑体" w:cs="Arial"/>
      <w:sz w:val="20"/>
      <w:szCs w:val="20"/>
    </w:rPr>
  </w:style>
  <w:style w:type="paragraph" w:styleId="17">
    <w:name w:val="Document Map"/>
    <w:basedOn w:val="1"/>
    <w:link w:val="52"/>
    <w:qFormat/>
    <w:uiPriority w:val="0"/>
    <w:rPr>
      <w:rFonts w:ascii="宋体"/>
      <w:sz w:val="18"/>
      <w:szCs w:val="18"/>
    </w:rPr>
  </w:style>
  <w:style w:type="paragraph" w:styleId="18">
    <w:name w:val="annotation text"/>
    <w:basedOn w:val="1"/>
    <w:link w:val="53"/>
    <w:qFormat/>
    <w:uiPriority w:val="0"/>
    <w:pPr>
      <w:jc w:val="left"/>
    </w:pPr>
  </w:style>
  <w:style w:type="paragraph" w:styleId="19">
    <w:name w:val="Body Text 3"/>
    <w:basedOn w:val="1"/>
    <w:link w:val="172"/>
    <w:unhideWhenUsed/>
    <w:qFormat/>
    <w:uiPriority w:val="99"/>
    <w:pPr>
      <w:spacing w:after="120"/>
    </w:pPr>
    <w:rPr>
      <w:sz w:val="16"/>
      <w:szCs w:val="16"/>
    </w:rPr>
  </w:style>
  <w:style w:type="paragraph" w:styleId="20">
    <w:name w:val="toc 5"/>
    <w:basedOn w:val="1"/>
    <w:next w:val="1"/>
    <w:unhideWhenUsed/>
    <w:qFormat/>
    <w:uiPriority w:val="39"/>
    <w:pPr>
      <w:jc w:val="left"/>
    </w:pPr>
    <w:rPr>
      <w:rFonts w:ascii="Calibri" w:hAnsi="Calibri"/>
      <w:sz w:val="22"/>
      <w:szCs w:val="22"/>
    </w:rPr>
  </w:style>
  <w:style w:type="paragraph" w:styleId="21">
    <w:name w:val="toc 3"/>
    <w:basedOn w:val="1"/>
    <w:next w:val="1"/>
    <w:unhideWhenUsed/>
    <w:qFormat/>
    <w:uiPriority w:val="39"/>
    <w:pPr>
      <w:jc w:val="left"/>
    </w:pPr>
    <w:rPr>
      <w:rFonts w:ascii="Calibri" w:hAnsi="Calibri"/>
      <w:smallCaps/>
      <w:sz w:val="22"/>
      <w:szCs w:val="22"/>
    </w:rPr>
  </w:style>
  <w:style w:type="paragraph" w:styleId="22">
    <w:name w:val="toc 8"/>
    <w:basedOn w:val="1"/>
    <w:next w:val="1"/>
    <w:unhideWhenUsed/>
    <w:qFormat/>
    <w:uiPriority w:val="39"/>
    <w:pPr>
      <w:jc w:val="left"/>
    </w:pPr>
    <w:rPr>
      <w:rFonts w:ascii="Calibri" w:hAnsi="Calibri"/>
      <w:sz w:val="22"/>
      <w:szCs w:val="22"/>
    </w:rPr>
  </w:style>
  <w:style w:type="paragraph" w:styleId="23">
    <w:name w:val="Date"/>
    <w:basedOn w:val="1"/>
    <w:next w:val="1"/>
    <w:link w:val="58"/>
    <w:qFormat/>
    <w:uiPriority w:val="0"/>
    <w:pPr>
      <w:ind w:left="100" w:leftChars="2500"/>
    </w:pPr>
  </w:style>
  <w:style w:type="paragraph" w:styleId="24">
    <w:name w:val="Body Text Indent 2"/>
    <w:basedOn w:val="1"/>
    <w:link w:val="59"/>
    <w:qFormat/>
    <w:uiPriority w:val="0"/>
    <w:pPr>
      <w:spacing w:after="120" w:line="480" w:lineRule="auto"/>
      <w:ind w:left="420" w:leftChars="200"/>
    </w:pPr>
  </w:style>
  <w:style w:type="paragraph" w:styleId="25">
    <w:name w:val="Balloon Text"/>
    <w:basedOn w:val="1"/>
    <w:link w:val="60"/>
    <w:qFormat/>
    <w:uiPriority w:val="0"/>
    <w:rPr>
      <w:sz w:val="18"/>
      <w:szCs w:val="18"/>
    </w:rPr>
  </w:style>
  <w:style w:type="paragraph" w:styleId="26">
    <w:name w:val="footer"/>
    <w:basedOn w:val="1"/>
    <w:next w:val="1"/>
    <w:link w:val="61"/>
    <w:qFormat/>
    <w:uiPriority w:val="99"/>
    <w:pPr>
      <w:tabs>
        <w:tab w:val="center" w:pos="4153"/>
        <w:tab w:val="right" w:pos="8306"/>
      </w:tabs>
      <w:snapToGrid w:val="0"/>
      <w:ind w:firstLine="420" w:firstLineChars="200"/>
      <w:jc w:val="center"/>
    </w:pPr>
    <w:rPr>
      <w:rFonts w:ascii="宋体" w:hAnsi="宋体" w:cs="宋体"/>
      <w:szCs w:val="21"/>
    </w:rPr>
  </w:style>
  <w:style w:type="paragraph" w:styleId="27">
    <w:name w:val="header"/>
    <w:basedOn w:val="1"/>
    <w:link w:val="62"/>
    <w:qFormat/>
    <w:uiPriority w:val="99"/>
    <w:pPr>
      <w:pBdr>
        <w:bottom w:val="single" w:color="auto" w:sz="6" w:space="1"/>
      </w:pBdr>
      <w:tabs>
        <w:tab w:val="center" w:pos="4153"/>
        <w:tab w:val="right" w:pos="8306"/>
      </w:tabs>
      <w:snapToGrid w:val="0"/>
      <w:jc w:val="center"/>
    </w:pPr>
    <w:rPr>
      <w:sz w:val="18"/>
      <w:szCs w:val="18"/>
    </w:rPr>
  </w:style>
  <w:style w:type="paragraph" w:styleId="28">
    <w:name w:val="toc 1"/>
    <w:basedOn w:val="1"/>
    <w:next w:val="1"/>
    <w:qFormat/>
    <w:uiPriority w:val="39"/>
    <w:pPr>
      <w:spacing w:before="360" w:after="360"/>
      <w:jc w:val="left"/>
    </w:pPr>
    <w:rPr>
      <w:rFonts w:ascii="Calibri" w:hAnsi="Calibri"/>
      <w:b/>
      <w:bCs/>
      <w:caps/>
      <w:sz w:val="22"/>
      <w:szCs w:val="22"/>
      <w:u w:val="single"/>
    </w:rPr>
  </w:style>
  <w:style w:type="paragraph" w:styleId="29">
    <w:name w:val="toc 4"/>
    <w:basedOn w:val="1"/>
    <w:next w:val="1"/>
    <w:unhideWhenUsed/>
    <w:qFormat/>
    <w:uiPriority w:val="39"/>
    <w:pPr>
      <w:jc w:val="left"/>
    </w:pPr>
    <w:rPr>
      <w:rFonts w:ascii="Calibri" w:hAnsi="Calibri"/>
      <w:sz w:val="22"/>
      <w:szCs w:val="22"/>
    </w:rPr>
  </w:style>
  <w:style w:type="paragraph" w:styleId="30">
    <w:name w:val="List"/>
    <w:basedOn w:val="1"/>
    <w:qFormat/>
    <w:uiPriority w:val="0"/>
    <w:pPr>
      <w:ind w:left="200" w:hanging="200" w:hangingChars="200"/>
    </w:pPr>
    <w:rPr>
      <w:sz w:val="28"/>
    </w:rPr>
  </w:style>
  <w:style w:type="paragraph" w:styleId="31">
    <w:name w:val="toc 6"/>
    <w:basedOn w:val="1"/>
    <w:next w:val="1"/>
    <w:unhideWhenUsed/>
    <w:qFormat/>
    <w:uiPriority w:val="39"/>
    <w:pPr>
      <w:jc w:val="left"/>
    </w:pPr>
    <w:rPr>
      <w:rFonts w:ascii="Calibri" w:hAnsi="Calibri"/>
      <w:sz w:val="22"/>
      <w:szCs w:val="22"/>
    </w:rPr>
  </w:style>
  <w:style w:type="paragraph" w:styleId="32">
    <w:name w:val="toc 2"/>
    <w:basedOn w:val="1"/>
    <w:next w:val="1"/>
    <w:qFormat/>
    <w:uiPriority w:val="39"/>
    <w:pPr>
      <w:jc w:val="left"/>
    </w:pPr>
    <w:rPr>
      <w:rFonts w:ascii="Calibri" w:hAnsi="Calibri"/>
      <w:b/>
      <w:bCs/>
      <w:smallCaps/>
      <w:sz w:val="22"/>
      <w:szCs w:val="22"/>
    </w:rPr>
  </w:style>
  <w:style w:type="paragraph" w:styleId="33">
    <w:name w:val="toc 9"/>
    <w:basedOn w:val="1"/>
    <w:next w:val="1"/>
    <w:unhideWhenUsed/>
    <w:qFormat/>
    <w:uiPriority w:val="39"/>
    <w:pPr>
      <w:jc w:val="left"/>
    </w:pPr>
    <w:rPr>
      <w:rFonts w:ascii="Calibri" w:hAnsi="Calibri"/>
      <w:sz w:val="22"/>
      <w:szCs w:val="22"/>
    </w:rPr>
  </w:style>
  <w:style w:type="paragraph" w:styleId="34">
    <w:name w:val="Normal (Web)"/>
    <w:basedOn w:val="1"/>
    <w:unhideWhenUsed/>
    <w:qFormat/>
    <w:uiPriority w:val="99"/>
    <w:rPr>
      <w:sz w:val="24"/>
    </w:rPr>
  </w:style>
  <w:style w:type="paragraph" w:styleId="35">
    <w:name w:val="Title"/>
    <w:basedOn w:val="1"/>
    <w:next w:val="1"/>
    <w:qFormat/>
    <w:uiPriority w:val="0"/>
    <w:pPr>
      <w:widowControl/>
      <w:spacing w:before="240" w:after="60"/>
      <w:jc w:val="center"/>
      <w:outlineLvl w:val="0"/>
    </w:pPr>
    <w:rPr>
      <w:rFonts w:ascii="Cambria" w:hAnsi="Cambria"/>
      <w:b/>
      <w:bCs/>
      <w:sz w:val="32"/>
      <w:szCs w:val="32"/>
    </w:rPr>
  </w:style>
  <w:style w:type="paragraph" w:styleId="36">
    <w:name w:val="annotation subject"/>
    <w:basedOn w:val="18"/>
    <w:next w:val="18"/>
    <w:link w:val="63"/>
    <w:unhideWhenUsed/>
    <w:qFormat/>
    <w:uiPriority w:val="99"/>
    <w:rPr>
      <w:b/>
      <w:bCs/>
    </w:rPr>
  </w:style>
  <w:style w:type="table" w:styleId="38">
    <w:name w:val="Table Grid"/>
    <w:basedOn w:val="37"/>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40">
    <w:name w:val="Strong"/>
    <w:basedOn w:val="39"/>
    <w:qFormat/>
    <w:uiPriority w:val="22"/>
    <w:rPr>
      <w:b/>
    </w:rPr>
  </w:style>
  <w:style w:type="character" w:styleId="41">
    <w:name w:val="page number"/>
    <w:qFormat/>
    <w:uiPriority w:val="0"/>
  </w:style>
  <w:style w:type="character" w:styleId="42">
    <w:name w:val="FollowedHyperlink"/>
    <w:basedOn w:val="39"/>
    <w:semiHidden/>
    <w:unhideWhenUsed/>
    <w:qFormat/>
    <w:uiPriority w:val="99"/>
    <w:rPr>
      <w:color w:val="800080"/>
      <w:u w:val="single"/>
    </w:rPr>
  </w:style>
  <w:style w:type="character" w:styleId="43">
    <w:name w:val="Emphasis"/>
    <w:basedOn w:val="39"/>
    <w:qFormat/>
    <w:uiPriority w:val="20"/>
    <w:rPr>
      <w:i/>
    </w:rPr>
  </w:style>
  <w:style w:type="character" w:styleId="44">
    <w:name w:val="Hyperlink"/>
    <w:qFormat/>
    <w:uiPriority w:val="99"/>
    <w:rPr>
      <w:color w:val="0000FF"/>
      <w:u w:val="single"/>
    </w:rPr>
  </w:style>
  <w:style w:type="character" w:styleId="45">
    <w:name w:val="annotation reference"/>
    <w:qFormat/>
    <w:uiPriority w:val="99"/>
    <w:rPr>
      <w:sz w:val="21"/>
      <w:szCs w:val="21"/>
    </w:rPr>
  </w:style>
  <w:style w:type="paragraph" w:customStyle="1" w:styleId="46">
    <w:name w:val="标准正文 Char Char Char Char"/>
    <w:basedOn w:val="1"/>
    <w:next w:val="1"/>
    <w:qFormat/>
    <w:uiPriority w:val="0"/>
    <w:pPr>
      <w:spacing w:after="60"/>
      <w:ind w:firstLine="482"/>
    </w:pPr>
    <w:rPr>
      <w:kern w:val="0"/>
      <w:sz w:val="20"/>
      <w:szCs w:val="20"/>
    </w:rPr>
  </w:style>
  <w:style w:type="character" w:customStyle="1" w:styleId="47">
    <w:name w:val="标题 1 字符2"/>
    <w:link w:val="8"/>
    <w:qFormat/>
    <w:uiPriority w:val="0"/>
    <w:rPr>
      <w:b/>
      <w:bCs/>
      <w:kern w:val="44"/>
      <w:sz w:val="44"/>
      <w:szCs w:val="44"/>
    </w:rPr>
  </w:style>
  <w:style w:type="character" w:customStyle="1" w:styleId="48">
    <w:name w:val="标题 2 字符2"/>
    <w:link w:val="9"/>
    <w:qFormat/>
    <w:uiPriority w:val="0"/>
    <w:rPr>
      <w:rFonts w:ascii="Arial" w:hAnsi="Arial" w:eastAsia="黑体"/>
      <w:b/>
      <w:bCs/>
      <w:kern w:val="2"/>
      <w:sz w:val="32"/>
      <w:szCs w:val="32"/>
    </w:rPr>
  </w:style>
  <w:style w:type="character" w:customStyle="1" w:styleId="49">
    <w:name w:val="标题 3 字符2"/>
    <w:link w:val="10"/>
    <w:qFormat/>
    <w:uiPriority w:val="0"/>
    <w:rPr>
      <w:b/>
      <w:bCs/>
      <w:kern w:val="2"/>
      <w:sz w:val="32"/>
      <w:szCs w:val="32"/>
    </w:rPr>
  </w:style>
  <w:style w:type="character" w:customStyle="1" w:styleId="50">
    <w:name w:val="标题 4 字符2"/>
    <w:link w:val="11"/>
    <w:qFormat/>
    <w:uiPriority w:val="0"/>
    <w:rPr>
      <w:rFonts w:ascii="Arial" w:eastAsia="黑体"/>
      <w:sz w:val="28"/>
    </w:rPr>
  </w:style>
  <w:style w:type="character" w:customStyle="1" w:styleId="51">
    <w:name w:val="标题 5 字符2"/>
    <w:link w:val="12"/>
    <w:qFormat/>
    <w:uiPriority w:val="9"/>
    <w:rPr>
      <w:b/>
      <w:bCs/>
      <w:kern w:val="2"/>
      <w:sz w:val="28"/>
      <w:szCs w:val="28"/>
    </w:rPr>
  </w:style>
  <w:style w:type="character" w:customStyle="1" w:styleId="52">
    <w:name w:val="文档结构图 字符2"/>
    <w:link w:val="17"/>
    <w:qFormat/>
    <w:uiPriority w:val="0"/>
    <w:rPr>
      <w:rFonts w:ascii="宋体"/>
      <w:kern w:val="2"/>
      <w:sz w:val="18"/>
      <w:szCs w:val="18"/>
    </w:rPr>
  </w:style>
  <w:style w:type="character" w:customStyle="1" w:styleId="53">
    <w:name w:val="批注文字 字符3"/>
    <w:link w:val="18"/>
    <w:qFormat/>
    <w:uiPriority w:val="99"/>
    <w:rPr>
      <w:kern w:val="2"/>
      <w:sz w:val="21"/>
      <w:szCs w:val="24"/>
    </w:rPr>
  </w:style>
  <w:style w:type="character" w:customStyle="1" w:styleId="54">
    <w:name w:val="正文文本 3 字符2"/>
    <w:link w:val="19"/>
    <w:qFormat/>
    <w:uiPriority w:val="99"/>
    <w:rPr>
      <w:kern w:val="2"/>
      <w:sz w:val="16"/>
      <w:szCs w:val="16"/>
    </w:rPr>
  </w:style>
  <w:style w:type="character" w:customStyle="1" w:styleId="55">
    <w:name w:val="正文文本 字符2"/>
    <w:qFormat/>
    <w:uiPriority w:val="99"/>
    <w:rPr>
      <w:kern w:val="2"/>
      <w:sz w:val="21"/>
      <w:szCs w:val="24"/>
    </w:rPr>
  </w:style>
  <w:style w:type="character" w:customStyle="1" w:styleId="56">
    <w:name w:val="正文文本缩进 字符2"/>
    <w:link w:val="3"/>
    <w:qFormat/>
    <w:uiPriority w:val="0"/>
    <w:rPr>
      <w:rFonts w:ascii="宋体" w:hAnsi="Courier New" w:eastAsia="宋体"/>
      <w:spacing w:val="-4"/>
      <w:kern w:val="2"/>
      <w:sz w:val="18"/>
      <w:lang w:val="en-US" w:eastAsia="zh-CN" w:bidi="ar-SA"/>
    </w:rPr>
  </w:style>
  <w:style w:type="character" w:customStyle="1" w:styleId="57">
    <w:name w:val="纯文本 字符4"/>
    <w:qFormat/>
    <w:uiPriority w:val="0"/>
    <w:rPr>
      <w:rFonts w:ascii="宋体" w:hAnsi="Courier New" w:eastAsia="宋体"/>
      <w:kern w:val="2"/>
      <w:sz w:val="21"/>
      <w:lang w:val="en-US" w:eastAsia="zh-CN" w:bidi="ar-SA"/>
    </w:rPr>
  </w:style>
  <w:style w:type="character" w:customStyle="1" w:styleId="58">
    <w:name w:val="日期 字符2"/>
    <w:link w:val="23"/>
    <w:qFormat/>
    <w:uiPriority w:val="0"/>
    <w:rPr>
      <w:kern w:val="2"/>
      <w:sz w:val="21"/>
      <w:szCs w:val="24"/>
    </w:rPr>
  </w:style>
  <w:style w:type="character" w:customStyle="1" w:styleId="59">
    <w:name w:val="正文文本缩进 2 字符2"/>
    <w:link w:val="24"/>
    <w:qFormat/>
    <w:uiPriority w:val="0"/>
    <w:rPr>
      <w:kern w:val="2"/>
      <w:sz w:val="21"/>
      <w:szCs w:val="24"/>
    </w:rPr>
  </w:style>
  <w:style w:type="character" w:customStyle="1" w:styleId="60">
    <w:name w:val="批注框文本 字符2"/>
    <w:link w:val="25"/>
    <w:qFormat/>
    <w:uiPriority w:val="0"/>
    <w:rPr>
      <w:kern w:val="2"/>
      <w:sz w:val="18"/>
      <w:szCs w:val="18"/>
    </w:rPr>
  </w:style>
  <w:style w:type="character" w:customStyle="1" w:styleId="61">
    <w:name w:val="页脚 字符3"/>
    <w:link w:val="26"/>
    <w:qFormat/>
    <w:uiPriority w:val="99"/>
    <w:rPr>
      <w:rFonts w:ascii="宋体" w:hAnsi="宋体" w:cs="宋体"/>
      <w:kern w:val="2"/>
      <w:sz w:val="21"/>
      <w:szCs w:val="21"/>
    </w:rPr>
  </w:style>
  <w:style w:type="character" w:customStyle="1" w:styleId="62">
    <w:name w:val="页眉 字符3"/>
    <w:link w:val="27"/>
    <w:qFormat/>
    <w:uiPriority w:val="99"/>
    <w:rPr>
      <w:kern w:val="2"/>
      <w:sz w:val="18"/>
      <w:szCs w:val="18"/>
    </w:rPr>
  </w:style>
  <w:style w:type="character" w:customStyle="1" w:styleId="63">
    <w:name w:val="批注主题 字符2"/>
    <w:link w:val="36"/>
    <w:qFormat/>
    <w:uiPriority w:val="99"/>
    <w:rPr>
      <w:b/>
      <w:bCs/>
      <w:kern w:val="2"/>
      <w:sz w:val="21"/>
      <w:szCs w:val="24"/>
    </w:rPr>
  </w:style>
  <w:style w:type="character" w:customStyle="1" w:styleId="64">
    <w:name w:val="访问过的超链接1"/>
    <w:qFormat/>
    <w:uiPriority w:val="99"/>
    <w:rPr>
      <w:color w:val="800080"/>
      <w:u w:val="single"/>
    </w:rPr>
  </w:style>
  <w:style w:type="character" w:customStyle="1" w:styleId="65">
    <w:name w:val="页眉 字符"/>
    <w:qFormat/>
    <w:uiPriority w:val="99"/>
    <w:rPr>
      <w:rFonts w:ascii="Times New Roman" w:hAnsi="Times New Roman"/>
      <w:kern w:val="2"/>
      <w:sz w:val="18"/>
      <w:szCs w:val="18"/>
    </w:rPr>
  </w:style>
  <w:style w:type="character" w:customStyle="1" w:styleId="66">
    <w:name w:val="Char Char1"/>
    <w:qFormat/>
    <w:uiPriority w:val="0"/>
    <w:rPr>
      <w:rFonts w:ascii="宋体" w:hAnsi="Courier New" w:eastAsia="宋体"/>
      <w:kern w:val="2"/>
      <w:sz w:val="21"/>
      <w:lang w:val="en-US" w:eastAsia="zh-CN" w:bidi="ar-SA"/>
    </w:rPr>
  </w:style>
  <w:style w:type="character" w:customStyle="1" w:styleId="67">
    <w:name w:val="纯文本 字符2"/>
    <w:qFormat/>
    <w:uiPriority w:val="0"/>
    <w:rPr>
      <w:rFonts w:ascii="宋体" w:hAnsi="Courier New" w:eastAsia="宋体" w:cs="Courier New"/>
      <w:szCs w:val="21"/>
    </w:rPr>
  </w:style>
  <w:style w:type="character" w:customStyle="1" w:styleId="68">
    <w:name w:val="正文文本_"/>
    <w:link w:val="69"/>
    <w:qFormat/>
    <w:uiPriority w:val="0"/>
    <w:rPr>
      <w:rFonts w:ascii="PMingLiU-ExtB" w:hAnsi="PMingLiU-ExtB" w:eastAsia="PMingLiU-ExtB" w:cs="PMingLiU-ExtB"/>
      <w:spacing w:val="9"/>
      <w:sz w:val="19"/>
      <w:szCs w:val="19"/>
      <w:shd w:val="clear" w:color="auto" w:fill="FFFFFF"/>
    </w:rPr>
  </w:style>
  <w:style w:type="paragraph" w:customStyle="1" w:styleId="69">
    <w:name w:val="正文文本1"/>
    <w:basedOn w:val="1"/>
    <w:link w:val="68"/>
    <w:qFormat/>
    <w:uiPriority w:val="0"/>
    <w:pPr>
      <w:shd w:val="clear" w:color="auto" w:fill="FFFFFF"/>
      <w:spacing w:line="302" w:lineRule="exact"/>
      <w:ind w:firstLine="460"/>
      <w:jc w:val="left"/>
    </w:pPr>
    <w:rPr>
      <w:rFonts w:ascii="PMingLiU-ExtB" w:hAnsi="PMingLiU-ExtB" w:eastAsia="PMingLiU-ExtB"/>
      <w:spacing w:val="9"/>
      <w:kern w:val="0"/>
      <w:sz w:val="19"/>
      <w:szCs w:val="19"/>
    </w:rPr>
  </w:style>
  <w:style w:type="character" w:customStyle="1" w:styleId="70">
    <w:name w:val="纯文本 Char1"/>
    <w:link w:val="71"/>
    <w:qFormat/>
    <w:uiPriority w:val="0"/>
    <w:rPr>
      <w:rFonts w:ascii="宋体" w:hAnsi="Courier New" w:eastAsia="宋体"/>
      <w:kern w:val="2"/>
      <w:sz w:val="21"/>
      <w:lang w:val="en-US" w:eastAsia="zh-CN" w:bidi="ar-SA"/>
    </w:rPr>
  </w:style>
  <w:style w:type="paragraph" w:customStyle="1" w:styleId="71">
    <w:name w:val="纯文本1"/>
    <w:basedOn w:val="1"/>
    <w:link w:val="70"/>
    <w:qFormat/>
    <w:uiPriority w:val="0"/>
    <w:rPr>
      <w:rFonts w:ascii="宋体" w:hAnsi="Courier New"/>
      <w:szCs w:val="20"/>
    </w:rPr>
  </w:style>
  <w:style w:type="character" w:customStyle="1" w:styleId="72">
    <w:name w:val="正文文本 + 10 pt"/>
    <w:qFormat/>
    <w:uiPriority w:val="0"/>
    <w:rPr>
      <w:rFonts w:ascii="PMingLiU-ExtB" w:hAnsi="PMingLiU-ExtB" w:eastAsia="PMingLiU-ExtB" w:cs="PMingLiU-ExtB"/>
      <w:color w:val="000000"/>
      <w:spacing w:val="8"/>
      <w:w w:val="100"/>
      <w:position w:val="0"/>
      <w:sz w:val="20"/>
      <w:szCs w:val="20"/>
      <w:shd w:val="clear" w:color="auto" w:fill="FFFFFF"/>
      <w:lang w:val="zh-TW"/>
    </w:rPr>
  </w:style>
  <w:style w:type="character" w:customStyle="1" w:styleId="73">
    <w:name w:val="正文文本 (26) + 间距 0 pt"/>
    <w:qFormat/>
    <w:uiPriority w:val="0"/>
    <w:rPr>
      <w:rFonts w:ascii="宋体" w:hAnsi="宋体" w:eastAsia="宋体" w:cs="宋体"/>
      <w:color w:val="000000"/>
      <w:spacing w:val="0"/>
      <w:w w:val="100"/>
      <w:position w:val="0"/>
      <w:sz w:val="22"/>
      <w:szCs w:val="22"/>
      <w:u w:val="none"/>
      <w:lang w:val="zh-CN" w:eastAsia="zh-CN" w:bidi="zh-CN"/>
    </w:rPr>
  </w:style>
  <w:style w:type="character" w:customStyle="1" w:styleId="74">
    <w:name w:val="页脚 字符"/>
    <w:qFormat/>
    <w:uiPriority w:val="99"/>
    <w:rPr>
      <w:sz w:val="18"/>
      <w:szCs w:val="18"/>
    </w:rPr>
  </w:style>
  <w:style w:type="character" w:customStyle="1" w:styleId="75">
    <w:name w:val="批注文字 字符1"/>
    <w:qFormat/>
    <w:uiPriority w:val="99"/>
    <w:rPr>
      <w:rFonts w:ascii="Times New Roman" w:hAnsi="Times New Roman"/>
      <w:kern w:val="2"/>
      <w:sz w:val="21"/>
      <w:szCs w:val="24"/>
    </w:rPr>
  </w:style>
  <w:style w:type="character" w:customStyle="1" w:styleId="76">
    <w:name w:val="正文2 Char Char"/>
    <w:link w:val="77"/>
    <w:qFormat/>
    <w:uiPriority w:val="0"/>
    <w:rPr>
      <w:kern w:val="2"/>
      <w:sz w:val="24"/>
    </w:rPr>
  </w:style>
  <w:style w:type="paragraph" w:customStyle="1" w:styleId="77">
    <w:name w:val="正文2"/>
    <w:basedOn w:val="1"/>
    <w:link w:val="76"/>
    <w:qFormat/>
    <w:uiPriority w:val="0"/>
    <w:pPr>
      <w:adjustRightInd w:val="0"/>
      <w:spacing w:before="156" w:line="360" w:lineRule="auto"/>
      <w:ind w:firstLine="510" w:firstLineChars="200"/>
    </w:pPr>
    <w:rPr>
      <w:sz w:val="24"/>
      <w:szCs w:val="20"/>
    </w:rPr>
  </w:style>
  <w:style w:type="character" w:customStyle="1" w:styleId="78">
    <w:name w:val="纯文本 Char_0"/>
    <w:link w:val="79"/>
    <w:qFormat/>
    <w:uiPriority w:val="0"/>
    <w:rPr>
      <w:rFonts w:ascii="宋体" w:hAnsi="Courier New"/>
      <w:kern w:val="2"/>
      <w:sz w:val="21"/>
      <w:szCs w:val="21"/>
      <w:lang w:val="en-US" w:eastAsia="zh-CN"/>
    </w:rPr>
  </w:style>
  <w:style w:type="paragraph" w:customStyle="1" w:styleId="79">
    <w:name w:val="纯文本_0_0"/>
    <w:basedOn w:val="1"/>
    <w:link w:val="78"/>
    <w:qFormat/>
    <w:uiPriority w:val="0"/>
    <w:rPr>
      <w:rFonts w:ascii="宋体" w:hAnsi="Courier New"/>
      <w:szCs w:val="21"/>
    </w:rPr>
  </w:style>
  <w:style w:type="character" w:customStyle="1" w:styleId="80">
    <w:name w:val="批注文字 Char1"/>
    <w:qFormat/>
    <w:uiPriority w:val="0"/>
    <w:rPr>
      <w:rFonts w:ascii="Times New Roman" w:hAnsi="Times New Roman"/>
      <w:kern w:val="2"/>
      <w:sz w:val="21"/>
      <w:szCs w:val="24"/>
    </w:rPr>
  </w:style>
  <w:style w:type="paragraph" w:styleId="81">
    <w:name w:val="List Paragraph"/>
    <w:basedOn w:val="1"/>
    <w:qFormat/>
    <w:uiPriority w:val="34"/>
    <w:pPr>
      <w:ind w:firstLine="420" w:firstLineChars="200"/>
    </w:pPr>
  </w:style>
  <w:style w:type="paragraph" w:customStyle="1" w:styleId="82">
    <w:name w:val="Char Char Char1 Char Char Char Char Char Char Char"/>
    <w:basedOn w:val="1"/>
    <w:qFormat/>
    <w:uiPriority w:val="0"/>
  </w:style>
  <w:style w:type="paragraph" w:customStyle="1" w:styleId="83">
    <w:name w:val="Char Char Char"/>
    <w:basedOn w:val="1"/>
    <w:qFormat/>
    <w:uiPriority w:val="0"/>
    <w:rPr>
      <w:szCs w:val="20"/>
    </w:rPr>
  </w:style>
  <w:style w:type="paragraph" w:customStyle="1" w:styleId="84">
    <w:name w:val="Char Char Char Char Char Char Char Char Char Char Char Char"/>
    <w:basedOn w:val="1"/>
    <w:qFormat/>
    <w:uiPriority w:val="0"/>
    <w:pPr>
      <w:widowControl/>
      <w:spacing w:after="160" w:line="240" w:lineRule="exact"/>
      <w:jc w:val="left"/>
    </w:pPr>
  </w:style>
  <w:style w:type="paragraph" w:customStyle="1" w:styleId="85">
    <w:name w:val="列出段落1"/>
    <w:basedOn w:val="1"/>
    <w:qFormat/>
    <w:uiPriority w:val="34"/>
    <w:pPr>
      <w:spacing w:before="100" w:beforeAutospacing="1" w:after="100" w:afterAutospacing="1" w:line="360" w:lineRule="auto"/>
      <w:ind w:firstLine="420" w:firstLineChars="200"/>
    </w:pPr>
  </w:style>
  <w:style w:type="paragraph" w:customStyle="1" w:styleId="86">
    <w:name w:val="TOC 标题1"/>
    <w:basedOn w:val="8"/>
    <w:next w:val="1"/>
    <w:qFormat/>
    <w:uiPriority w:val="39"/>
    <w:pPr>
      <w:widowControl/>
      <w:spacing w:before="480" w:after="0" w:line="276" w:lineRule="auto"/>
      <w:jc w:val="left"/>
      <w:outlineLvl w:val="9"/>
    </w:pPr>
    <w:rPr>
      <w:rFonts w:ascii="Cambria" w:hAnsi="Cambria"/>
      <w:color w:val="365F91"/>
      <w:kern w:val="0"/>
      <w:sz w:val="28"/>
      <w:szCs w:val="28"/>
    </w:rPr>
  </w:style>
  <w:style w:type="paragraph" w:customStyle="1" w:styleId="87">
    <w:name w:val="样式 标题 2 + 非加粗 首行缩进:  2 字符"/>
    <w:basedOn w:val="9"/>
    <w:qFormat/>
    <w:uiPriority w:val="0"/>
    <w:pPr>
      <w:spacing w:before="0" w:after="0" w:line="600" w:lineRule="exact"/>
      <w:ind w:firstLine="640" w:firstLineChars="200"/>
      <w:jc w:val="left"/>
    </w:pPr>
    <w:rPr>
      <w:rFonts w:cs="宋体"/>
      <w:b w:val="0"/>
      <w:bCs w:val="0"/>
      <w:szCs w:val="20"/>
    </w:rPr>
  </w:style>
  <w:style w:type="paragraph" w:customStyle="1" w:styleId="88">
    <w:name w:val="Table Paragraph"/>
    <w:basedOn w:val="1"/>
    <w:qFormat/>
    <w:uiPriority w:val="1"/>
    <w:pPr>
      <w:jc w:val="left"/>
    </w:pPr>
    <w:rPr>
      <w:rFonts w:ascii="Calibri" w:hAnsi="Calibri"/>
      <w:kern w:val="0"/>
      <w:sz w:val="22"/>
      <w:szCs w:val="22"/>
      <w:lang w:eastAsia="en-US"/>
    </w:rPr>
  </w:style>
  <w:style w:type="paragraph" w:customStyle="1" w:styleId="89">
    <w:name w:val="Char"/>
    <w:basedOn w:val="1"/>
    <w:qFormat/>
    <w:uiPriority w:val="0"/>
    <w:rPr>
      <w:szCs w:val="21"/>
    </w:rPr>
  </w:style>
  <w:style w:type="paragraph" w:customStyle="1" w:styleId="90">
    <w:name w:val="Char Char Char Char Char Char Char"/>
    <w:basedOn w:val="1"/>
    <w:qFormat/>
    <w:uiPriority w:val="0"/>
  </w:style>
  <w:style w:type="paragraph" w:customStyle="1" w:styleId="91">
    <w:name w:val="Char Char Char Char Char Char Char1"/>
    <w:basedOn w:val="1"/>
    <w:qFormat/>
    <w:uiPriority w:val="0"/>
  </w:style>
  <w:style w:type="paragraph" w:customStyle="1" w:styleId="92">
    <w:name w:val="样式5"/>
    <w:basedOn w:val="1"/>
    <w:qFormat/>
    <w:uiPriority w:val="0"/>
    <w:pPr>
      <w:adjustRightInd w:val="0"/>
      <w:spacing w:line="440" w:lineRule="exact"/>
      <w:ind w:left="2" w:firstLine="480" w:firstLineChars="200"/>
    </w:pPr>
    <w:rPr>
      <w:rFonts w:ascii="方正仿宋_GB2312" w:hAnsi="仿宋" w:eastAsia="方正仿宋_GB2312"/>
      <w:sz w:val="24"/>
    </w:rPr>
  </w:style>
  <w:style w:type="paragraph" w:customStyle="1" w:styleId="93">
    <w:name w:val="Char Char Char Char Char Char Char Char Char Char Char Char1"/>
    <w:basedOn w:val="1"/>
    <w:qFormat/>
    <w:uiPriority w:val="0"/>
    <w:pPr>
      <w:widowControl/>
      <w:spacing w:after="160" w:line="240" w:lineRule="exact"/>
      <w:jc w:val="left"/>
    </w:pPr>
  </w:style>
  <w:style w:type="paragraph" w:customStyle="1" w:styleId="94">
    <w:name w:val="表格文字"/>
    <w:basedOn w:val="1"/>
    <w:next w:val="6"/>
    <w:qFormat/>
    <w:uiPriority w:val="0"/>
    <w:pPr>
      <w:adjustRightInd w:val="0"/>
      <w:spacing w:line="420" w:lineRule="atLeast"/>
      <w:jc w:val="left"/>
      <w:textAlignment w:val="baseline"/>
    </w:pPr>
    <w:rPr>
      <w:kern w:val="0"/>
    </w:rPr>
  </w:style>
  <w:style w:type="paragraph" w:customStyle="1" w:styleId="95">
    <w:name w:val="修订1"/>
    <w:qFormat/>
    <w:uiPriority w:val="0"/>
    <w:rPr>
      <w:rFonts w:ascii="Times New Roman" w:hAnsi="Times New Roman" w:eastAsia="宋体" w:cs="Times New Roman"/>
      <w:kern w:val="2"/>
      <w:sz w:val="21"/>
      <w:szCs w:val="24"/>
      <w:lang w:val="en-US" w:eastAsia="zh-CN" w:bidi="ar-SA"/>
    </w:rPr>
  </w:style>
  <w:style w:type="paragraph" w:customStyle="1" w:styleId="96">
    <w:name w:val="正文段"/>
    <w:basedOn w:val="1"/>
    <w:qFormat/>
    <w:uiPriority w:val="0"/>
    <w:pPr>
      <w:widowControl/>
      <w:snapToGrid w:val="0"/>
      <w:spacing w:afterLines="50"/>
      <w:ind w:firstLine="200" w:firstLineChars="200"/>
    </w:pPr>
    <w:rPr>
      <w:kern w:val="0"/>
      <w:sz w:val="24"/>
      <w:szCs w:val="20"/>
    </w:rPr>
  </w:style>
  <w:style w:type="paragraph" w:customStyle="1" w:styleId="97">
    <w:name w:val="Char Char Char Char"/>
    <w:basedOn w:val="1"/>
    <w:qFormat/>
    <w:uiPriority w:val="0"/>
    <w:pPr>
      <w:widowControl/>
      <w:spacing w:after="160" w:line="240" w:lineRule="exact"/>
      <w:jc w:val="left"/>
    </w:pPr>
  </w:style>
  <w:style w:type="paragraph" w:customStyle="1" w:styleId="98">
    <w:name w:val="Char1"/>
    <w:basedOn w:val="1"/>
    <w:qFormat/>
    <w:uiPriority w:val="0"/>
  </w:style>
  <w:style w:type="paragraph" w:customStyle="1" w:styleId="99">
    <w:name w:val="Char Char Char Char1"/>
    <w:basedOn w:val="1"/>
    <w:qFormat/>
    <w:uiPriority w:val="0"/>
    <w:pPr>
      <w:widowControl/>
      <w:spacing w:after="160" w:line="240" w:lineRule="exact"/>
      <w:jc w:val="left"/>
    </w:pPr>
  </w:style>
  <w:style w:type="paragraph" w:customStyle="1" w:styleId="100">
    <w:name w:val="样式 标题 1 + 居中 段前: 0 磅 段后: 0 磅 行距: 固定值 30 磅"/>
    <w:basedOn w:val="8"/>
    <w:qFormat/>
    <w:uiPriority w:val="0"/>
    <w:pPr>
      <w:spacing w:before="0" w:after="0" w:line="600" w:lineRule="exact"/>
      <w:jc w:val="center"/>
    </w:pPr>
    <w:rPr>
      <w:rFonts w:cs="宋体"/>
      <w:szCs w:val="20"/>
    </w:rPr>
  </w:style>
  <w:style w:type="paragraph" w:customStyle="1" w:styleId="101">
    <w:name w:val="正文缩进1"/>
    <w:basedOn w:val="1"/>
    <w:next w:val="3"/>
    <w:qFormat/>
    <w:uiPriority w:val="0"/>
    <w:pPr>
      <w:autoSpaceDE w:val="0"/>
      <w:autoSpaceDN w:val="0"/>
      <w:adjustRightInd w:val="0"/>
      <w:snapToGrid w:val="0"/>
      <w:spacing w:after="120" w:line="360" w:lineRule="auto"/>
      <w:ind w:left="420" w:leftChars="200" w:firstLine="480" w:firstLineChars="200"/>
    </w:pPr>
    <w:rPr>
      <w:sz w:val="24"/>
      <w:szCs w:val="21"/>
    </w:rPr>
  </w:style>
  <w:style w:type="paragraph" w:customStyle="1" w:styleId="102">
    <w:name w:val="p0"/>
    <w:basedOn w:val="1"/>
    <w:qFormat/>
    <w:uiPriority w:val="0"/>
    <w:pPr>
      <w:widowControl/>
    </w:pPr>
    <w:rPr>
      <w:kern w:val="0"/>
      <w:szCs w:val="21"/>
    </w:rPr>
  </w:style>
  <w:style w:type="paragraph" w:customStyle="1" w:styleId="103">
    <w:name w:val="默认段落字体 Para Char Char Char Char Char Char Char Char Char1 Char Char Char Char"/>
    <w:basedOn w:val="1"/>
    <w:qFormat/>
    <w:uiPriority w:val="0"/>
    <w:rPr>
      <w:rFonts w:ascii="Tahoma" w:hAnsi="Tahoma"/>
      <w:sz w:val="24"/>
      <w:szCs w:val="20"/>
    </w:rPr>
  </w:style>
  <w:style w:type="character" w:customStyle="1" w:styleId="104">
    <w:name w:val="正文文本 字符"/>
    <w:qFormat/>
    <w:uiPriority w:val="0"/>
    <w:rPr>
      <w:kern w:val="2"/>
      <w:sz w:val="21"/>
      <w:szCs w:val="24"/>
    </w:rPr>
  </w:style>
  <w:style w:type="character" w:customStyle="1" w:styleId="105">
    <w:name w:val="纯文本 字符"/>
    <w:qFormat/>
    <w:uiPriority w:val="0"/>
    <w:rPr>
      <w:rFonts w:ascii="宋体" w:hAnsi="Courier New"/>
      <w:kern w:val="2"/>
      <w:sz w:val="21"/>
    </w:rPr>
  </w:style>
  <w:style w:type="character" w:customStyle="1" w:styleId="106">
    <w:name w:val="标题 1 字符"/>
    <w:qFormat/>
    <w:uiPriority w:val="0"/>
    <w:rPr>
      <w:b/>
      <w:bCs/>
      <w:kern w:val="44"/>
      <w:sz w:val="44"/>
      <w:szCs w:val="44"/>
    </w:rPr>
  </w:style>
  <w:style w:type="character" w:customStyle="1" w:styleId="107">
    <w:name w:val="标题 2 字符"/>
    <w:qFormat/>
    <w:uiPriority w:val="0"/>
    <w:rPr>
      <w:rFonts w:ascii="Arial" w:hAnsi="Arial" w:eastAsia="黑体"/>
      <w:b/>
      <w:bCs/>
      <w:kern w:val="2"/>
      <w:sz w:val="32"/>
      <w:szCs w:val="32"/>
    </w:rPr>
  </w:style>
  <w:style w:type="character" w:customStyle="1" w:styleId="108">
    <w:name w:val="标题 3 字符"/>
    <w:qFormat/>
    <w:uiPriority w:val="0"/>
    <w:rPr>
      <w:b/>
      <w:bCs/>
      <w:kern w:val="2"/>
      <w:sz w:val="32"/>
      <w:szCs w:val="32"/>
    </w:rPr>
  </w:style>
  <w:style w:type="character" w:customStyle="1" w:styleId="109">
    <w:name w:val="标题 4 字符"/>
    <w:qFormat/>
    <w:uiPriority w:val="0"/>
    <w:rPr>
      <w:rFonts w:ascii="Arial" w:eastAsia="黑体"/>
      <w:sz w:val="28"/>
    </w:rPr>
  </w:style>
  <w:style w:type="character" w:customStyle="1" w:styleId="110">
    <w:name w:val="标题 5 字符"/>
    <w:qFormat/>
    <w:uiPriority w:val="9"/>
    <w:rPr>
      <w:b/>
      <w:bCs/>
      <w:kern w:val="2"/>
      <w:sz w:val="28"/>
      <w:szCs w:val="28"/>
    </w:rPr>
  </w:style>
  <w:style w:type="character" w:customStyle="1" w:styleId="111">
    <w:name w:val="文档结构图 字符"/>
    <w:qFormat/>
    <w:uiPriority w:val="0"/>
    <w:rPr>
      <w:rFonts w:ascii="宋体"/>
      <w:kern w:val="2"/>
      <w:sz w:val="18"/>
      <w:szCs w:val="18"/>
    </w:rPr>
  </w:style>
  <w:style w:type="character" w:customStyle="1" w:styleId="112">
    <w:name w:val="批注文字 字符"/>
    <w:qFormat/>
    <w:uiPriority w:val="0"/>
    <w:rPr>
      <w:kern w:val="2"/>
      <w:sz w:val="21"/>
      <w:szCs w:val="24"/>
    </w:rPr>
  </w:style>
  <w:style w:type="character" w:customStyle="1" w:styleId="113">
    <w:name w:val="正文文本 3 字符"/>
    <w:qFormat/>
    <w:uiPriority w:val="99"/>
    <w:rPr>
      <w:kern w:val="2"/>
      <w:sz w:val="16"/>
      <w:szCs w:val="16"/>
    </w:rPr>
  </w:style>
  <w:style w:type="character" w:customStyle="1" w:styleId="114">
    <w:name w:val="正文文本缩进 字符"/>
    <w:qFormat/>
    <w:uiPriority w:val="0"/>
    <w:rPr>
      <w:rFonts w:ascii="宋体" w:hAnsi="Courier New"/>
      <w:spacing w:val="-4"/>
      <w:kern w:val="2"/>
      <w:sz w:val="18"/>
    </w:rPr>
  </w:style>
  <w:style w:type="character" w:customStyle="1" w:styleId="115">
    <w:name w:val="日期 字符"/>
    <w:qFormat/>
    <w:uiPriority w:val="0"/>
    <w:rPr>
      <w:kern w:val="2"/>
      <w:sz w:val="21"/>
      <w:szCs w:val="24"/>
    </w:rPr>
  </w:style>
  <w:style w:type="character" w:customStyle="1" w:styleId="116">
    <w:name w:val="正文文本缩进 2 字符"/>
    <w:qFormat/>
    <w:uiPriority w:val="0"/>
    <w:rPr>
      <w:kern w:val="2"/>
      <w:sz w:val="21"/>
      <w:szCs w:val="24"/>
    </w:rPr>
  </w:style>
  <w:style w:type="character" w:customStyle="1" w:styleId="117">
    <w:name w:val="批注框文本 字符"/>
    <w:qFormat/>
    <w:uiPriority w:val="0"/>
    <w:rPr>
      <w:kern w:val="2"/>
      <w:sz w:val="18"/>
      <w:szCs w:val="18"/>
    </w:rPr>
  </w:style>
  <w:style w:type="character" w:customStyle="1" w:styleId="118">
    <w:name w:val="页脚 字符1"/>
    <w:qFormat/>
    <w:uiPriority w:val="99"/>
    <w:rPr>
      <w:kern w:val="2"/>
      <w:sz w:val="18"/>
      <w:szCs w:val="18"/>
    </w:rPr>
  </w:style>
  <w:style w:type="character" w:customStyle="1" w:styleId="119">
    <w:name w:val="页眉 字符1"/>
    <w:qFormat/>
    <w:uiPriority w:val="99"/>
    <w:rPr>
      <w:kern w:val="2"/>
      <w:sz w:val="18"/>
      <w:szCs w:val="18"/>
    </w:rPr>
  </w:style>
  <w:style w:type="character" w:customStyle="1" w:styleId="120">
    <w:name w:val="批注主题 字符"/>
    <w:qFormat/>
    <w:uiPriority w:val="99"/>
    <w:rPr>
      <w:b/>
      <w:bCs/>
      <w:kern w:val="2"/>
      <w:sz w:val="21"/>
      <w:szCs w:val="24"/>
    </w:rPr>
  </w:style>
  <w:style w:type="paragraph" w:customStyle="1" w:styleId="121">
    <w:name w:val="_Style 117"/>
    <w:qFormat/>
    <w:uiPriority w:val="0"/>
    <w:pPr>
      <w:widowControl w:val="0"/>
      <w:jc w:val="both"/>
    </w:pPr>
    <w:rPr>
      <w:rFonts w:ascii="Times New Roman" w:hAnsi="Times New Roman" w:eastAsia="宋体" w:cs="Times New Roman"/>
      <w:kern w:val="2"/>
      <w:sz w:val="21"/>
      <w:szCs w:val="24"/>
      <w:lang w:val="en-US" w:eastAsia="zh-CN" w:bidi="ar-SA"/>
    </w:rPr>
  </w:style>
  <w:style w:type="character" w:customStyle="1" w:styleId="122">
    <w:name w:val="纯文本 字符1"/>
    <w:semiHidden/>
    <w:qFormat/>
    <w:locked/>
    <w:uiPriority w:val="0"/>
    <w:rPr>
      <w:rFonts w:ascii="宋体" w:hAnsi="Courier New"/>
      <w:kern w:val="2"/>
      <w:sz w:val="21"/>
    </w:rPr>
  </w:style>
  <w:style w:type="paragraph" w:customStyle="1" w:styleId="123">
    <w:name w:val="msonormal"/>
    <w:basedOn w:val="1"/>
    <w:qFormat/>
    <w:uiPriority w:val="0"/>
    <w:pPr>
      <w:widowControl/>
      <w:spacing w:before="100" w:beforeAutospacing="1" w:after="100" w:afterAutospacing="1"/>
      <w:jc w:val="left"/>
    </w:pPr>
    <w:rPr>
      <w:rFonts w:ascii="宋体" w:hAnsi="宋体" w:cs="宋体"/>
      <w:kern w:val="0"/>
      <w:sz w:val="24"/>
    </w:rPr>
  </w:style>
  <w:style w:type="character" w:customStyle="1" w:styleId="124">
    <w:name w:val="标题 1 字符1"/>
    <w:qFormat/>
    <w:locked/>
    <w:uiPriority w:val="0"/>
    <w:rPr>
      <w:b/>
      <w:bCs/>
      <w:kern w:val="44"/>
      <w:sz w:val="44"/>
      <w:szCs w:val="44"/>
    </w:rPr>
  </w:style>
  <w:style w:type="character" w:customStyle="1" w:styleId="125">
    <w:name w:val="标题 2 字符1"/>
    <w:semiHidden/>
    <w:qFormat/>
    <w:locked/>
    <w:uiPriority w:val="0"/>
    <w:rPr>
      <w:rFonts w:ascii="Arial" w:hAnsi="Arial" w:eastAsia="黑体"/>
      <w:b/>
      <w:bCs/>
      <w:kern w:val="2"/>
      <w:sz w:val="32"/>
      <w:szCs w:val="32"/>
    </w:rPr>
  </w:style>
  <w:style w:type="character" w:customStyle="1" w:styleId="126">
    <w:name w:val="标题 3 字符1"/>
    <w:semiHidden/>
    <w:qFormat/>
    <w:locked/>
    <w:uiPriority w:val="0"/>
    <w:rPr>
      <w:b/>
      <w:bCs/>
      <w:kern w:val="2"/>
      <w:sz w:val="32"/>
      <w:szCs w:val="32"/>
    </w:rPr>
  </w:style>
  <w:style w:type="character" w:customStyle="1" w:styleId="127">
    <w:name w:val="标题 4 字符1"/>
    <w:semiHidden/>
    <w:qFormat/>
    <w:locked/>
    <w:uiPriority w:val="0"/>
    <w:rPr>
      <w:rFonts w:ascii="Arial" w:eastAsia="黑体"/>
      <w:sz w:val="28"/>
    </w:rPr>
  </w:style>
  <w:style w:type="character" w:customStyle="1" w:styleId="128">
    <w:name w:val="标题 5 字符1"/>
    <w:semiHidden/>
    <w:qFormat/>
    <w:locked/>
    <w:uiPriority w:val="9"/>
    <w:rPr>
      <w:b/>
      <w:bCs/>
      <w:kern w:val="2"/>
      <w:sz w:val="28"/>
      <w:szCs w:val="28"/>
    </w:rPr>
  </w:style>
  <w:style w:type="character" w:customStyle="1" w:styleId="129">
    <w:name w:val="文档结构图 字符1"/>
    <w:semiHidden/>
    <w:qFormat/>
    <w:locked/>
    <w:uiPriority w:val="0"/>
    <w:rPr>
      <w:rFonts w:ascii="宋体"/>
      <w:kern w:val="2"/>
      <w:sz w:val="18"/>
      <w:szCs w:val="18"/>
    </w:rPr>
  </w:style>
  <w:style w:type="character" w:customStyle="1" w:styleId="130">
    <w:name w:val="批注文字 字符2"/>
    <w:semiHidden/>
    <w:qFormat/>
    <w:locked/>
    <w:uiPriority w:val="0"/>
    <w:rPr>
      <w:kern w:val="2"/>
      <w:sz w:val="21"/>
      <w:szCs w:val="24"/>
    </w:rPr>
  </w:style>
  <w:style w:type="character" w:customStyle="1" w:styleId="131">
    <w:name w:val="正文文本 3 字符1"/>
    <w:semiHidden/>
    <w:qFormat/>
    <w:locked/>
    <w:uiPriority w:val="99"/>
    <w:rPr>
      <w:kern w:val="2"/>
      <w:sz w:val="16"/>
      <w:szCs w:val="16"/>
    </w:rPr>
  </w:style>
  <w:style w:type="character" w:customStyle="1" w:styleId="132">
    <w:name w:val="正文文本 字符1"/>
    <w:semiHidden/>
    <w:qFormat/>
    <w:locked/>
    <w:uiPriority w:val="99"/>
    <w:rPr>
      <w:kern w:val="2"/>
      <w:sz w:val="21"/>
      <w:szCs w:val="24"/>
    </w:rPr>
  </w:style>
  <w:style w:type="character" w:customStyle="1" w:styleId="133">
    <w:name w:val="正文文本缩进 字符1"/>
    <w:semiHidden/>
    <w:qFormat/>
    <w:locked/>
    <w:uiPriority w:val="0"/>
    <w:rPr>
      <w:rFonts w:ascii="宋体" w:hAnsi="Courier New"/>
      <w:spacing w:val="-4"/>
      <w:kern w:val="2"/>
      <w:sz w:val="18"/>
    </w:rPr>
  </w:style>
  <w:style w:type="character" w:customStyle="1" w:styleId="134">
    <w:name w:val="纯文本 字符3"/>
    <w:semiHidden/>
    <w:qFormat/>
    <w:locked/>
    <w:uiPriority w:val="0"/>
    <w:rPr>
      <w:rFonts w:ascii="宋体" w:hAnsi="Courier New"/>
      <w:kern w:val="2"/>
      <w:sz w:val="21"/>
    </w:rPr>
  </w:style>
  <w:style w:type="character" w:customStyle="1" w:styleId="135">
    <w:name w:val="日期 字符1"/>
    <w:semiHidden/>
    <w:qFormat/>
    <w:locked/>
    <w:uiPriority w:val="0"/>
    <w:rPr>
      <w:kern w:val="2"/>
      <w:sz w:val="21"/>
      <w:szCs w:val="24"/>
    </w:rPr>
  </w:style>
  <w:style w:type="character" w:customStyle="1" w:styleId="136">
    <w:name w:val="正文文本缩进 2 字符1"/>
    <w:semiHidden/>
    <w:qFormat/>
    <w:locked/>
    <w:uiPriority w:val="0"/>
    <w:rPr>
      <w:kern w:val="2"/>
      <w:sz w:val="21"/>
      <w:szCs w:val="24"/>
    </w:rPr>
  </w:style>
  <w:style w:type="character" w:customStyle="1" w:styleId="137">
    <w:name w:val="批注框文本 字符1"/>
    <w:semiHidden/>
    <w:qFormat/>
    <w:locked/>
    <w:uiPriority w:val="0"/>
    <w:rPr>
      <w:kern w:val="2"/>
      <w:sz w:val="18"/>
      <w:szCs w:val="18"/>
    </w:rPr>
  </w:style>
  <w:style w:type="character" w:customStyle="1" w:styleId="138">
    <w:name w:val="页脚 字符2"/>
    <w:semiHidden/>
    <w:qFormat/>
    <w:locked/>
    <w:uiPriority w:val="99"/>
    <w:rPr>
      <w:kern w:val="2"/>
      <w:sz w:val="18"/>
      <w:szCs w:val="18"/>
    </w:rPr>
  </w:style>
  <w:style w:type="character" w:customStyle="1" w:styleId="139">
    <w:name w:val="页眉 字符2"/>
    <w:semiHidden/>
    <w:qFormat/>
    <w:locked/>
    <w:uiPriority w:val="99"/>
    <w:rPr>
      <w:kern w:val="2"/>
      <w:sz w:val="18"/>
      <w:szCs w:val="18"/>
    </w:rPr>
  </w:style>
  <w:style w:type="character" w:customStyle="1" w:styleId="140">
    <w:name w:val="批注主题 字符1"/>
    <w:semiHidden/>
    <w:qFormat/>
    <w:locked/>
    <w:uiPriority w:val="99"/>
    <w:rPr>
      <w:b/>
      <w:bCs/>
      <w:kern w:val="2"/>
      <w:sz w:val="21"/>
      <w:szCs w:val="24"/>
    </w:rPr>
  </w:style>
  <w:style w:type="paragraph" w:customStyle="1" w:styleId="141">
    <w:name w:val="Default"/>
    <w:basedOn w:val="35"/>
    <w:qFormat/>
    <w:uiPriority w:val="0"/>
    <w:pPr>
      <w:widowControl w:val="0"/>
      <w:autoSpaceDE w:val="0"/>
      <w:autoSpaceDN w:val="0"/>
      <w:adjustRightInd w:val="0"/>
    </w:pPr>
    <w:rPr>
      <w:rFonts w:ascii="宋体" w:hAnsi="Calibri" w:cs="宋体"/>
      <w:color w:val="000000"/>
      <w:sz w:val="24"/>
      <w:szCs w:val="24"/>
    </w:rPr>
  </w:style>
  <w:style w:type="paragraph" w:customStyle="1" w:styleId="142">
    <w:name w:val="列表段落1"/>
    <w:basedOn w:val="1"/>
    <w:qFormat/>
    <w:uiPriority w:val="34"/>
    <w:pPr>
      <w:ind w:firstLine="420" w:firstLineChars="200"/>
    </w:pPr>
    <w:rPr>
      <w:rFonts w:ascii="Calibri" w:hAnsi="Calibri"/>
    </w:rPr>
  </w:style>
  <w:style w:type="paragraph" w:customStyle="1" w:styleId="143">
    <w:name w:val="正文 New"/>
    <w:qFormat/>
    <w:uiPriority w:val="99"/>
    <w:pPr>
      <w:widowControl w:val="0"/>
      <w:jc w:val="both"/>
    </w:pPr>
    <w:rPr>
      <w:rFonts w:ascii="Times New Roman" w:hAnsi="Times New Roman" w:eastAsia="宋体" w:cs="Times New Roman"/>
      <w:kern w:val="2"/>
      <w:sz w:val="21"/>
      <w:szCs w:val="21"/>
      <w:lang w:val="en-US" w:eastAsia="zh-CN" w:bidi="ar-SA"/>
    </w:rPr>
  </w:style>
  <w:style w:type="paragraph" w:customStyle="1" w:styleId="144">
    <w:name w:val="页眉 New"/>
    <w:basedOn w:val="143"/>
    <w:qFormat/>
    <w:uiPriority w:val="99"/>
    <w:pPr>
      <w:pBdr>
        <w:bottom w:val="single" w:color="auto" w:sz="6" w:space="1"/>
      </w:pBdr>
      <w:tabs>
        <w:tab w:val="center" w:pos="4153"/>
        <w:tab w:val="right" w:pos="8306"/>
      </w:tabs>
      <w:snapToGrid w:val="0"/>
      <w:jc w:val="center"/>
    </w:pPr>
    <w:rPr>
      <w:sz w:val="18"/>
      <w:szCs w:val="18"/>
    </w:rPr>
  </w:style>
  <w:style w:type="character" w:customStyle="1" w:styleId="145">
    <w:name w:val="font21"/>
    <w:basedOn w:val="39"/>
    <w:qFormat/>
    <w:uiPriority w:val="0"/>
    <w:rPr>
      <w:rFonts w:hint="eastAsia" w:ascii="宋体" w:hAnsi="宋体" w:eastAsia="宋体" w:cs="宋体"/>
      <w:color w:val="000000"/>
      <w:sz w:val="20"/>
      <w:szCs w:val="20"/>
      <w:u w:val="none"/>
    </w:rPr>
  </w:style>
  <w:style w:type="character" w:customStyle="1" w:styleId="146">
    <w:name w:val="font31"/>
    <w:basedOn w:val="39"/>
    <w:qFormat/>
    <w:uiPriority w:val="0"/>
    <w:rPr>
      <w:rFonts w:hint="eastAsia" w:ascii="宋体" w:hAnsi="宋体" w:eastAsia="宋体" w:cs="宋体"/>
      <w:color w:val="FF0000"/>
      <w:sz w:val="20"/>
      <w:szCs w:val="20"/>
      <w:u w:val="none"/>
    </w:rPr>
  </w:style>
  <w:style w:type="character" w:customStyle="1" w:styleId="147">
    <w:name w:val="font41"/>
    <w:basedOn w:val="39"/>
    <w:qFormat/>
    <w:uiPriority w:val="0"/>
    <w:rPr>
      <w:rFonts w:hint="eastAsia" w:ascii="宋体" w:hAnsi="宋体" w:eastAsia="宋体" w:cs="宋体"/>
      <w:color w:val="000000"/>
      <w:sz w:val="20"/>
      <w:szCs w:val="20"/>
      <w:u w:val="none"/>
    </w:rPr>
  </w:style>
  <w:style w:type="character" w:customStyle="1" w:styleId="148">
    <w:name w:val="font51"/>
    <w:basedOn w:val="39"/>
    <w:qFormat/>
    <w:uiPriority w:val="0"/>
    <w:rPr>
      <w:rFonts w:hint="eastAsia" w:ascii="宋体" w:hAnsi="宋体" w:eastAsia="宋体" w:cs="宋体"/>
      <w:color w:val="FF0000"/>
      <w:sz w:val="20"/>
      <w:szCs w:val="20"/>
      <w:u w:val="none"/>
    </w:rPr>
  </w:style>
  <w:style w:type="paragraph" w:customStyle="1" w:styleId="149">
    <w:name w:val="font5"/>
    <w:basedOn w:val="1"/>
    <w:qFormat/>
    <w:uiPriority w:val="0"/>
    <w:pPr>
      <w:widowControl/>
      <w:spacing w:before="100" w:beforeAutospacing="1" w:after="100" w:afterAutospacing="1"/>
      <w:jc w:val="left"/>
    </w:pPr>
    <w:rPr>
      <w:rFonts w:ascii="宋体" w:hAnsi="宋体" w:cs="宋体"/>
      <w:color w:val="000000"/>
      <w:kern w:val="0"/>
      <w:sz w:val="20"/>
      <w:szCs w:val="20"/>
    </w:rPr>
  </w:style>
  <w:style w:type="paragraph" w:customStyle="1" w:styleId="150">
    <w:name w:val="font6"/>
    <w:basedOn w:val="1"/>
    <w:qFormat/>
    <w:uiPriority w:val="0"/>
    <w:pPr>
      <w:widowControl/>
      <w:spacing w:before="100" w:beforeAutospacing="1" w:after="100" w:afterAutospacing="1"/>
      <w:jc w:val="left"/>
    </w:pPr>
    <w:rPr>
      <w:rFonts w:ascii="宋体" w:hAnsi="宋体" w:cs="宋体"/>
      <w:color w:val="FF0000"/>
      <w:kern w:val="0"/>
      <w:sz w:val="20"/>
      <w:szCs w:val="20"/>
    </w:rPr>
  </w:style>
  <w:style w:type="paragraph" w:customStyle="1" w:styleId="151">
    <w:name w:val="xl65"/>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b/>
      <w:bCs/>
      <w:color w:val="000000"/>
      <w:kern w:val="0"/>
      <w:sz w:val="20"/>
      <w:szCs w:val="20"/>
    </w:rPr>
  </w:style>
  <w:style w:type="paragraph" w:customStyle="1" w:styleId="152">
    <w:name w:val="xl66"/>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b/>
      <w:bCs/>
      <w:color w:val="000000"/>
      <w:kern w:val="0"/>
      <w:sz w:val="20"/>
      <w:szCs w:val="20"/>
    </w:rPr>
  </w:style>
  <w:style w:type="paragraph" w:customStyle="1" w:styleId="153">
    <w:name w:val="xl67"/>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color w:val="000000"/>
      <w:kern w:val="0"/>
      <w:sz w:val="20"/>
      <w:szCs w:val="20"/>
    </w:rPr>
  </w:style>
  <w:style w:type="paragraph" w:customStyle="1" w:styleId="154">
    <w:name w:val="xl68"/>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color w:val="000000"/>
      <w:kern w:val="0"/>
      <w:sz w:val="20"/>
      <w:szCs w:val="20"/>
    </w:rPr>
  </w:style>
  <w:style w:type="paragraph" w:customStyle="1" w:styleId="155">
    <w:name w:val="xl69"/>
    <w:basedOn w:val="1"/>
    <w:qFormat/>
    <w:uiPriority w:val="0"/>
    <w:pPr>
      <w:widowControl/>
      <w:pBdr>
        <w:top w:val="single" w:color="auto" w:sz="4" w:space="0"/>
        <w:left w:val="single" w:color="auto" w:sz="4" w:space="0"/>
        <w:bottom w:val="single" w:color="auto" w:sz="4" w:space="0"/>
        <w:right w:val="single" w:color="auto" w:sz="4" w:space="0"/>
      </w:pBdr>
      <w:shd w:val="clear" w:color="000000" w:fill="FFFF00"/>
      <w:spacing w:before="100" w:beforeAutospacing="1" w:after="100" w:afterAutospacing="1"/>
      <w:jc w:val="center"/>
    </w:pPr>
    <w:rPr>
      <w:rFonts w:ascii="宋体" w:hAnsi="宋体" w:cs="宋体"/>
      <w:color w:val="000000"/>
      <w:kern w:val="0"/>
      <w:sz w:val="20"/>
      <w:szCs w:val="20"/>
    </w:rPr>
  </w:style>
  <w:style w:type="paragraph" w:customStyle="1" w:styleId="156">
    <w:name w:val="xl70"/>
    <w:basedOn w:val="1"/>
    <w:qFormat/>
    <w:uiPriority w:val="0"/>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center"/>
    </w:pPr>
    <w:rPr>
      <w:rFonts w:ascii="宋体" w:hAnsi="宋体" w:cs="宋体"/>
      <w:color w:val="000000"/>
      <w:kern w:val="0"/>
      <w:sz w:val="20"/>
      <w:szCs w:val="20"/>
    </w:rPr>
  </w:style>
  <w:style w:type="paragraph" w:customStyle="1" w:styleId="157">
    <w:name w:val="xl71"/>
    <w:basedOn w:val="1"/>
    <w:qFormat/>
    <w:uiPriority w:val="0"/>
    <w:pPr>
      <w:widowControl/>
      <w:spacing w:before="100" w:beforeAutospacing="1" w:after="100" w:afterAutospacing="1"/>
      <w:jc w:val="left"/>
    </w:pPr>
    <w:rPr>
      <w:rFonts w:ascii="宋体" w:hAnsi="宋体" w:cs="宋体"/>
      <w:kern w:val="0"/>
      <w:sz w:val="20"/>
      <w:szCs w:val="20"/>
    </w:rPr>
  </w:style>
  <w:style w:type="paragraph" w:customStyle="1" w:styleId="158">
    <w:name w:val="xl72"/>
    <w:basedOn w:val="1"/>
    <w:qFormat/>
    <w:uiPriority w:val="0"/>
    <w:pPr>
      <w:widowControl/>
      <w:pBdr>
        <w:top w:val="single" w:color="auto" w:sz="4" w:space="0"/>
        <w:left w:val="single" w:color="auto" w:sz="4" w:space="0"/>
        <w:bottom w:val="single" w:color="auto" w:sz="4" w:space="0"/>
        <w:right w:val="single" w:color="auto" w:sz="4" w:space="0"/>
      </w:pBdr>
      <w:shd w:val="clear" w:color="000000" w:fill="C9E4B4"/>
      <w:spacing w:before="100" w:beforeAutospacing="1" w:after="100" w:afterAutospacing="1"/>
      <w:jc w:val="center"/>
    </w:pPr>
    <w:rPr>
      <w:rFonts w:ascii="宋体" w:hAnsi="宋体" w:cs="宋体"/>
      <w:kern w:val="0"/>
      <w:sz w:val="20"/>
      <w:szCs w:val="20"/>
    </w:rPr>
  </w:style>
  <w:style w:type="paragraph" w:customStyle="1" w:styleId="159">
    <w:name w:val="xl73"/>
    <w:basedOn w:val="1"/>
    <w:qFormat/>
    <w:uiPriority w:val="0"/>
    <w:pPr>
      <w:widowControl/>
      <w:pBdr>
        <w:top w:val="single" w:color="auto" w:sz="4" w:space="0"/>
        <w:left w:val="single" w:color="auto" w:sz="4" w:space="0"/>
        <w:bottom w:val="single" w:color="auto" w:sz="4" w:space="0"/>
        <w:right w:val="single" w:color="auto" w:sz="4" w:space="0"/>
      </w:pBdr>
      <w:shd w:val="clear" w:color="000000" w:fill="C9E4B4"/>
      <w:spacing w:before="100" w:beforeAutospacing="1" w:after="100" w:afterAutospacing="1"/>
      <w:jc w:val="center"/>
    </w:pPr>
    <w:rPr>
      <w:rFonts w:ascii="宋体" w:hAnsi="宋体" w:cs="宋体"/>
      <w:kern w:val="0"/>
      <w:sz w:val="20"/>
      <w:szCs w:val="20"/>
    </w:rPr>
  </w:style>
  <w:style w:type="paragraph" w:customStyle="1" w:styleId="160">
    <w:name w:val="xl74"/>
    <w:basedOn w:val="1"/>
    <w:qFormat/>
    <w:uiPriority w:val="0"/>
    <w:pPr>
      <w:widowControl/>
      <w:pBdr>
        <w:top w:val="single" w:color="auto" w:sz="4" w:space="0"/>
        <w:left w:val="single" w:color="auto" w:sz="4" w:space="0"/>
        <w:bottom w:val="single" w:color="auto" w:sz="4" w:space="0"/>
        <w:right w:val="single" w:color="auto" w:sz="4" w:space="0"/>
      </w:pBdr>
      <w:shd w:val="clear" w:color="000000" w:fill="C9E4B4"/>
      <w:spacing w:before="100" w:beforeAutospacing="1" w:after="100" w:afterAutospacing="1"/>
      <w:jc w:val="center"/>
    </w:pPr>
    <w:rPr>
      <w:rFonts w:ascii="宋体" w:hAnsi="宋体" w:cs="宋体"/>
      <w:color w:val="000000"/>
      <w:kern w:val="0"/>
      <w:sz w:val="20"/>
      <w:szCs w:val="20"/>
    </w:rPr>
  </w:style>
  <w:style w:type="paragraph" w:customStyle="1" w:styleId="161">
    <w:name w:val="xl75"/>
    <w:basedOn w:val="1"/>
    <w:qFormat/>
    <w:uiPriority w:val="0"/>
    <w:pPr>
      <w:widowControl/>
      <w:pBdr>
        <w:top w:val="single" w:color="auto" w:sz="4" w:space="0"/>
        <w:left w:val="single" w:color="auto" w:sz="4" w:space="0"/>
        <w:bottom w:val="single" w:color="auto" w:sz="4" w:space="0"/>
        <w:right w:val="single" w:color="auto" w:sz="4" w:space="0"/>
      </w:pBdr>
      <w:shd w:val="clear" w:color="000000" w:fill="C9E4B4"/>
      <w:spacing w:before="100" w:beforeAutospacing="1" w:after="100" w:afterAutospacing="1"/>
      <w:jc w:val="center"/>
    </w:pPr>
    <w:rPr>
      <w:rFonts w:ascii="宋体" w:hAnsi="宋体" w:cs="宋体"/>
      <w:color w:val="000000"/>
      <w:kern w:val="0"/>
      <w:sz w:val="20"/>
      <w:szCs w:val="20"/>
    </w:rPr>
  </w:style>
  <w:style w:type="paragraph" w:customStyle="1" w:styleId="162">
    <w:name w:val="xl76"/>
    <w:basedOn w:val="1"/>
    <w:qFormat/>
    <w:uiPriority w:val="0"/>
    <w:pPr>
      <w:widowControl/>
      <w:pBdr>
        <w:top w:val="single" w:color="auto" w:sz="4" w:space="0"/>
        <w:left w:val="single" w:color="auto" w:sz="4" w:space="0"/>
        <w:bottom w:val="single" w:color="auto" w:sz="4" w:space="0"/>
        <w:right w:val="single" w:color="auto" w:sz="4" w:space="0"/>
      </w:pBdr>
      <w:shd w:val="clear" w:color="000000" w:fill="B5C6EA"/>
      <w:spacing w:before="100" w:beforeAutospacing="1" w:after="100" w:afterAutospacing="1"/>
      <w:jc w:val="center"/>
    </w:pPr>
    <w:rPr>
      <w:rFonts w:ascii="宋体" w:hAnsi="宋体" w:cs="宋体"/>
      <w:color w:val="000000"/>
      <w:kern w:val="0"/>
      <w:sz w:val="20"/>
      <w:szCs w:val="20"/>
    </w:rPr>
  </w:style>
  <w:style w:type="paragraph" w:customStyle="1" w:styleId="163">
    <w:name w:val="xl77"/>
    <w:basedOn w:val="1"/>
    <w:qFormat/>
    <w:uiPriority w:val="0"/>
    <w:pPr>
      <w:widowControl/>
      <w:pBdr>
        <w:top w:val="single" w:color="auto" w:sz="4" w:space="0"/>
        <w:left w:val="single" w:color="auto" w:sz="4" w:space="0"/>
        <w:bottom w:val="single" w:color="auto" w:sz="4" w:space="0"/>
        <w:right w:val="single" w:color="auto" w:sz="4" w:space="0"/>
      </w:pBdr>
      <w:shd w:val="clear" w:color="000000" w:fill="B5C6EA"/>
      <w:spacing w:before="100" w:beforeAutospacing="1" w:after="100" w:afterAutospacing="1"/>
      <w:jc w:val="center"/>
    </w:pPr>
    <w:rPr>
      <w:rFonts w:ascii="宋体" w:hAnsi="宋体" w:cs="宋体"/>
      <w:color w:val="000000"/>
      <w:kern w:val="0"/>
      <w:sz w:val="20"/>
      <w:szCs w:val="20"/>
    </w:rPr>
  </w:style>
  <w:style w:type="paragraph" w:customStyle="1" w:styleId="164">
    <w:name w:val="xl78"/>
    <w:basedOn w:val="1"/>
    <w:qFormat/>
    <w:uiPriority w:val="0"/>
    <w:pPr>
      <w:widowControl/>
      <w:pBdr>
        <w:top w:val="single" w:color="auto" w:sz="4" w:space="0"/>
        <w:left w:val="single" w:color="auto" w:sz="4" w:space="0"/>
        <w:bottom w:val="single" w:color="auto" w:sz="4" w:space="0"/>
        <w:right w:val="single" w:color="auto" w:sz="4" w:space="0"/>
      </w:pBdr>
      <w:shd w:val="clear" w:color="000000" w:fill="B5C6EA"/>
      <w:spacing w:before="100" w:beforeAutospacing="1" w:after="100" w:afterAutospacing="1"/>
      <w:jc w:val="center"/>
    </w:pPr>
    <w:rPr>
      <w:rFonts w:ascii="宋体" w:hAnsi="宋体" w:cs="宋体"/>
      <w:kern w:val="0"/>
      <w:sz w:val="20"/>
      <w:szCs w:val="20"/>
    </w:rPr>
  </w:style>
  <w:style w:type="paragraph" w:customStyle="1" w:styleId="165">
    <w:name w:val="xl79"/>
    <w:basedOn w:val="1"/>
    <w:qFormat/>
    <w:uiPriority w:val="0"/>
    <w:pPr>
      <w:widowControl/>
      <w:pBdr>
        <w:top w:val="single" w:color="auto" w:sz="4" w:space="0"/>
        <w:left w:val="single" w:color="auto" w:sz="4" w:space="0"/>
        <w:bottom w:val="single" w:color="auto" w:sz="4" w:space="0"/>
        <w:right w:val="single" w:color="auto" w:sz="4" w:space="0"/>
      </w:pBdr>
      <w:shd w:val="clear" w:color="000000" w:fill="B5C6EA"/>
      <w:spacing w:before="100" w:beforeAutospacing="1" w:after="100" w:afterAutospacing="1"/>
      <w:jc w:val="center"/>
    </w:pPr>
    <w:rPr>
      <w:rFonts w:ascii="宋体" w:hAnsi="宋体" w:cs="宋体"/>
      <w:kern w:val="0"/>
      <w:sz w:val="20"/>
      <w:szCs w:val="20"/>
    </w:rPr>
  </w:style>
  <w:style w:type="paragraph" w:customStyle="1" w:styleId="166">
    <w:name w:val="xl80"/>
    <w:basedOn w:val="1"/>
    <w:qFormat/>
    <w:uiPriority w:val="0"/>
    <w:pPr>
      <w:widowControl/>
      <w:pBdr>
        <w:top w:val="single" w:color="auto" w:sz="4" w:space="0"/>
        <w:left w:val="single" w:color="auto" w:sz="4" w:space="0"/>
        <w:bottom w:val="single" w:color="auto" w:sz="4" w:space="0"/>
        <w:right w:val="single" w:color="auto" w:sz="4" w:space="0"/>
      </w:pBdr>
      <w:shd w:val="clear" w:color="000000" w:fill="B5C6EA"/>
      <w:spacing w:before="100" w:beforeAutospacing="1" w:after="100" w:afterAutospacing="1"/>
      <w:jc w:val="center"/>
    </w:pPr>
    <w:rPr>
      <w:rFonts w:ascii="宋体" w:hAnsi="宋体" w:cs="宋体"/>
      <w:kern w:val="0"/>
      <w:szCs w:val="21"/>
    </w:rPr>
  </w:style>
  <w:style w:type="paragraph" w:customStyle="1" w:styleId="167">
    <w:name w:val="xl81"/>
    <w:basedOn w:val="1"/>
    <w:qFormat/>
    <w:uiPriority w:val="0"/>
    <w:pPr>
      <w:widowControl/>
      <w:pBdr>
        <w:top w:val="single" w:color="auto" w:sz="4" w:space="0"/>
        <w:left w:val="single" w:color="auto" w:sz="4" w:space="0"/>
        <w:bottom w:val="single" w:color="auto" w:sz="4" w:space="0"/>
        <w:right w:val="single" w:color="auto" w:sz="4" w:space="0"/>
      </w:pBdr>
      <w:shd w:val="clear" w:color="000000" w:fill="FADADE"/>
      <w:spacing w:before="100" w:beforeAutospacing="1" w:after="100" w:afterAutospacing="1"/>
      <w:jc w:val="center"/>
    </w:pPr>
    <w:rPr>
      <w:rFonts w:ascii="宋体" w:hAnsi="宋体" w:cs="宋体"/>
      <w:color w:val="000000"/>
      <w:kern w:val="0"/>
      <w:sz w:val="20"/>
      <w:szCs w:val="20"/>
    </w:rPr>
  </w:style>
  <w:style w:type="paragraph" w:customStyle="1" w:styleId="168">
    <w:name w:val="xl82"/>
    <w:basedOn w:val="1"/>
    <w:qFormat/>
    <w:uiPriority w:val="0"/>
    <w:pPr>
      <w:widowControl/>
      <w:pBdr>
        <w:top w:val="single" w:color="auto" w:sz="4" w:space="0"/>
        <w:left w:val="single" w:color="auto" w:sz="4" w:space="0"/>
        <w:bottom w:val="single" w:color="auto" w:sz="4" w:space="0"/>
        <w:right w:val="single" w:color="auto" w:sz="4" w:space="0"/>
      </w:pBdr>
      <w:shd w:val="clear" w:color="000000" w:fill="FADADE"/>
      <w:spacing w:before="100" w:beforeAutospacing="1" w:after="100" w:afterAutospacing="1"/>
      <w:jc w:val="center"/>
    </w:pPr>
    <w:rPr>
      <w:rFonts w:ascii="宋体" w:hAnsi="宋体" w:cs="宋体"/>
      <w:color w:val="000000"/>
      <w:kern w:val="0"/>
      <w:sz w:val="20"/>
      <w:szCs w:val="20"/>
    </w:rPr>
  </w:style>
  <w:style w:type="paragraph" w:customStyle="1" w:styleId="169">
    <w:name w:val="xl83"/>
    <w:basedOn w:val="1"/>
    <w:qFormat/>
    <w:uiPriority w:val="0"/>
    <w:pPr>
      <w:widowControl/>
      <w:pBdr>
        <w:top w:val="single" w:color="auto" w:sz="4" w:space="0"/>
        <w:left w:val="single" w:color="auto" w:sz="4" w:space="0"/>
        <w:bottom w:val="single" w:color="auto" w:sz="4" w:space="0"/>
        <w:right w:val="single" w:color="auto" w:sz="4" w:space="0"/>
      </w:pBdr>
      <w:shd w:val="clear" w:color="000000" w:fill="FADADE"/>
      <w:spacing w:before="100" w:beforeAutospacing="1" w:after="100" w:afterAutospacing="1"/>
      <w:jc w:val="center"/>
    </w:pPr>
    <w:rPr>
      <w:rFonts w:ascii="宋体" w:hAnsi="宋体" w:cs="宋体"/>
      <w:color w:val="000000"/>
      <w:kern w:val="0"/>
      <w:sz w:val="20"/>
      <w:szCs w:val="20"/>
    </w:rPr>
  </w:style>
  <w:style w:type="character" w:customStyle="1" w:styleId="170">
    <w:name w:val="纯文本 字符5"/>
    <w:basedOn w:val="39"/>
    <w:link w:val="7"/>
    <w:qFormat/>
    <w:uiPriority w:val="0"/>
    <w:rPr>
      <w:rFonts w:hint="eastAsia" w:ascii="宋体" w:hAnsi="Courier New" w:eastAsia="宋体" w:cs="宋体"/>
      <w:szCs w:val="21"/>
    </w:rPr>
  </w:style>
  <w:style w:type="character" w:customStyle="1" w:styleId="171">
    <w:name w:val="正文文本 字符3"/>
    <w:basedOn w:val="39"/>
    <w:link w:val="6"/>
    <w:qFormat/>
    <w:uiPriority w:val="0"/>
    <w:rPr>
      <w:sz w:val="24"/>
      <w:szCs w:val="24"/>
    </w:rPr>
  </w:style>
  <w:style w:type="character" w:customStyle="1" w:styleId="172">
    <w:name w:val="正文文本 3 Char"/>
    <w:basedOn w:val="39"/>
    <w:link w:val="19"/>
    <w:qFormat/>
    <w:uiPriority w:val="0"/>
    <w:rPr>
      <w:b/>
      <w:bCs/>
      <w:sz w:val="24"/>
      <w:szCs w:val="24"/>
    </w:rPr>
  </w:style>
  <w:style w:type="character" w:customStyle="1" w:styleId="173">
    <w:name w:val="正文文本缩进 Char"/>
    <w:basedOn w:val="39"/>
    <w:link w:val="3"/>
    <w:qFormat/>
    <w:uiPriority w:val="0"/>
    <w:rPr>
      <w:rFonts w:hint="eastAsia" w:ascii="仿宋_GB2312" w:eastAsia="仿宋_GB2312" w:cs="仿宋_GB2312"/>
      <w:sz w:val="32"/>
    </w:rPr>
  </w:style>
</w:styles>
</file>

<file path=word/_rels/document.xml.rels><?xml version="1.0" encoding="UTF-8" standalone="yes"?>
<Relationships xmlns="http://schemas.openxmlformats.org/package/2006/relationships"><Relationship Id="rId9" Type="http://schemas.openxmlformats.org/officeDocument/2006/relationships/footer" Target="footer6.xml"/><Relationship Id="rId8" Type="http://schemas.openxmlformats.org/officeDocument/2006/relationships/footer" Target="footer5.xml"/><Relationship Id="rId7" Type="http://schemas.openxmlformats.org/officeDocument/2006/relationships/footer" Target="footer4.xml"/><Relationship Id="rId6" Type="http://schemas.openxmlformats.org/officeDocument/2006/relationships/footer" Target="footer3.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5" Type="http://schemas.openxmlformats.org/officeDocument/2006/relationships/fontTable" Target="fontTable.xml"/><Relationship Id="rId14" Type="http://schemas.openxmlformats.org/officeDocument/2006/relationships/numbering" Target="numbering.xml"/><Relationship Id="rId13" Type="http://schemas.openxmlformats.org/officeDocument/2006/relationships/customXml" Target="../customXml/item1.xml"/><Relationship Id="rId12" Type="http://schemas.openxmlformats.org/officeDocument/2006/relationships/image" Target="https://www.gov.cn/zhengce/content/202509/W020250930645245947614.png" TargetMode="External"/><Relationship Id="rId11" Type="http://schemas.openxmlformats.org/officeDocument/2006/relationships/image" Target="media/image1.png"/><Relationship Id="rId10" Type="http://schemas.openxmlformats.org/officeDocument/2006/relationships/theme" Target="theme/theme1.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9" Type="http://schemas.openxmlformats.org/officeDocument/2006/relationships/font" Target="fonts/font9.odttf"/><Relationship Id="rId8" Type="http://schemas.openxmlformats.org/officeDocument/2006/relationships/font" Target="fonts/font8.odttf"/><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2" Type="http://schemas.openxmlformats.org/officeDocument/2006/relationships/font" Target="fonts/font12.odttf"/><Relationship Id="rId11" Type="http://schemas.openxmlformats.org/officeDocument/2006/relationships/font" Target="fonts/font11.odttf"/><Relationship Id="rId10" Type="http://schemas.openxmlformats.org/officeDocument/2006/relationships/font" Target="fonts/font10.odttf"/><Relationship Id="rId1" Type="http://schemas.openxmlformats.org/officeDocument/2006/relationships/font" Target="fonts/font1.odttf"/></Relationships>
</file>

<file path=word/theme/theme1.xml><?xml version="1.0" encoding="utf-8"?>
<a:theme xmlns:a="http://schemas.openxmlformats.org/drawingml/2006/main" name="Office 主题">
  <a:themeElements>
    <a:clrScheme name="Office">
      <a:dk1>
        <a:sysClr val="windowText" lastClr="000000"/>
      </a:dk1>
      <a:lt1>
        <a:sysClr val="window" lastClr="CCE8C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admin</Company>
  <Pages>144</Pages>
  <Words>71762</Words>
  <Characters>76490</Characters>
  <Lines>90</Lines>
  <Paragraphs>138</Paragraphs>
  <TotalTime>52</TotalTime>
  <ScaleCrop>false</ScaleCrop>
  <LinksUpToDate>false</LinksUpToDate>
  <CharactersWithSpaces>78434</CharactersWithSpaces>
  <Application>WPS Office_12.1.0.26375_F1E327BC-269C-435d-A152-05C5408002CA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2026-01-06T08:26:00Z</dcterms:created>
  <dc:creator>丁琳</dc:creator>
  <cp:lastModifiedBy>WPS_1602214612</cp:lastModifiedBy>
  <cp:lastPrinted>2021-08-19T03:26:00Z</cp:lastPrinted>
  <dcterms:modified xsi:type="dcterms:W3CDTF">2026-05-18T05:48:04Z</dcterms:modified>
  <dc:title>南财采管〔2012〕3号</dc:title>
  <cp:revision>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2052-12.1.0.26375</vt:lpwstr>
  </property>
  <property fmtid="{D5CDD505-2E9C-101B-9397-08002B2CF9AE}" pid="3" name="ICV">
    <vt:lpwstr>29FDE564A7A04D9AB12C140104710200_13</vt:lpwstr>
  </property>
  <property fmtid="{D5CDD505-2E9C-101B-9397-08002B2CF9AE}" pid="4" name="KSOTemplateDocerSaveRecord">
    <vt:lpwstr>eyJoZGlkIjoiYWRhMWIxZWQ5OTg5NmZlOWNhNTA2NTI5YTIzMjg0OWEiLCJ1c2VySWQiOiIxMTI4ODcwMzU0In0=</vt:lpwstr>
  </property>
</Properties>
</file>