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83F5F9">
      <w:pPr>
        <w:spacing w:line="520" w:lineRule="exact"/>
        <w:jc w:val="center"/>
        <w:rPr>
          <w:rFonts w:hint="eastAsia" w:ascii="宋体" w:hAnsi="宋体" w:eastAsia="宋体"/>
          <w:b/>
          <w:sz w:val="44"/>
          <w:szCs w:val="44"/>
        </w:rPr>
      </w:pPr>
      <w:r>
        <w:rPr>
          <w:rFonts w:hint="eastAsia" w:ascii="宋体" w:hAnsi="宋体" w:eastAsia="宋体"/>
          <w:b/>
          <w:sz w:val="44"/>
          <w:szCs w:val="44"/>
        </w:rPr>
        <w:t>南宁市卫生学校承办技能大赛硬件器材</w:t>
      </w:r>
      <w:r>
        <w:rPr>
          <w:rFonts w:hint="eastAsia" w:ascii="宋体" w:hAnsi="宋体"/>
          <w:b/>
          <w:sz w:val="44"/>
          <w:szCs w:val="44"/>
          <w:lang w:val="en-US" w:eastAsia="zh-CN"/>
        </w:rPr>
        <w:t>及</w:t>
      </w:r>
      <w:r>
        <w:rPr>
          <w:rFonts w:hint="eastAsia" w:ascii="宋体" w:hAnsi="宋体" w:eastAsia="宋体"/>
          <w:b/>
          <w:sz w:val="44"/>
          <w:szCs w:val="44"/>
        </w:rPr>
        <w:t>两校区实训安全规范建设(一期)子项1配套安全设备采购文件</w:t>
      </w:r>
    </w:p>
    <w:p w14:paraId="5D3D41FC">
      <w:pPr>
        <w:spacing w:line="520" w:lineRule="exact"/>
        <w:ind w:firstLine="880"/>
        <w:jc w:val="center"/>
        <w:rPr>
          <w:rFonts w:ascii="宋体" w:hAnsi="宋体" w:eastAsia="宋体"/>
          <w:b/>
          <w:sz w:val="44"/>
          <w:szCs w:val="44"/>
        </w:rPr>
      </w:pPr>
    </w:p>
    <w:p w14:paraId="484720CA">
      <w:pPr>
        <w:spacing w:line="520" w:lineRule="exact"/>
        <w:jc w:val="left"/>
        <w:rPr>
          <w:rFonts w:hint="eastAsia" w:ascii="仿宋" w:hAnsi="仿宋" w:eastAsia="仿宋"/>
          <w:color w:val="000000"/>
          <w:sz w:val="30"/>
          <w:szCs w:val="30"/>
          <w:lang w:val="en-US" w:eastAsia="zh-CN"/>
        </w:rPr>
      </w:pPr>
      <w:r>
        <w:rPr>
          <w:rFonts w:hint="eastAsia" w:ascii="仿宋" w:hAnsi="仿宋" w:eastAsia="仿宋"/>
          <w:color w:val="000000"/>
          <w:sz w:val="30"/>
          <w:szCs w:val="30"/>
          <w:lang w:val="en-US" w:eastAsia="zh-CN"/>
        </w:rPr>
        <w:t xml:space="preserve">    </w:t>
      </w:r>
      <w:r>
        <w:rPr>
          <w:rFonts w:hint="eastAsia" w:ascii="仿宋" w:hAnsi="仿宋" w:eastAsia="仿宋"/>
          <w:color w:val="000000"/>
          <w:sz w:val="30"/>
          <w:szCs w:val="30"/>
        </w:rPr>
        <w:t>现对“南宁市卫生学校承办技能大赛硬件器材及两校区实训安全规范建设(一期)子项1配套安全设备采购”</w:t>
      </w:r>
      <w:r>
        <w:rPr>
          <w:rFonts w:hint="eastAsia" w:ascii="仿宋" w:hAnsi="仿宋" w:eastAsia="仿宋"/>
          <w:color w:val="000000"/>
          <w:sz w:val="30"/>
          <w:szCs w:val="30"/>
          <w:lang w:val="en-US" w:eastAsia="zh-CN"/>
        </w:rPr>
        <w:t>项目</w:t>
      </w:r>
      <w:r>
        <w:rPr>
          <w:rFonts w:hint="eastAsia" w:ascii="仿宋" w:hAnsi="仿宋" w:eastAsia="仿宋"/>
          <w:color w:val="000000"/>
          <w:sz w:val="30"/>
          <w:szCs w:val="30"/>
        </w:rPr>
        <w:t>进行</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询价采购，欢迎满足资格要求的相关单位前来参加，具体事宜如下：</w:t>
      </w:r>
    </w:p>
    <w:p w14:paraId="71FB4426">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一、项目名称：南宁市卫生学校承办技能大赛硬件器材及两校区实训安全规范建设(一期)子项1配套安全设备采购项目</w:t>
      </w:r>
    </w:p>
    <w:p w14:paraId="0769FB6D">
      <w:pPr>
        <w:numPr>
          <w:ilvl w:val="0"/>
          <w:numId w:val="1"/>
        </w:num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采购内容：详见附件</w:t>
      </w:r>
    </w:p>
    <w:p w14:paraId="5592DC58">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三、采购</w:t>
      </w:r>
      <w:r>
        <w:rPr>
          <w:rFonts w:ascii="仿宋" w:hAnsi="仿宋" w:eastAsia="仿宋"/>
          <w:color w:val="000000"/>
          <w:sz w:val="30"/>
          <w:szCs w:val="30"/>
        </w:rPr>
        <w:t>预算</w:t>
      </w:r>
      <w:r>
        <w:rPr>
          <w:rFonts w:hint="eastAsia" w:ascii="仿宋" w:hAnsi="仿宋" w:eastAsia="仿宋"/>
          <w:color w:val="000000"/>
          <w:sz w:val="30"/>
          <w:szCs w:val="30"/>
        </w:rPr>
        <w:t>：</w:t>
      </w:r>
      <w:r>
        <w:rPr>
          <w:rFonts w:hint="eastAsia" w:ascii="仿宋" w:hAnsi="仿宋" w:eastAsia="仿宋"/>
          <w:color w:val="000000"/>
          <w:sz w:val="30"/>
          <w:szCs w:val="30"/>
          <w:lang w:val="en-US" w:eastAsia="zh-CN"/>
        </w:rPr>
        <w:t>42040.00</w:t>
      </w:r>
      <w:r>
        <w:rPr>
          <w:rFonts w:hint="eastAsia" w:ascii="仿宋" w:hAnsi="仿宋" w:eastAsia="仿宋"/>
          <w:color w:val="000000"/>
          <w:sz w:val="30"/>
          <w:szCs w:val="30"/>
        </w:rPr>
        <w:t>元</w:t>
      </w:r>
    </w:p>
    <w:p w14:paraId="63A2ACC4">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四、采购方式：</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w:t>
      </w:r>
    </w:p>
    <w:p w14:paraId="580C663C">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五、供应商资格要求：</w:t>
      </w:r>
      <w:r>
        <w:rPr>
          <w:rFonts w:hint="eastAsia" w:ascii="仿宋" w:hAnsi="仿宋" w:eastAsia="仿宋"/>
          <w:bCs/>
          <w:sz w:val="30"/>
          <w:szCs w:val="30"/>
        </w:rPr>
        <w:t>1</w:t>
      </w:r>
      <w:r>
        <w:rPr>
          <w:rFonts w:hint="eastAsia" w:ascii="仿宋" w:hAnsi="仿宋" w:eastAsia="仿宋"/>
          <w:bCs/>
          <w:sz w:val="30"/>
          <w:szCs w:val="30"/>
          <w:lang w:val="en-US" w:eastAsia="zh-CN"/>
        </w:rPr>
        <w:t>.</w:t>
      </w:r>
      <w:r>
        <w:rPr>
          <w:rFonts w:hint="eastAsia" w:ascii="仿宋" w:hAnsi="仿宋" w:eastAsia="仿宋"/>
          <w:bCs/>
          <w:sz w:val="30"/>
          <w:szCs w:val="30"/>
        </w:rPr>
        <w:t>投标人应符合《中华人民共和国政府采购法》第二十二条规定；2</w:t>
      </w:r>
      <w:r>
        <w:rPr>
          <w:rFonts w:hint="eastAsia" w:ascii="仿宋" w:hAnsi="仿宋" w:eastAsia="仿宋"/>
          <w:bCs/>
          <w:sz w:val="30"/>
          <w:szCs w:val="30"/>
          <w:lang w:val="en-US" w:eastAsia="zh-CN"/>
        </w:rPr>
        <w:t>.</w:t>
      </w:r>
      <w:r>
        <w:rPr>
          <w:rFonts w:hint="eastAsia" w:ascii="仿宋" w:hAnsi="仿宋" w:eastAsia="仿宋"/>
          <w:bCs/>
          <w:sz w:val="30"/>
          <w:szCs w:val="30"/>
        </w:rPr>
        <w:t>具有国内法人资格，生产或经营能力满足采购内容；3</w:t>
      </w:r>
      <w:r>
        <w:rPr>
          <w:rFonts w:hint="eastAsia" w:ascii="仿宋" w:hAnsi="仿宋" w:eastAsia="仿宋"/>
          <w:bCs/>
          <w:sz w:val="30"/>
          <w:szCs w:val="30"/>
          <w:lang w:val="en-US" w:eastAsia="zh-CN"/>
        </w:rPr>
        <w:t>.</w:t>
      </w:r>
      <w:r>
        <w:rPr>
          <w:rFonts w:hint="eastAsia" w:ascii="仿宋" w:hAnsi="仿宋" w:eastAsia="仿宋"/>
          <w:bCs/>
          <w:sz w:val="30"/>
          <w:szCs w:val="30"/>
        </w:rPr>
        <w:t>不接受联合体投标</w:t>
      </w:r>
      <w:r>
        <w:rPr>
          <w:rFonts w:hint="eastAsia" w:ascii="仿宋" w:hAnsi="仿宋" w:eastAsia="仿宋"/>
          <w:bCs/>
          <w:sz w:val="30"/>
          <w:szCs w:val="30"/>
          <w:lang w:val="en-US" w:eastAsia="zh-CN"/>
        </w:rPr>
        <w:t>。</w:t>
      </w:r>
    </w:p>
    <w:p w14:paraId="49C384BD">
      <w:pPr>
        <w:spacing w:line="520" w:lineRule="exact"/>
        <w:ind w:firstLine="600" w:firstLineChars="200"/>
        <w:jc w:val="left"/>
        <w:rPr>
          <w:rFonts w:hint="eastAsia" w:ascii="仿宋" w:hAnsi="仿宋" w:eastAsia="仿宋"/>
          <w:bCs/>
          <w:sz w:val="30"/>
          <w:szCs w:val="30"/>
        </w:rPr>
      </w:pPr>
      <w:r>
        <w:rPr>
          <w:rFonts w:hint="eastAsia" w:ascii="仿宋" w:hAnsi="仿宋" w:eastAsia="仿宋"/>
          <w:bCs/>
          <w:sz w:val="30"/>
          <w:szCs w:val="30"/>
        </w:rPr>
        <w:t>六、递交竞价文件时间：供应商将</w:t>
      </w:r>
      <w:r>
        <w:rPr>
          <w:rFonts w:hint="eastAsia" w:ascii="仿宋" w:hAnsi="仿宋" w:eastAsia="仿宋"/>
          <w:bCs/>
          <w:sz w:val="30"/>
          <w:szCs w:val="30"/>
          <w:lang w:eastAsia="zh-CN"/>
        </w:rPr>
        <w:t>投标</w:t>
      </w:r>
      <w:r>
        <w:rPr>
          <w:rFonts w:hint="eastAsia" w:ascii="仿宋" w:hAnsi="仿宋" w:eastAsia="仿宋"/>
          <w:bCs/>
          <w:sz w:val="30"/>
          <w:szCs w:val="30"/>
        </w:rPr>
        <w:t>文件在202</w:t>
      </w:r>
      <w:r>
        <w:rPr>
          <w:rFonts w:hint="eastAsia" w:ascii="仿宋" w:hAnsi="仿宋" w:eastAsia="仿宋"/>
          <w:bCs/>
          <w:sz w:val="30"/>
          <w:szCs w:val="30"/>
          <w:lang w:val="en-US" w:eastAsia="zh-CN"/>
        </w:rPr>
        <w:t>6</w:t>
      </w:r>
      <w:r>
        <w:rPr>
          <w:rFonts w:hint="eastAsia" w:ascii="仿宋" w:hAnsi="仿宋" w:eastAsia="仿宋"/>
          <w:bCs/>
          <w:sz w:val="30"/>
          <w:szCs w:val="30"/>
        </w:rPr>
        <w:t>年</w:t>
      </w:r>
      <w:r>
        <w:rPr>
          <w:rFonts w:hint="eastAsia" w:ascii="仿宋" w:hAnsi="仿宋" w:eastAsia="仿宋"/>
          <w:bCs/>
          <w:sz w:val="30"/>
          <w:szCs w:val="30"/>
          <w:u w:val="single"/>
          <w:lang w:val="en-US" w:eastAsia="zh-CN"/>
        </w:rPr>
        <w:t xml:space="preserve"> 6</w:t>
      </w:r>
      <w:r>
        <w:rPr>
          <w:rFonts w:hint="eastAsia" w:ascii="仿宋" w:hAnsi="仿宋" w:eastAsia="仿宋"/>
          <w:bCs/>
          <w:sz w:val="30"/>
          <w:szCs w:val="30"/>
        </w:rPr>
        <w:t>月</w:t>
      </w:r>
      <w:r>
        <w:rPr>
          <w:rFonts w:hint="eastAsia" w:ascii="仿宋" w:hAnsi="仿宋" w:eastAsia="仿宋"/>
          <w:bCs/>
          <w:sz w:val="30"/>
          <w:szCs w:val="30"/>
          <w:u w:val="single"/>
          <w:lang w:val="en-US" w:eastAsia="zh-CN"/>
        </w:rPr>
        <w:t xml:space="preserve"> 16 </w:t>
      </w:r>
      <w:r>
        <w:rPr>
          <w:rFonts w:hint="eastAsia" w:ascii="仿宋" w:hAnsi="仿宋" w:eastAsia="仿宋"/>
          <w:bCs/>
          <w:sz w:val="30"/>
          <w:szCs w:val="30"/>
        </w:rPr>
        <w:t>日</w:t>
      </w:r>
      <w:r>
        <w:rPr>
          <w:rFonts w:hint="eastAsia" w:ascii="仿宋" w:hAnsi="仿宋" w:eastAsia="仿宋"/>
          <w:bCs/>
          <w:sz w:val="30"/>
          <w:szCs w:val="30"/>
          <w:u w:val="single"/>
          <w:lang w:val="en-US" w:eastAsia="zh-CN"/>
        </w:rPr>
        <w:t xml:space="preserve">  8 </w:t>
      </w:r>
      <w:r>
        <w:rPr>
          <w:rFonts w:hint="eastAsia" w:ascii="仿宋" w:hAnsi="仿宋" w:eastAsia="仿宋"/>
          <w:bCs/>
          <w:sz w:val="30"/>
          <w:szCs w:val="30"/>
          <w:lang w:val="en-US" w:eastAsia="zh-CN"/>
        </w:rPr>
        <w:t>时</w:t>
      </w:r>
      <w:r>
        <w:rPr>
          <w:rFonts w:hint="eastAsia" w:ascii="仿宋" w:hAnsi="仿宋" w:eastAsia="仿宋"/>
          <w:bCs/>
          <w:sz w:val="30"/>
          <w:szCs w:val="30"/>
          <w:u w:val="single"/>
          <w:lang w:val="en-US" w:eastAsia="zh-CN"/>
        </w:rPr>
        <w:t xml:space="preserve"> 30 </w:t>
      </w:r>
      <w:r>
        <w:rPr>
          <w:rFonts w:hint="eastAsia" w:ascii="仿宋" w:hAnsi="仿宋" w:eastAsia="仿宋"/>
          <w:bCs/>
          <w:sz w:val="30"/>
          <w:szCs w:val="30"/>
          <w:lang w:val="en-US" w:eastAsia="zh-CN"/>
        </w:rPr>
        <w:t>分</w:t>
      </w:r>
      <w:r>
        <w:rPr>
          <w:rFonts w:hint="eastAsia" w:ascii="仿宋" w:hAnsi="仿宋" w:eastAsia="仿宋"/>
          <w:bCs/>
          <w:sz w:val="30"/>
          <w:szCs w:val="30"/>
        </w:rPr>
        <w:t>前送至南宁市卫生学校相思湖校区图书馆综合楼16楼16</w:t>
      </w:r>
      <w:r>
        <w:rPr>
          <w:rFonts w:hint="eastAsia" w:ascii="仿宋" w:hAnsi="仿宋" w:eastAsia="仿宋"/>
          <w:bCs/>
          <w:sz w:val="30"/>
          <w:szCs w:val="30"/>
          <w:lang w:val="en-US" w:eastAsia="zh-CN"/>
        </w:rPr>
        <w:t>11</w:t>
      </w:r>
      <w:r>
        <w:rPr>
          <w:rFonts w:hint="eastAsia" w:ascii="仿宋" w:hAnsi="仿宋" w:eastAsia="仿宋"/>
          <w:bCs/>
          <w:sz w:val="30"/>
          <w:szCs w:val="30"/>
        </w:rPr>
        <w:t>室，所有文件需提供</w:t>
      </w:r>
      <w:r>
        <w:rPr>
          <w:rFonts w:hint="eastAsia" w:ascii="仿宋" w:hAnsi="仿宋" w:eastAsia="仿宋"/>
          <w:bCs/>
          <w:sz w:val="30"/>
          <w:szCs w:val="30"/>
          <w:lang w:eastAsia="zh-CN"/>
        </w:rPr>
        <w:t>一式一</w:t>
      </w:r>
      <w:r>
        <w:rPr>
          <w:rFonts w:hint="eastAsia" w:ascii="仿宋" w:hAnsi="仿宋" w:eastAsia="仿宋"/>
          <w:bCs/>
          <w:sz w:val="30"/>
          <w:szCs w:val="30"/>
        </w:rPr>
        <w:t>份，装入档案袋密封并在骑缝处加盖单位公章，档案袋上注明项目名称、报名单位、联系人、联系方式。</w:t>
      </w:r>
    </w:p>
    <w:p w14:paraId="2ECB03C6">
      <w:pPr>
        <w:spacing w:line="520" w:lineRule="exact"/>
        <w:ind w:firstLine="600" w:firstLineChars="200"/>
        <w:jc w:val="left"/>
        <w:rPr>
          <w:rFonts w:hint="eastAsia" w:ascii="仿宋" w:hAnsi="仿宋" w:eastAsia="仿宋"/>
          <w:bCs/>
          <w:sz w:val="30"/>
          <w:szCs w:val="30"/>
          <w:lang w:val="en-US" w:eastAsia="zh-CN"/>
        </w:rPr>
      </w:pPr>
      <w:r>
        <w:rPr>
          <w:rFonts w:hint="eastAsia" w:ascii="仿宋" w:hAnsi="仿宋" w:eastAsia="仿宋"/>
          <w:bCs/>
          <w:sz w:val="30"/>
          <w:szCs w:val="30"/>
          <w:lang w:val="en-US" w:eastAsia="zh-CN"/>
        </w:rPr>
        <w:t>七</w:t>
      </w:r>
      <w:r>
        <w:rPr>
          <w:rFonts w:hint="eastAsia" w:ascii="仿宋" w:hAnsi="仿宋" w:eastAsia="仿宋"/>
          <w:bCs/>
          <w:sz w:val="30"/>
          <w:szCs w:val="30"/>
        </w:rPr>
        <w:t>、咨询电话：0771-3</w:t>
      </w:r>
      <w:r>
        <w:rPr>
          <w:rFonts w:hint="eastAsia" w:ascii="仿宋" w:hAnsi="仿宋" w:eastAsia="仿宋"/>
          <w:bCs/>
          <w:sz w:val="30"/>
          <w:szCs w:val="30"/>
          <w:lang w:val="en-US" w:eastAsia="zh-CN"/>
        </w:rPr>
        <w:t>939372</w:t>
      </w:r>
      <w:r>
        <w:rPr>
          <w:rFonts w:hint="eastAsia" w:ascii="仿宋" w:hAnsi="仿宋" w:eastAsia="仿宋"/>
          <w:bCs/>
          <w:sz w:val="30"/>
          <w:szCs w:val="30"/>
        </w:rPr>
        <w:t xml:space="preserve"> 杨老师</w:t>
      </w:r>
    </w:p>
    <w:p w14:paraId="64C0AB2C">
      <w:pPr>
        <w:spacing w:line="520" w:lineRule="exact"/>
        <w:ind w:left="5880" w:leftChars="2800"/>
        <w:rPr>
          <w:rFonts w:ascii="仿宋" w:hAnsi="仿宋" w:eastAsia="仿宋"/>
          <w:color w:val="000000"/>
          <w:sz w:val="32"/>
          <w:szCs w:val="32"/>
        </w:rPr>
      </w:pPr>
    </w:p>
    <w:p w14:paraId="14610F03">
      <w:pPr>
        <w:spacing w:line="520" w:lineRule="exact"/>
        <w:ind w:left="5880" w:leftChars="2800"/>
        <w:rPr>
          <w:rFonts w:ascii="仿宋" w:hAnsi="仿宋" w:eastAsia="仿宋"/>
          <w:color w:val="000000"/>
          <w:sz w:val="32"/>
          <w:szCs w:val="32"/>
        </w:rPr>
      </w:pPr>
    </w:p>
    <w:p w14:paraId="3BEFDC5A">
      <w:pPr>
        <w:spacing w:line="520" w:lineRule="exact"/>
        <w:ind w:left="5880" w:leftChars="2800"/>
        <w:rPr>
          <w:rFonts w:hint="eastAsia" w:ascii="仿宋" w:hAnsi="仿宋" w:eastAsia="仿宋"/>
          <w:color w:val="000000"/>
          <w:sz w:val="32"/>
          <w:szCs w:val="32"/>
        </w:rPr>
      </w:pPr>
      <w:r>
        <w:rPr>
          <w:rFonts w:hint="eastAsia" w:ascii="仿宋" w:hAnsi="仿宋" w:eastAsia="仿宋"/>
          <w:color w:val="000000"/>
          <w:sz w:val="32"/>
          <w:szCs w:val="32"/>
        </w:rPr>
        <w:t>南宁市卫生学校</w:t>
      </w:r>
    </w:p>
    <w:p w14:paraId="201FD41E">
      <w:pPr>
        <w:spacing w:line="520" w:lineRule="exact"/>
        <w:ind w:firstLine="5760" w:firstLineChars="1800"/>
        <w:rPr>
          <w:rFonts w:hint="eastAsia" w:ascii="仿宋" w:hAnsi="仿宋" w:eastAsia="仿宋"/>
          <w:color w:val="000000"/>
          <w:sz w:val="32"/>
          <w:szCs w:val="32"/>
        </w:rPr>
      </w:pP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6</w:t>
      </w:r>
      <w:r>
        <w:rPr>
          <w:rFonts w:hint="eastAsia" w:ascii="仿宋" w:hAnsi="仿宋" w:eastAsia="仿宋"/>
          <w:color w:val="000000"/>
          <w:sz w:val="32"/>
          <w:szCs w:val="32"/>
        </w:rPr>
        <w:t>年</w:t>
      </w:r>
      <w:r>
        <w:rPr>
          <w:rFonts w:hint="eastAsia" w:ascii="仿宋" w:hAnsi="仿宋" w:eastAsia="仿宋"/>
          <w:color w:val="000000"/>
          <w:sz w:val="32"/>
          <w:szCs w:val="32"/>
          <w:u w:val="single"/>
          <w:lang w:val="en-US" w:eastAsia="zh-CN"/>
        </w:rPr>
        <w:t xml:space="preserve"> 6 </w:t>
      </w:r>
      <w:r>
        <w:rPr>
          <w:rFonts w:hint="eastAsia" w:ascii="仿宋" w:hAnsi="仿宋" w:eastAsia="仿宋"/>
          <w:color w:val="000000"/>
          <w:sz w:val="32"/>
          <w:szCs w:val="32"/>
        </w:rPr>
        <w:t>月</w:t>
      </w:r>
      <w:r>
        <w:rPr>
          <w:rFonts w:hint="eastAsia" w:ascii="仿宋" w:hAnsi="仿宋" w:eastAsia="仿宋"/>
          <w:color w:val="000000"/>
          <w:sz w:val="32"/>
          <w:szCs w:val="32"/>
          <w:u w:val="single"/>
          <w:lang w:val="en-US" w:eastAsia="zh-CN"/>
        </w:rPr>
        <w:t>10</w:t>
      </w:r>
      <w:r>
        <w:rPr>
          <w:rFonts w:hint="eastAsia" w:ascii="仿宋" w:hAnsi="仿宋" w:eastAsia="仿宋"/>
          <w:color w:val="000000"/>
          <w:sz w:val="32"/>
          <w:szCs w:val="32"/>
        </w:rPr>
        <w:t>日</w:t>
      </w:r>
    </w:p>
    <w:p w14:paraId="60B8F278">
      <w:pPr>
        <w:pStyle w:val="20"/>
        <w:shd w:val="clear" w:color="auto" w:fill="FFFFFF"/>
        <w:spacing w:before="0" w:beforeAutospacing="0" w:after="0" w:afterAutospacing="0" w:line="760" w:lineRule="exact"/>
        <w:rPr>
          <w:rFonts w:hint="eastAsia" w:ascii="仿宋" w:hAnsi="仿宋" w:eastAsia="仿宋"/>
          <w:bCs/>
          <w:sz w:val="30"/>
          <w:szCs w:val="30"/>
        </w:rPr>
      </w:pPr>
      <w:bookmarkStart w:id="0" w:name="_GoBack"/>
      <w:bookmarkEnd w:id="0"/>
    </w:p>
    <w:p w14:paraId="2AA256D8">
      <w:pPr>
        <w:pStyle w:val="20"/>
        <w:shd w:val="clear" w:color="auto" w:fill="FFFFFF"/>
        <w:spacing w:before="0" w:beforeAutospacing="0" w:after="0" w:afterAutospacing="0" w:line="760" w:lineRule="exact"/>
        <w:rPr>
          <w:rFonts w:hint="eastAsia" w:ascii="仿宋" w:hAnsi="仿宋" w:eastAsia="仿宋"/>
          <w:bCs/>
          <w:sz w:val="30"/>
          <w:szCs w:val="30"/>
        </w:rPr>
      </w:pPr>
      <w:r>
        <w:rPr>
          <w:rFonts w:hint="eastAsia" w:ascii="仿宋" w:hAnsi="仿宋" w:eastAsia="仿宋"/>
          <w:bCs/>
          <w:sz w:val="30"/>
          <w:szCs w:val="30"/>
        </w:rPr>
        <w:t>附件1：</w:t>
      </w:r>
    </w:p>
    <w:p w14:paraId="55A90E31">
      <w:pPr>
        <w:spacing w:line="560" w:lineRule="exact"/>
        <w:ind w:right="-197" w:rightChars="-94"/>
        <w:jc w:val="center"/>
        <w:rPr>
          <w:rFonts w:hint="eastAsia" w:ascii="宋体" w:hAnsi="宋体" w:eastAsia="宋体"/>
          <w:b/>
          <w:sz w:val="44"/>
          <w:szCs w:val="44"/>
        </w:rPr>
      </w:pPr>
      <w:r>
        <w:rPr>
          <w:rFonts w:hint="eastAsia" w:ascii="宋体" w:hAnsi="宋体" w:eastAsia="宋体"/>
          <w:b/>
          <w:sz w:val="44"/>
          <w:szCs w:val="44"/>
        </w:rPr>
        <w:t>南宁市卫生学校承办技能大赛硬件器材及两校区实训安全规范建设(一期)子项1配套安全设备采购</w:t>
      </w:r>
      <w:r>
        <w:rPr>
          <w:rFonts w:hint="eastAsia" w:ascii="宋体" w:hAnsi="宋体"/>
          <w:b/>
          <w:sz w:val="44"/>
          <w:szCs w:val="44"/>
          <w:lang w:val="en-US" w:eastAsia="zh-CN"/>
        </w:rPr>
        <w:t>项目</w:t>
      </w:r>
      <w:r>
        <w:rPr>
          <w:rFonts w:hint="eastAsia" w:ascii="宋体" w:hAnsi="宋体" w:eastAsia="宋体"/>
          <w:b/>
          <w:bCs/>
          <w:color w:val="000000"/>
          <w:sz w:val="44"/>
          <w:szCs w:val="44"/>
        </w:rPr>
        <w:t>询价文件</w:t>
      </w:r>
    </w:p>
    <w:p w14:paraId="63BEA94B">
      <w:pPr>
        <w:numPr>
          <w:ilvl w:val="0"/>
          <w:numId w:val="0"/>
        </w:numPr>
        <w:spacing w:line="560" w:lineRule="exact"/>
        <w:jc w:val="left"/>
        <w:rPr>
          <w:rFonts w:hint="eastAsia" w:ascii="仿宋" w:hAnsi="仿宋" w:eastAsia="仿宋"/>
          <w:bCs/>
          <w:color w:val="000000"/>
          <w:sz w:val="32"/>
          <w:szCs w:val="32"/>
        </w:rPr>
      </w:pPr>
    </w:p>
    <w:p w14:paraId="7FD4354E">
      <w:pPr>
        <w:numPr>
          <w:ilvl w:val="0"/>
          <w:numId w:val="2"/>
        </w:num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采购项目名称：南宁市卫生学校承办技能大赛硬件器材及两校区实训安全规范建设(一期)子项1配套安全设备采购项目</w:t>
      </w:r>
    </w:p>
    <w:p w14:paraId="7EBC7928">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二、采购预算：</w:t>
      </w:r>
      <w:r>
        <w:rPr>
          <w:rFonts w:hint="eastAsia" w:ascii="仿宋" w:hAnsi="仿宋" w:eastAsia="仿宋"/>
          <w:bCs/>
          <w:color w:val="000000"/>
          <w:sz w:val="32"/>
          <w:szCs w:val="32"/>
          <w:lang w:val="en-US" w:eastAsia="zh-CN"/>
        </w:rPr>
        <w:t>42040.00</w:t>
      </w:r>
      <w:r>
        <w:rPr>
          <w:rFonts w:hint="eastAsia" w:ascii="仿宋" w:hAnsi="仿宋" w:eastAsia="仿宋"/>
          <w:color w:val="000000"/>
          <w:sz w:val="32"/>
          <w:szCs w:val="32"/>
        </w:rPr>
        <w:t>元</w:t>
      </w:r>
      <w:r>
        <w:rPr>
          <w:rFonts w:hint="eastAsia" w:ascii="仿宋" w:hAnsi="仿宋" w:eastAsia="仿宋"/>
          <w:bCs/>
          <w:color w:val="000000"/>
          <w:sz w:val="32"/>
          <w:szCs w:val="32"/>
        </w:rPr>
        <w:t xml:space="preserve"> </w:t>
      </w:r>
    </w:p>
    <w:p w14:paraId="2ADC69C8">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三、采购</w:t>
      </w:r>
      <w:r>
        <w:rPr>
          <w:rFonts w:hint="eastAsia" w:ascii="仿宋" w:hAnsi="仿宋" w:eastAsia="仿宋"/>
          <w:bCs/>
          <w:color w:val="000000"/>
          <w:sz w:val="32"/>
          <w:szCs w:val="32"/>
          <w:lang w:eastAsia="zh-CN"/>
        </w:rPr>
        <w:t>需</w:t>
      </w:r>
      <w:r>
        <w:rPr>
          <w:rFonts w:hint="eastAsia" w:ascii="仿宋" w:hAnsi="仿宋" w:eastAsia="仿宋"/>
          <w:bCs/>
          <w:color w:val="000000"/>
          <w:sz w:val="32"/>
          <w:szCs w:val="32"/>
        </w:rPr>
        <w:t>求：</w:t>
      </w:r>
    </w:p>
    <w:tbl>
      <w:tblPr>
        <w:tblStyle w:val="4"/>
        <w:tblW w:w="97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3"/>
        <w:gridCol w:w="255"/>
        <w:gridCol w:w="657"/>
        <w:gridCol w:w="1253"/>
        <w:gridCol w:w="3126"/>
        <w:gridCol w:w="484"/>
        <w:gridCol w:w="510"/>
        <w:gridCol w:w="795"/>
        <w:gridCol w:w="120"/>
        <w:gridCol w:w="675"/>
        <w:gridCol w:w="1292"/>
      </w:tblGrid>
      <w:tr w14:paraId="18F07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172FC">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1C2572">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621665"/>
                  <wp:effectExtent l="0" t="0" r="0" b="0"/>
                  <wp:wrapNone/>
                  <wp:docPr id="402" name="图片_3"/>
                  <wp:cNvGraphicFramePr/>
                  <a:graphic xmlns:a="http://schemas.openxmlformats.org/drawingml/2006/main">
                    <a:graphicData uri="http://schemas.openxmlformats.org/drawingml/2006/picture">
                      <pic:pic xmlns:pic="http://schemas.openxmlformats.org/drawingml/2006/picture">
                        <pic:nvPicPr>
                          <pic:cNvPr id="402" name="图片_3"/>
                          <pic:cNvPicPr/>
                        </pic:nvPicPr>
                        <pic:blipFill>
                          <a:blip r:embed="rId5"/>
                          <a:stretch>
                            <a:fillRect/>
                          </a:stretch>
                        </pic:blipFill>
                        <pic:spPr>
                          <a:xfrm>
                            <a:off x="0" y="0"/>
                            <a:ext cx="10160"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货物名称</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E5F2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795" cy="621665"/>
                  <wp:effectExtent l="0" t="0" r="0" b="0"/>
                  <wp:wrapNone/>
                  <wp:docPr id="403" name="图片_3_SpCnt_1"/>
                  <wp:cNvGraphicFramePr/>
                  <a:graphic xmlns:a="http://schemas.openxmlformats.org/drawingml/2006/main">
                    <a:graphicData uri="http://schemas.openxmlformats.org/drawingml/2006/picture">
                      <pic:pic xmlns:pic="http://schemas.openxmlformats.org/drawingml/2006/picture">
                        <pic:nvPicPr>
                          <pic:cNvPr id="403" name="图片_3_SpCnt_1"/>
                          <pic:cNvPicPr/>
                        </pic:nvPicPr>
                        <pic:blipFill>
                          <a:blip r:embed="rId6"/>
                          <a:stretch>
                            <a:fillRect/>
                          </a:stretch>
                        </pic:blipFill>
                        <pic:spPr>
                          <a:xfrm>
                            <a:off x="0" y="0"/>
                            <a:ext cx="10795"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规格型号</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B716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单位</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C529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数量</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98FB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控制单价</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B732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金额</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C4FE3">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配送校区</w:t>
            </w:r>
          </w:p>
        </w:tc>
      </w:tr>
      <w:tr w14:paraId="346B3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9710" w:type="dxa"/>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D8959">
            <w:pPr>
              <w:tabs>
                <w:tab w:val="left" w:pos="3483"/>
              </w:tabs>
              <w:bidi w:val="0"/>
              <w:jc w:val="left"/>
              <w:rPr>
                <w:rFonts w:hint="default" w:ascii="Calibri" w:hAnsi="Calibri" w:eastAsia="宋体" w:cs="Times New Roman"/>
                <w:kern w:val="2"/>
                <w:sz w:val="21"/>
                <w:szCs w:val="24"/>
                <w:lang w:val="en-US" w:eastAsia="zh-CN" w:bidi="ar-SA"/>
              </w:rPr>
            </w:pPr>
            <w:r>
              <w:rPr>
                <w:rFonts w:hint="eastAsia" w:cs="Times New Roman"/>
                <w:kern w:val="2"/>
                <w:sz w:val="24"/>
                <w:szCs w:val="24"/>
                <w:lang w:val="en-US" w:eastAsia="zh-CN" w:bidi="ar-SA"/>
              </w:rPr>
              <w:t>一、</w:t>
            </w:r>
            <w:r>
              <w:rPr>
                <w:rFonts w:hint="eastAsia" w:ascii="仿宋" w:hAnsi="仿宋" w:eastAsia="仿宋"/>
                <w:bCs/>
                <w:color w:val="000000"/>
                <w:sz w:val="24"/>
                <w:szCs w:val="24"/>
              </w:rPr>
              <w:t>技能大赛硬件器材</w:t>
            </w:r>
          </w:p>
        </w:tc>
      </w:tr>
      <w:tr w14:paraId="76732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1"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DBCB6">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D6377F">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教学移动设备带</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723020">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1、带封头及不锈钢板移动架子，为全不锈钢边框，固定背板为环保免漆版，牢固抗衰，尺寸：1500mm*1200mm。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2、设备带尺寸：200mm*55mm，设备带厚度18mm。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3、万向轮系统带刹车装置。</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4、配置国标中心氧气终端和中心负压终端、呼叫器等，带流量表。</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D7033">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57B8D">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4618C">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2700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C96EF">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5400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BD43C">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6DC78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7"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9A3F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B40C8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304不锈钢推车</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99681A">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1、双层，层间距480mm，</w:t>
            </w:r>
          </w:p>
          <w:p w14:paraId="188A2D1B">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2、长宽高：1000*600*950mm，台面高690mm,围栏高80mm。</w:t>
            </w:r>
          </w:p>
          <w:p w14:paraId="6B167304">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3、轮子为万向轮带刹车。</w:t>
            </w:r>
          </w:p>
          <w:p w14:paraId="6D83B66F">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4、承重400kg。</w:t>
            </w:r>
          </w:p>
          <w:p w14:paraId="197D06F5">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（所有参数可有±5mm或者5kg的误差区间）</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9B44F">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辆</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71F2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5DE77">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1500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BB174">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7500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BE524">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r>
              <w:rPr>
                <w:rFonts w:hint="eastAsia" w:ascii="仿宋" w:hAnsi="仿宋" w:eastAsia="仿宋" w:cs="仿宋"/>
                <w:sz w:val="24"/>
                <w:szCs w:val="24"/>
              </w:rPr>
              <w:drawing>
                <wp:inline distT="0" distB="0" distL="114300" distR="114300">
                  <wp:extent cx="907415" cy="836295"/>
                  <wp:effectExtent l="0" t="0" r="6985" b="1905"/>
                  <wp:docPr id="34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 name="图片 1"/>
                          <pic:cNvPicPr>
                            <a:picLocks noChangeAspect="1"/>
                          </pic:cNvPicPr>
                        </pic:nvPicPr>
                        <pic:blipFill>
                          <a:blip r:embed="rId7"/>
                          <a:stretch>
                            <a:fillRect/>
                          </a:stretch>
                        </pic:blipFill>
                        <pic:spPr>
                          <a:xfrm>
                            <a:off x="0" y="0"/>
                            <a:ext cx="907415" cy="836295"/>
                          </a:xfrm>
                          <a:prstGeom prst="rect">
                            <a:avLst/>
                          </a:prstGeom>
                          <a:noFill/>
                          <a:ln>
                            <a:noFill/>
                          </a:ln>
                        </pic:spPr>
                      </pic:pic>
                    </a:graphicData>
                  </a:graphic>
                </wp:inline>
              </w:drawing>
            </w:r>
          </w:p>
        </w:tc>
      </w:tr>
      <w:tr w14:paraId="35E7A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3" w:hRule="atLeast"/>
          <w:jc w:val="center"/>
        </w:trPr>
        <w:tc>
          <w:tcPr>
            <w:tcW w:w="9710" w:type="dxa"/>
            <w:gridSpan w:val="11"/>
            <w:tcBorders>
              <w:top w:val="single" w:color="000000" w:sz="4" w:space="0"/>
              <w:left w:val="single" w:color="auto" w:sz="4" w:space="0"/>
              <w:bottom w:val="single" w:color="000000" w:sz="4" w:space="0"/>
              <w:right w:val="single" w:color="000000" w:sz="4" w:space="0"/>
            </w:tcBorders>
            <w:shd w:val="clear" w:color="auto" w:fill="auto"/>
            <w:noWrap/>
            <w:vAlign w:val="center"/>
          </w:tcPr>
          <w:p w14:paraId="3A9FA023">
            <w:pPr>
              <w:keepNext w:val="0"/>
              <w:keepLines w:val="0"/>
              <w:pageBreakBefore w:val="0"/>
              <w:kinsoku/>
              <w:wordWrap w:val="0"/>
              <w:overflowPunct/>
              <w:topLinePunct w:val="0"/>
              <w:autoSpaceDE/>
              <w:autoSpaceDN/>
              <w:bidi w:val="0"/>
              <w:adjustRightInd/>
              <w:jc w:val="left"/>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二、</w:t>
            </w:r>
            <w:r>
              <w:rPr>
                <w:rFonts w:hint="eastAsia" w:ascii="仿宋" w:hAnsi="仿宋" w:eastAsia="仿宋"/>
                <w:bCs/>
                <w:color w:val="000000"/>
                <w:sz w:val="24"/>
                <w:szCs w:val="24"/>
              </w:rPr>
              <w:t>两校区实训安全规范建设(一期)子项1配套安全设备</w:t>
            </w:r>
          </w:p>
        </w:tc>
      </w:tr>
      <w:tr w14:paraId="5D9CB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38"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0B2559FF">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CACD46">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6" name="图片_3"/>
                  <wp:cNvGraphicFramePr/>
                  <a:graphic xmlns:a="http://schemas.openxmlformats.org/drawingml/2006/main">
                    <a:graphicData uri="http://schemas.openxmlformats.org/drawingml/2006/picture">
                      <pic:pic xmlns:pic="http://schemas.openxmlformats.org/drawingml/2006/picture">
                        <pic:nvPicPr>
                          <pic:cNvPr id="416" name="图片_3"/>
                          <pic:cNvPicPr/>
                        </pic:nvPicPr>
                        <pic:blipFill>
                          <a:blip r:embed="rId8"/>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7" name="图片_3_SpCnt_1"/>
                  <wp:cNvGraphicFramePr/>
                  <a:graphic xmlns:a="http://schemas.openxmlformats.org/drawingml/2006/main">
                    <a:graphicData uri="http://schemas.openxmlformats.org/drawingml/2006/picture">
                      <pic:pic xmlns:pic="http://schemas.openxmlformats.org/drawingml/2006/picture">
                        <pic:nvPicPr>
                          <pic:cNvPr id="417" name="图片_3_SpCnt_1"/>
                          <pic:cNvPicPr/>
                        </pic:nvPicPr>
                        <pic:blipFill>
                          <a:blip r:embed="rId9"/>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8" name="图片_4"/>
                  <wp:cNvGraphicFramePr/>
                  <a:graphic xmlns:a="http://schemas.openxmlformats.org/drawingml/2006/main">
                    <a:graphicData uri="http://schemas.openxmlformats.org/drawingml/2006/picture">
                      <pic:pic xmlns:pic="http://schemas.openxmlformats.org/drawingml/2006/picture">
                        <pic:nvPicPr>
                          <pic:cNvPr id="418" name="图片_4"/>
                          <pic:cNvPicPr/>
                        </pic:nvPicPr>
                        <pic:blipFill>
                          <a:blip r:embed="rId10"/>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9" name="图片_4_SpCnt_1"/>
                  <wp:cNvGraphicFramePr/>
                  <a:graphic xmlns:a="http://schemas.openxmlformats.org/drawingml/2006/main">
                    <a:graphicData uri="http://schemas.openxmlformats.org/drawingml/2006/picture">
                      <pic:pic xmlns:pic="http://schemas.openxmlformats.org/drawingml/2006/picture">
                        <pic:nvPicPr>
                          <pic:cNvPr id="419" name="图片_4_SpCnt_1"/>
                          <pic:cNvPicPr/>
                        </pic:nvPicPr>
                        <pic:blipFill>
                          <a:blip r:embed="rId11"/>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0" name="图片_3_SpCnt_2"/>
                  <wp:cNvGraphicFramePr/>
                  <a:graphic xmlns:a="http://schemas.openxmlformats.org/drawingml/2006/main">
                    <a:graphicData uri="http://schemas.openxmlformats.org/drawingml/2006/picture">
                      <pic:pic xmlns:pic="http://schemas.openxmlformats.org/drawingml/2006/picture">
                        <pic:nvPicPr>
                          <pic:cNvPr id="420" name="图片_3_SpCnt_2"/>
                          <pic:cNvPicPr/>
                        </pic:nvPicPr>
                        <pic:blipFill>
                          <a:blip r:embed="rId12"/>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1" name="图片_4_SpCnt_2"/>
                  <wp:cNvGraphicFramePr/>
                  <a:graphic xmlns:a="http://schemas.openxmlformats.org/drawingml/2006/main">
                    <a:graphicData uri="http://schemas.openxmlformats.org/drawingml/2006/picture">
                      <pic:pic xmlns:pic="http://schemas.openxmlformats.org/drawingml/2006/picture">
                        <pic:nvPicPr>
                          <pic:cNvPr id="421" name="图片_4_SpCnt_2"/>
                          <pic:cNvPicPr/>
                        </pic:nvPicPr>
                        <pic:blipFill>
                          <a:blip r:embed="rId13"/>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2" name="图片_3_SpCnt_3"/>
                  <wp:cNvGraphicFramePr/>
                  <a:graphic xmlns:a="http://schemas.openxmlformats.org/drawingml/2006/main">
                    <a:graphicData uri="http://schemas.openxmlformats.org/drawingml/2006/picture">
                      <pic:pic xmlns:pic="http://schemas.openxmlformats.org/drawingml/2006/picture">
                        <pic:nvPicPr>
                          <pic:cNvPr id="422" name="图片_3_SpCnt_3"/>
                          <pic:cNvPicPr/>
                        </pic:nvPicPr>
                        <pic:blipFill>
                          <a:blip r:embed="rId14"/>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3" name="图片_4_SpCnt_3"/>
                  <wp:cNvGraphicFramePr/>
                  <a:graphic xmlns:a="http://schemas.openxmlformats.org/drawingml/2006/main">
                    <a:graphicData uri="http://schemas.openxmlformats.org/drawingml/2006/picture">
                      <pic:pic xmlns:pic="http://schemas.openxmlformats.org/drawingml/2006/picture">
                        <pic:nvPicPr>
                          <pic:cNvPr id="423" name="图片_4_SpCnt_3"/>
                          <pic:cNvPicPr/>
                        </pic:nvPicPr>
                        <pic:blipFill>
                          <a:blip r:embed="rId14"/>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急救药箱（含物资）</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BC2B23">
            <w:pPr>
              <w:keepNext w:val="0"/>
              <w:keepLines w:val="0"/>
              <w:pageBreakBefore w:val="0"/>
              <w:widowControl/>
              <w:suppressLineNumbers w:val="0"/>
              <w:kinsoku/>
              <w:wordWrap w:val="0"/>
              <w:overflowPunct/>
              <w:topLinePunct w:val="0"/>
              <w:autoSpaceDE/>
              <w:autoSpaceDN/>
              <w:bidi w:val="0"/>
              <w:adjustRightInd/>
              <w:spacing w:after="180" w:afterAutospacing="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4" name="图片_3_SpCnt_4"/>
                  <wp:cNvGraphicFramePr/>
                  <a:graphic xmlns:a="http://schemas.openxmlformats.org/drawingml/2006/main">
                    <a:graphicData uri="http://schemas.openxmlformats.org/drawingml/2006/picture">
                      <pic:pic xmlns:pic="http://schemas.openxmlformats.org/drawingml/2006/picture">
                        <pic:nvPicPr>
                          <pic:cNvPr id="424" name="图片_3_SpCnt_4"/>
                          <pic:cNvPicPr/>
                        </pic:nvPicPr>
                        <pic:blipFill>
                          <a:blip r:embed="rId15"/>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5" name="图片_3_SpCnt_5"/>
                  <wp:cNvGraphicFramePr/>
                  <a:graphic xmlns:a="http://schemas.openxmlformats.org/drawingml/2006/main">
                    <a:graphicData uri="http://schemas.openxmlformats.org/drawingml/2006/picture">
                      <pic:pic xmlns:pic="http://schemas.openxmlformats.org/drawingml/2006/picture">
                        <pic:nvPicPr>
                          <pic:cNvPr id="425" name="图片_3_SpCnt_5"/>
                          <pic:cNvPicPr/>
                        </pic:nvPicPr>
                        <pic:blipFill>
                          <a:blip r:embed="rId16"/>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6" name="图片_4_SpCnt_4"/>
                  <wp:cNvGraphicFramePr/>
                  <a:graphic xmlns:a="http://schemas.openxmlformats.org/drawingml/2006/main">
                    <a:graphicData uri="http://schemas.openxmlformats.org/drawingml/2006/picture">
                      <pic:pic xmlns:pic="http://schemas.openxmlformats.org/drawingml/2006/picture">
                        <pic:nvPicPr>
                          <pic:cNvPr id="426" name="图片_4_SpCnt_4"/>
                          <pic:cNvPicPr/>
                        </pic:nvPicPr>
                        <pic:blipFill>
                          <a:blip r:embed="rId17"/>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7" name="图片_4_SpCnt_5"/>
                  <wp:cNvGraphicFramePr/>
                  <a:graphic xmlns:a="http://schemas.openxmlformats.org/drawingml/2006/main">
                    <a:graphicData uri="http://schemas.openxmlformats.org/drawingml/2006/picture">
                      <pic:pic xmlns:pic="http://schemas.openxmlformats.org/drawingml/2006/picture">
                        <pic:nvPicPr>
                          <pic:cNvPr id="427" name="图片_4_SpCnt_5"/>
                          <pic:cNvPicPr/>
                        </pic:nvPicPr>
                        <pic:blipFill>
                          <a:blip r:embed="rId18"/>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8" name="图片_3_SpCnt_6"/>
                  <wp:cNvGraphicFramePr/>
                  <a:graphic xmlns:a="http://schemas.openxmlformats.org/drawingml/2006/main">
                    <a:graphicData uri="http://schemas.openxmlformats.org/drawingml/2006/picture">
                      <pic:pic xmlns:pic="http://schemas.openxmlformats.org/drawingml/2006/picture">
                        <pic:nvPicPr>
                          <pic:cNvPr id="428" name="图片_3_SpCnt_6"/>
                          <pic:cNvPicPr/>
                        </pic:nvPicPr>
                        <pic:blipFill>
                          <a:blip r:embed="rId19"/>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9" name="图片_4_SpCnt_6"/>
                  <wp:cNvGraphicFramePr/>
                  <a:graphic xmlns:a="http://schemas.openxmlformats.org/drawingml/2006/main">
                    <a:graphicData uri="http://schemas.openxmlformats.org/drawingml/2006/picture">
                      <pic:pic xmlns:pic="http://schemas.openxmlformats.org/drawingml/2006/picture">
                        <pic:nvPicPr>
                          <pic:cNvPr id="429" name="图片_4_SpCnt_6"/>
                          <pic:cNvPicPr/>
                        </pic:nvPicPr>
                        <pic:blipFill>
                          <a:blip r:embed="rId20"/>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30" name="图片_4_SpCnt_7"/>
                  <wp:cNvGraphicFramePr/>
                  <a:graphic xmlns:a="http://schemas.openxmlformats.org/drawingml/2006/main">
                    <a:graphicData uri="http://schemas.openxmlformats.org/drawingml/2006/picture">
                      <pic:pic xmlns:pic="http://schemas.openxmlformats.org/drawingml/2006/picture">
                        <pic:nvPicPr>
                          <pic:cNvPr id="430" name="图片_4_SpCnt_7"/>
                          <pic:cNvPicPr/>
                        </pic:nvPicPr>
                        <pic:blipFill>
                          <a:blip r:embed="rId20"/>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31" name="图片_3_SpCnt_7"/>
                  <wp:cNvGraphicFramePr/>
                  <a:graphic xmlns:a="http://schemas.openxmlformats.org/drawingml/2006/main">
                    <a:graphicData uri="http://schemas.openxmlformats.org/drawingml/2006/picture">
                      <pic:pic xmlns:pic="http://schemas.openxmlformats.org/drawingml/2006/picture">
                        <pic:nvPicPr>
                          <pic:cNvPr id="431" name="图片_3_SpCnt_7"/>
                          <pic:cNvPicPr/>
                        </pic:nvPicPr>
                        <pic:blipFill>
                          <a:blip r:embed="rId19"/>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1、规格：35cm×34cm×15cm，可挂壁、可手提。</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2、材质：箱体高强度铝合金边框、铝合金拉铆钉固定，坚固耐用，正面用透明有机玻璃，内部分层、分格设计（内部分层≥2层）。</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 xml:space="preserve">3、含医用级别物资：碘伏消毒液棉棒≥60支 、酒精棉片 ≥10片（6*6cm） 、碘伏棉球≥ 1瓶(≥25粒) 、酒精棉球≥ 1瓶(≥25粒) 、医用脱脂棉球≥2袋（≥20粒） 、过氧化氢消毒液≥1瓶（≥50ml） 、含酒精杀菌清洁食用级湿巾≥1包（≥50片/包） 、卡扣式止血带≥1条（2.5cm*40cm）、 止血海绵≥1包(≥20片) 、防水型创口贴≥30片（23*70mm） 、防水型无菌敷贴≥5片（≥6*7CM） 、医用纱布叠片≥5片（≥6*7cm）、弹力绷带≥3卷(≥5*450cm) 、弹力帽≥1个 (L码)、自粘弹性绷带≥1卷 （≥5*450cm）、三角绷带≥1包 （96*96*136cm）、医用透气胶带≥2卷（≥1.25*450CM） 、安全别针≥10枚(长3.8cm)、敷料镊子≥1把（不锈钢材质、12.5CM） 、圆头剪刀≥1把（不锈钢，12cm） 、一次性CPR屏障消毒面度≥1盒（≥50片/盒，300mm*200mm） 、一次性使用医用橡胶检查手套≥3副 （灭菌级、6.5号、7号、7.5号各1副）、医用冰袋≥2袋 （大号1个：≥13*23cm、小号1个：9.5*18.5cm）、医用退热贴≥1贴 (10贴/盒，≥50*120mm)、医用烧伤敷料（烫伤膏）≥1支（≥20g） 、高频救生哨≥1个、LED手电筒（含电池）≥1个 、急救手册 1本 、配置清单 1张 </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D9B38">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套</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0CDA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6CF6D">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4F24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16000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3AF05">
            <w:pPr>
              <w:keepNext w:val="0"/>
              <w:keepLines w:val="0"/>
              <w:pageBreakBefore w:val="0"/>
              <w:kinsoku/>
              <w:wordWrap w:val="0"/>
              <w:overflowPunct/>
              <w:topLinePunct w:val="0"/>
              <w:autoSpaceDE/>
              <w:autoSpaceDN/>
              <w:bidi w:val="0"/>
              <w:adjustRightInd/>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相思湖校区30套、黎塘校区10套</w:t>
            </w:r>
          </w:p>
        </w:tc>
      </w:tr>
      <w:tr w14:paraId="65968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5"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07E292B1">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1E882E">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1964690"/>
                  <wp:effectExtent l="0" t="0" r="0" b="0"/>
                  <wp:wrapNone/>
                  <wp:docPr id="438" name="图片_3_SpCnt_10"/>
                  <wp:cNvGraphicFramePr/>
                  <a:graphic xmlns:a="http://schemas.openxmlformats.org/drawingml/2006/main">
                    <a:graphicData uri="http://schemas.openxmlformats.org/drawingml/2006/picture">
                      <pic:pic xmlns:pic="http://schemas.openxmlformats.org/drawingml/2006/picture">
                        <pic:nvPicPr>
                          <pic:cNvPr id="438" name="图片_3_SpCnt_10"/>
                          <pic:cNvPicPr/>
                        </pic:nvPicPr>
                        <pic:blipFill>
                          <a:blip r:embed="rId21"/>
                          <a:stretch>
                            <a:fillRect/>
                          </a:stretch>
                        </pic:blipFill>
                        <pic:spPr>
                          <a:xfrm>
                            <a:off x="0" y="0"/>
                            <a:ext cx="10160" cy="19646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1964690"/>
                  <wp:effectExtent l="0" t="0" r="0" b="0"/>
                  <wp:wrapNone/>
                  <wp:docPr id="439" name="图片_2"/>
                  <wp:cNvGraphicFramePr/>
                  <a:graphic xmlns:a="http://schemas.openxmlformats.org/drawingml/2006/main">
                    <a:graphicData uri="http://schemas.openxmlformats.org/drawingml/2006/picture">
                      <pic:pic xmlns:pic="http://schemas.openxmlformats.org/drawingml/2006/picture">
                        <pic:nvPicPr>
                          <pic:cNvPr id="439" name="图片_2"/>
                          <pic:cNvPicPr/>
                        </pic:nvPicPr>
                        <pic:blipFill>
                          <a:blip r:embed="rId22"/>
                          <a:stretch>
                            <a:fillRect/>
                          </a:stretch>
                        </pic:blipFill>
                        <pic:spPr>
                          <a:xfrm>
                            <a:off x="0" y="0"/>
                            <a:ext cx="10160" cy="19646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移动式应急推车（含物资）</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EB7508">
            <w:pPr>
              <w:keepNext w:val="0"/>
              <w:keepLines w:val="0"/>
              <w:pageBreakBefore w:val="0"/>
              <w:widowControl/>
              <w:numPr>
                <w:ilvl w:val="0"/>
                <w:numId w:val="3"/>
              </w:numPr>
              <w:suppressLineNumbers w:val="0"/>
              <w:kinsoku/>
              <w:wordWrap w:val="0"/>
              <w:overflowPunct/>
              <w:topLinePunct w:val="0"/>
              <w:autoSpaceDE/>
              <w:autoSpaceDN/>
              <w:bidi w:val="0"/>
              <w:adjustRightInd/>
              <w:jc w:val="left"/>
              <w:textAlignment w:val="center"/>
              <w:rPr>
                <w:rFonts w:hint="eastAsia"/>
                <w:lang w:val="en-US" w:eastAsia="zh-CN"/>
              </w:rPr>
            </w:pPr>
            <w:r>
              <w:rPr>
                <w:rFonts w:hint="eastAsia"/>
                <w:lang w:val="en-US" w:eastAsia="zh-CN"/>
              </w:rPr>
              <w:t>材质：PE材质。</w:t>
            </w:r>
            <w:r>
              <w:rPr>
                <w:rFonts w:hint="eastAsia"/>
                <w:lang w:val="en-US" w:eastAsia="zh-CN"/>
              </w:rPr>
              <w:br w:type="textWrapping"/>
            </w:r>
            <w:r>
              <w:rPr>
                <w:rFonts w:hint="eastAsia"/>
                <w:lang w:val="en-US" w:eastAsia="zh-CN"/>
              </w:rPr>
              <w:t>2.尺寸为：105*50*50cm。</w:t>
            </w:r>
            <w:r>
              <w:rPr>
                <w:rFonts w:hint="eastAsia"/>
                <w:lang w:val="en-US" w:eastAsia="zh-CN"/>
              </w:rPr>
              <w:br w:type="textWrapping"/>
            </w:r>
            <w:r>
              <w:rPr>
                <w:rFonts w:hint="eastAsia"/>
                <w:lang w:val="en-US" w:eastAsia="zh-CN"/>
              </w:rPr>
              <w:t>3.移动式化学品应急推车也叫作化学品泄漏应急箱，防化推车等。主要是针对油品化学品泄漏应急和泄漏后的清理所配备的快速应急产品。</w:t>
            </w:r>
            <w:r>
              <w:rPr>
                <w:rFonts w:hint="eastAsia"/>
                <w:lang w:val="en-US" w:eastAsia="zh-CN"/>
              </w:rPr>
              <w:br w:type="textWrapping"/>
            </w:r>
            <w:r>
              <w:rPr>
                <w:rFonts w:hint="eastAsia"/>
                <w:lang w:val="en-US" w:eastAsia="zh-CN"/>
              </w:rPr>
              <w:t>4.推车分为三层。</w:t>
            </w:r>
            <w:r>
              <w:rPr>
                <w:rFonts w:hint="eastAsia"/>
                <w:lang w:val="en-US" w:eastAsia="zh-CN"/>
              </w:rPr>
              <w:br w:type="textWrapping"/>
            </w:r>
            <w:r>
              <w:rPr>
                <w:rFonts w:hint="eastAsia"/>
                <w:lang w:val="en-US" w:eastAsia="zh-CN"/>
              </w:rPr>
              <w:t>5.提供适用化学品等泄漏的应急安全处置流程及图表资料、实验室安全操作相关资料扫描件；</w:t>
            </w:r>
            <w:r>
              <w:rPr>
                <w:rFonts w:hint="eastAsia"/>
                <w:lang w:val="en-US" w:eastAsia="zh-CN"/>
              </w:rPr>
              <w:br w:type="textWrapping"/>
            </w:r>
            <w:r>
              <w:rPr>
                <w:rFonts w:hint="eastAsia"/>
                <w:lang w:val="en-US" w:eastAsia="zh-CN"/>
              </w:rPr>
              <w:t>6.柜体张贴安全自主学习二维码，手机扫码进入，可以查看学习查看安全应急演练全过程视频，包含“人员自救、应急响应、应急处置、应急恢复、整改落实”等安全应急知识，并具备安全考核功能，提升使用人员安全技能。</w:t>
            </w:r>
            <w:r>
              <w:rPr>
                <w:rFonts w:hint="eastAsia"/>
                <w:lang w:val="en-US" w:eastAsia="zh-CN"/>
              </w:rPr>
              <w:br w:type="textWrapping"/>
            </w:r>
            <w:r>
              <w:rPr>
                <w:rFonts w:hint="eastAsia"/>
                <w:lang w:val="en-US" w:eastAsia="zh-CN"/>
              </w:rPr>
              <w:t>7.内含物资包括：（1）防化防雾护目镜≥2副、（2）防护面屏≥2个、（3）防毒半面具≥2个、（4）滤毒盒（防酸性及有机气体）≥4个、（5）滤棉（阻挡大部分固、（6）液态颗粒）≥4片、（7）滤棉盖（固定滤棉）≥4个、（8）黄黑胶带（警示胶带，颜色：黄黑）≥2卷、（9）防化手套（氯丁橡胶防化手套，厚度：0.72mm 长度：33/41cm 颜色：黑色）≥2副、（10）防护手套（一次性丁腈手套）≥10副、（11）防化服（黄色防护服，防有机及腐蚀性化学品）≥2套、（12）防化靴≥2双、（13）防化学吸附垫≥5片、（14）吸附枕≥3个、（15）防化学吸污条≥3条、（16）防静电簸箕和刷子（防静电耐腐蚀的材料组成，便于清理化学泄漏品。）≥1套、（17）夹钳（用于清理化学泄漏，防止人直接接触化学品。）≥2把、（18）化学废弃物袋（防化垃圾袋，颜色：黄色）≥4个、（19）防护用品暂存袋（用于存储使用后的防护用品，颜色：白色）≥4个、（20）中和吸附剂（用于中和及吸附化学残留液）≥1瓶、（21）试纸（用于测定 pH 值）≥1包、（22）扎条（用于泄漏物存储带的密封）≥1包</w:t>
            </w:r>
          </w:p>
          <w:p w14:paraId="25FE0849">
            <w:pPr>
              <w:keepNext w:val="0"/>
              <w:keepLines w:val="0"/>
              <w:pageBreakBefore w:val="0"/>
              <w:widowControl/>
              <w:numPr>
                <w:ilvl w:val="0"/>
                <w:numId w:val="0"/>
              </w:numPr>
              <w:suppressLineNumbers w:val="0"/>
              <w:kinsoku/>
              <w:wordWrap w:val="0"/>
              <w:overflowPunct/>
              <w:topLinePunct w:val="0"/>
              <w:autoSpaceDE/>
              <w:autoSpaceDN/>
              <w:bidi w:val="0"/>
              <w:adjustRightInd/>
              <w:jc w:val="left"/>
              <w:textAlignment w:val="center"/>
              <w:rPr>
                <w:rFonts w:hint="eastAsia"/>
                <w:lang w:val="en-US" w:eastAsia="zh-CN"/>
              </w:rPr>
            </w:pPr>
            <w:r>
              <w:rPr>
                <w:rFonts w:hint="eastAsia" w:ascii="仿宋" w:hAnsi="仿宋" w:eastAsia="仿宋" w:cs="仿宋"/>
                <w:b w:val="0"/>
                <w:bCs/>
                <w:i w:val="0"/>
                <w:iCs w:val="0"/>
                <w:color w:val="000000"/>
                <w:kern w:val="0"/>
                <w:sz w:val="21"/>
                <w:szCs w:val="21"/>
                <w:u w:val="none"/>
                <w:lang w:val="en-US" w:eastAsia="zh-CN" w:bidi="ar"/>
              </w:rPr>
              <w:t>（移动式应急推车配备物资各项详细参数见附件：移动式应急推车配制物资各项详细参数）</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9EA1C">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套</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FECF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E612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4740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78E2E">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4740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B302E">
            <w:pPr>
              <w:keepNext w:val="0"/>
              <w:keepLines w:val="0"/>
              <w:pageBreakBefore w:val="0"/>
              <w:widowControl/>
              <w:suppressLineNumbers w:val="0"/>
              <w:kinsoku/>
              <w:wordWrap w:val="0"/>
              <w:overflowPunct/>
              <w:topLinePunct w:val="0"/>
              <w:autoSpaceDE/>
              <w:autoSpaceDN/>
              <w:bidi w:val="0"/>
              <w:adjustRightInd/>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p w14:paraId="5AEC84C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p>
        </w:tc>
      </w:tr>
      <w:tr w14:paraId="3A8E8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66A1EA6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3D8122">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礼仪镜</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C13E53">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1、规格：0.6m×1.1m。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2、根据学校风格制作、含安装、售后等服务。</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45084">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张</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5026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98371">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420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5A96D">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8400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BB7B9">
            <w:pPr>
              <w:keepNext w:val="0"/>
              <w:keepLines w:val="0"/>
              <w:pageBreakBefore w:val="0"/>
              <w:kinsoku/>
              <w:wordWrap w:val="0"/>
              <w:overflowPunct/>
              <w:topLinePunct w:val="0"/>
              <w:autoSpaceDE/>
              <w:autoSpaceDN/>
              <w:bidi w:val="0"/>
              <w:adjustRightInd/>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相思湖校区15张、黎塘校区5张</w:t>
            </w:r>
          </w:p>
        </w:tc>
      </w:tr>
      <w:tr w14:paraId="517C6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8418" w:type="dxa"/>
            <w:gridSpan w:val="10"/>
            <w:tcBorders>
              <w:top w:val="single" w:color="auto" w:sz="4" w:space="0"/>
              <w:left w:val="single" w:color="000000" w:sz="4" w:space="0"/>
              <w:bottom w:val="single" w:color="auto" w:sz="4" w:space="0"/>
              <w:right w:val="single" w:color="000000" w:sz="4" w:space="0"/>
            </w:tcBorders>
            <w:shd w:val="clear" w:color="auto" w:fill="auto"/>
            <w:noWrap/>
            <w:vAlign w:val="center"/>
          </w:tcPr>
          <w:p w14:paraId="39BE9CA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B2B12">
            <w:pPr>
              <w:keepNext w:val="0"/>
              <w:keepLines w:val="0"/>
              <w:pageBreakBefore w:val="0"/>
              <w:widowControl/>
              <w:suppressLineNumbers w:val="0"/>
              <w:kinsoku/>
              <w:wordWrap w:val="0"/>
              <w:overflowPunct/>
              <w:topLinePunct w:val="0"/>
              <w:autoSpaceDE/>
              <w:autoSpaceDN/>
              <w:bidi w:val="0"/>
              <w:adjustRightInd/>
              <w:jc w:val="right"/>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42040.00</w:t>
            </w:r>
          </w:p>
        </w:tc>
      </w:tr>
      <w:tr w14:paraId="06574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9710" w:type="dxa"/>
            <w:gridSpan w:val="11"/>
            <w:tcBorders>
              <w:top w:val="single" w:color="auto" w:sz="4" w:space="0"/>
              <w:left w:val="single" w:color="000000" w:sz="4" w:space="0"/>
              <w:bottom w:val="single" w:color="000000" w:sz="4" w:space="0"/>
              <w:right w:val="single" w:color="000000" w:sz="4" w:space="0"/>
            </w:tcBorders>
            <w:shd w:val="clear" w:color="auto" w:fill="auto"/>
            <w:noWrap/>
            <w:vAlign w:val="center"/>
          </w:tcPr>
          <w:p w14:paraId="44E2732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附件：移动式应急推车配制物资各项详细参数</w:t>
            </w:r>
          </w:p>
        </w:tc>
      </w:tr>
      <w:tr w14:paraId="2FF9E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4C187799">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序号</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70D42">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货物名称</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9F1F3">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规格型号</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B3DF1">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单位</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39DF7">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数量</w:t>
            </w:r>
          </w:p>
        </w:tc>
      </w:tr>
      <w:tr w14:paraId="59A75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B81783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F2F2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防化防雾护目镜</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849871">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1、符合亚洲人脸型设计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2、防雾、防刮擦、防冲击、防化学品飞溅等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3、镜框密封圈间接通风孔设计，弧形大视野镜片，镜片透明色</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4、可调节式头戴，多角度旋转头带接口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5、与矫正眼镜和半面具搭配使用。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13EAB">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DFB2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1F2E3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B123F0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E7A6F">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防化面屏</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F8BE17">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1、PC防冲击面屏角度可调节；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2、头箍的大小松紧可调；</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3、全面屏防护，防止试验中的颗粒物和液体飞溅，喷溅、金属熔融物、热固体的喷溅和撞击，更好的保护脸面部。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4、厚度:2MM; 净重:260g</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101F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74BF2">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57962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ED247B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7E3D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防毒半面具</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3F4F5E">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1、橡胶材质，舒适耐用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2、卡扣式装配设计，滤毒盒和滤棉安装拆卸更方便快捷，适合长期佩戴，便于清洁维护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BFBF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998AA">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26719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121CE86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6599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滤毒盒</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522789">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防有机蒸汽、氯气、二氧化氯、氯化氢、二氧化硫、氟化氢、硫化氢、氨气、甲胺、甲醛</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96FF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0248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0151F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05168DC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43E3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滤棉</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26EC3">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过滤各类非</w:t>
            </w:r>
            <w:r>
              <w:rPr>
                <w:rFonts w:hint="eastAsia" w:ascii="宋体" w:hAnsi="宋体" w:eastAsia="宋体" w:cs="宋体"/>
                <w:i w:val="0"/>
                <w:iCs w:val="0"/>
                <w:color w:val="000000"/>
                <w:kern w:val="0"/>
                <w:sz w:val="24"/>
                <w:szCs w:val="24"/>
                <w:u w:val="none"/>
                <w:lang w:val="en-US" w:eastAsia="zh-CN" w:bidi="ar"/>
              </w:rPr>
              <w:t>油性</w:t>
            </w:r>
            <w:r>
              <w:rPr>
                <w:rFonts w:hint="eastAsia" w:ascii="宋体" w:hAnsi="宋体" w:eastAsia="宋体" w:cs="宋体"/>
                <w:i w:val="0"/>
                <w:iCs w:val="0"/>
                <w:color w:val="000000"/>
                <w:kern w:val="0"/>
                <w:sz w:val="22"/>
                <w:szCs w:val="22"/>
                <w:u w:val="none"/>
                <w:lang w:val="en-US" w:eastAsia="zh-CN" w:bidi="ar"/>
              </w:rPr>
              <w:t>颗粒物</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3BC9A">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片</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F8525">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48A41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A6CAC7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54957">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滤棉盖（固定滤棉）</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F39868">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塑料材质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9AC5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86F8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03B94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991750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7</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737BD">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黄黑胶带</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6F0B20">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1、PVC</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2、0.13*33m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DA79D">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卷</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9A8A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0E5BA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056AF6ED">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8</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1D97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氯丁橡胶防化手套</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1E3204">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1、防护醇类、强酸、碱类化学品，其他一些油类和溶剂类；</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2、柔性棉质衬里，穿戴更加舒适适用于化学化工实验室、化学加工、塑料工业等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3、厚度：0.72mm 长度：33/41cm 颜色：黑色；8#</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91435">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841FF">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45D2E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2B1B50C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9</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AB70D">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防护手套（一次性丁腈手套）</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497439">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可短暂接触醇类、弱酸、碱类、油类和溶剂类稀释后的化学品，适用于化学化工实验室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9DB1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6FD43">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≥10</w:t>
            </w:r>
          </w:p>
        </w:tc>
      </w:tr>
      <w:tr w14:paraId="05970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36A1B2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10</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4C77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全身防化服</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28718D">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1、材质柔软、质轻、透气、防水、防静电、低脱屑、强韧耐用，针对各种有害环境提供卓越的保护锁边缝线，弹性袖口、按扣闭合门襟；</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2、可耐多种高浓度无机化学品及部分有机溶剂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3、克重：41克/平方米</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7A12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套</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75E4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38399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20F2600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9521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防化靴</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411DCDAF">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1、认证：欧洲CE认证，EN20345:2011；对化学物质具有良好的抵御功能；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2、外层材质：高性能PVC材质，添加有稳定剂和防化助剂等，提高产品性能；内衬：易干化纤衬、</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3、尺码:40码</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9D5F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双</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C31C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1C5B3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5"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75688A1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12</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CE2D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防化学吸附垫</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FD2BA2">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1、可安全地吸收酸性、腐蚀性液体及其他危险液体:具有超级耐用、高吸收的特点</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2、8层聚丙烯热粘合结构， 即使在饱和的情况下也不会扯破，撕裂或磨损；</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3、有孔洞吸污垫可以轻松地按照尺寸撕裂，按需使用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4、尺寸：25cmx33cm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BFCE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片</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6D2F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r>
      <w:tr w14:paraId="1BF89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7B98A445">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13</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51C0B">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吸附枕</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2B452F">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1、具有比表面积大，高容量和快速排汗填料可快速吸收液体，对强腐蚀性及各类化学品有效吸附载吸水使清理方便快捷</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2、20×20×3cm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A5262">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13DD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r>
      <w:tr w14:paraId="117C0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2CAA34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14</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DC87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防化学吸污条</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2334AA">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1、能吸收强酸和强碱、腐蚀性液体和其他危险液体，经特殊处理，可应对强酸和强碱。</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2、黄色;7. 6cm×1. 2m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96DE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条</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6C002">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r>
      <w:tr w14:paraId="04B81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4BAB8A7">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15</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BF054">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防静电簸箕和刷子</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6416E8">
            <w:pPr>
              <w:keepNext w:val="0"/>
              <w:keepLines w:val="0"/>
              <w:widowControl/>
              <w:suppressLineNumbers w:val="0"/>
              <w:jc w:val="lef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1、材质：PP塑料+ABS；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2、规格：刷子为30*13*78cm、簸箕为30*28*82cm </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16E1B">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套</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678B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2C4A2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292BBA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16</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2E4E4">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夹钳（不锈钢大齿夹）</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B2EB3">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长≥90cm，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101B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把</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4DD8F">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r>
      <w:tr w14:paraId="377BA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394377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17</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D9ED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化学废弃物袋</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382F4">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1、化学品、耐穿刺的聚乙烯材质；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2、尺寸：152x91cm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9B6D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B0541">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7A5B7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4BFF24EA">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18</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3068B">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防护用品暂存袋</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171C3">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白色半透明，加厚60x100cm (宽高)</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4418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7C687">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1F5BC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17BBF570">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19</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554FB">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中和吸附剂</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22799">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1、针对强酸、强碱、腐蚀性液体、油污、液体有机溶剂的意外泄露进行处理，集吸收、中和、固化等多种功能作用为一体的应急洗消粉剂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2、≥100g/瓶</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BFD54">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瓶</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B6592">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44E77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9DED0CA">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20</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EB09E">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PH试纸</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A6DF2">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1、测量范围：PH1-14</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2、1本/包</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97A46">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包</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F346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1948E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CDA2292">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152E9">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扎条</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C7AAD">
            <w:pPr>
              <w:keepNext w:val="0"/>
              <w:keepLines w:val="0"/>
              <w:widowControl/>
              <w:suppressLineNumbers w:val="0"/>
              <w:jc w:val="both"/>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1、材质为聚丙烯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2、50根/包</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ED1BC">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包</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F76B8">
            <w:pPr>
              <w:keepNext w:val="0"/>
              <w:keepLines w:val="0"/>
              <w:widowControl/>
              <w:suppressLineNumbers w:val="0"/>
              <w:jc w:val="center"/>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7004D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000000" w:sz="4" w:space="0"/>
              <w:right w:val="single" w:color="000000" w:sz="4" w:space="0"/>
            </w:tcBorders>
            <w:shd w:val="clear" w:color="auto" w:fill="auto"/>
            <w:noWrap/>
            <w:vAlign w:val="center"/>
          </w:tcPr>
          <w:p w14:paraId="406C499B">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b/>
                <w:bCs/>
                <w:color w:val="000000"/>
                <w:sz w:val="24"/>
                <w:szCs w:val="24"/>
                <w:lang w:val="en-US" w:eastAsia="zh-CN"/>
              </w:rPr>
              <w:t>商务条款</w:t>
            </w:r>
          </w:p>
        </w:tc>
        <w:tc>
          <w:tcPr>
            <w:tcW w:w="8912"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94B42">
            <w:pPr>
              <w:keepNext w:val="0"/>
              <w:keepLines w:val="0"/>
              <w:pageBreakBefore w:val="0"/>
              <w:kinsoku/>
              <w:wordWrap w:val="0"/>
              <w:overflowPunct/>
              <w:topLinePunct w:val="0"/>
              <w:autoSpaceDE/>
              <w:autoSpaceDN/>
              <w:bidi w:val="0"/>
              <w:adjustRightInd/>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1、</w:t>
            </w:r>
            <w:r>
              <w:rPr>
                <w:rFonts w:hint="eastAsia" w:ascii="仿宋" w:hAnsi="仿宋" w:eastAsia="仿宋" w:cs="仿宋"/>
                <w:b/>
                <w:bCs/>
                <w:color w:val="000000"/>
                <w:sz w:val="24"/>
                <w:szCs w:val="24"/>
              </w:rPr>
              <w:t>报价要求：</w:t>
            </w:r>
            <w:r>
              <w:rPr>
                <w:rFonts w:hint="eastAsia" w:ascii="仿宋" w:hAnsi="仿宋" w:eastAsia="仿宋" w:cs="仿宋"/>
                <w:color w:val="000000"/>
                <w:sz w:val="24"/>
                <w:szCs w:val="24"/>
                <w:lang w:eastAsia="zh-CN"/>
              </w:rPr>
              <w:t>报价以人民币报价，供应商的投标总报价≤项目预算价</w:t>
            </w:r>
            <w:r>
              <w:rPr>
                <w:rFonts w:hint="eastAsia" w:ascii="仿宋" w:hAnsi="仿宋" w:eastAsia="仿宋" w:cs="仿宋"/>
                <w:color w:val="000000"/>
                <w:sz w:val="24"/>
                <w:szCs w:val="24"/>
                <w:lang w:val="en-US" w:eastAsia="zh-CN"/>
              </w:rPr>
              <w:t>且各项单价报价</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控制价（相同品类报价需要一致）</w:t>
            </w:r>
            <w:r>
              <w:rPr>
                <w:rFonts w:hint="eastAsia" w:ascii="仿宋" w:hAnsi="仿宋" w:eastAsia="仿宋" w:cs="仿宋"/>
                <w:color w:val="000000"/>
                <w:sz w:val="24"/>
                <w:szCs w:val="24"/>
                <w:lang w:eastAsia="zh-CN"/>
              </w:rPr>
              <w:t>。包括完成本项目所需的一切工作内容而发生的所有直接、间接费用、其他费用、税金等全部费用，采购人不再支付成交价格以外的任何费用。包括但不限于：</w:t>
            </w:r>
          </w:p>
          <w:p w14:paraId="4928187D">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（1）货物的价格；</w:t>
            </w:r>
          </w:p>
          <w:p w14:paraId="4E45BB5C">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（2）货物的标准附件、备品备件、专用工具的价格；</w:t>
            </w:r>
          </w:p>
          <w:p w14:paraId="1B3CA300">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（3）运输、装卸、安装、材料、培训、技术支持、售后服务等费用；</w:t>
            </w:r>
          </w:p>
          <w:p w14:paraId="4257272E">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（4）必要的保险费用和各项税费。</w:t>
            </w:r>
          </w:p>
          <w:p w14:paraId="4F4B5E2F">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2、</w:t>
            </w:r>
            <w:r>
              <w:rPr>
                <w:rFonts w:hint="eastAsia" w:ascii="仿宋" w:hAnsi="仿宋" w:eastAsia="仿宋" w:cs="仿宋"/>
                <w:b/>
                <w:bCs/>
                <w:color w:val="000000"/>
                <w:sz w:val="24"/>
                <w:szCs w:val="24"/>
                <w:lang w:val="en-US" w:eastAsia="zh-CN"/>
              </w:rPr>
              <w:t>供货</w:t>
            </w:r>
            <w:r>
              <w:rPr>
                <w:rFonts w:hint="eastAsia" w:ascii="仿宋" w:hAnsi="仿宋" w:eastAsia="仿宋" w:cs="仿宋"/>
                <w:b/>
                <w:bCs/>
                <w:color w:val="000000"/>
                <w:sz w:val="24"/>
                <w:szCs w:val="24"/>
                <w:lang w:eastAsia="zh-CN"/>
              </w:rPr>
              <w:t>时间及地点：</w:t>
            </w:r>
          </w:p>
          <w:p w14:paraId="5942B5A3">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供货</w:t>
            </w:r>
            <w:r>
              <w:rPr>
                <w:rFonts w:hint="eastAsia" w:ascii="仿宋" w:hAnsi="仿宋" w:eastAsia="仿宋" w:cs="仿宋"/>
                <w:b w:val="0"/>
                <w:bCs w:val="0"/>
                <w:color w:val="000000"/>
                <w:sz w:val="24"/>
                <w:szCs w:val="24"/>
                <w:lang w:eastAsia="zh-CN"/>
              </w:rPr>
              <w:t>时间：</w:t>
            </w:r>
            <w:r>
              <w:rPr>
                <w:rFonts w:hint="eastAsia" w:ascii="仿宋" w:hAnsi="仿宋" w:eastAsia="仿宋" w:cs="仿宋"/>
                <w:b w:val="0"/>
                <w:bCs w:val="0"/>
                <w:color w:val="000000"/>
                <w:sz w:val="24"/>
                <w:szCs w:val="24"/>
                <w:lang w:val="en-US" w:eastAsia="zh-CN"/>
              </w:rPr>
              <w:t>签订合同后15日内完成供货。</w:t>
            </w:r>
          </w:p>
          <w:p w14:paraId="70FAC3A8">
            <w:pPr>
              <w:keepNext w:val="0"/>
              <w:keepLines w:val="0"/>
              <w:pageBreakBefore w:val="0"/>
              <w:kinsoku/>
              <w:wordWrap w:val="0"/>
              <w:overflowPunct/>
              <w:topLinePunct w:val="0"/>
              <w:autoSpaceDE/>
              <w:autoSpaceDN/>
              <w:bidi w:val="0"/>
              <w:adjustRightInd/>
              <w:snapToGrid w:val="0"/>
              <w:spacing w:line="400" w:lineRule="exact"/>
              <w:jc w:val="lef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供货</w:t>
            </w:r>
            <w:r>
              <w:rPr>
                <w:rFonts w:hint="eastAsia" w:ascii="仿宋" w:hAnsi="仿宋" w:eastAsia="仿宋" w:cs="仿宋"/>
                <w:color w:val="000000"/>
                <w:sz w:val="24"/>
                <w:szCs w:val="24"/>
                <w:lang w:eastAsia="zh-CN"/>
              </w:rPr>
              <w:t>地点：南宁市卫生学校相思湖校区（南宁市西乡塘区罗文大道</w:t>
            </w:r>
            <w:r>
              <w:rPr>
                <w:rFonts w:hint="eastAsia" w:ascii="仿宋" w:hAnsi="仿宋" w:eastAsia="仿宋" w:cs="仿宋"/>
                <w:color w:val="000000"/>
                <w:sz w:val="24"/>
                <w:szCs w:val="24"/>
                <w:lang w:val="en-US" w:eastAsia="zh-CN"/>
              </w:rPr>
              <w:t>16号）</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黎塘校区（宾阳县黎塘镇金龙大道232号）</w:t>
            </w:r>
          </w:p>
          <w:p w14:paraId="485E66EC">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3、</w:t>
            </w:r>
            <w:r>
              <w:rPr>
                <w:rFonts w:hint="eastAsia" w:ascii="仿宋" w:hAnsi="仿宋" w:eastAsia="仿宋" w:cs="仿宋"/>
                <w:b/>
                <w:bCs/>
                <w:color w:val="000000"/>
                <w:sz w:val="24"/>
                <w:szCs w:val="24"/>
              </w:rPr>
              <w:t>付款方式：</w:t>
            </w:r>
          </w:p>
          <w:p w14:paraId="35DDC95B">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本项目无预付款，</w:t>
            </w:r>
            <w:r>
              <w:rPr>
                <w:rFonts w:hint="eastAsia" w:ascii="仿宋" w:hAnsi="仿宋" w:eastAsia="仿宋" w:cs="仿宋"/>
                <w:color w:val="000000"/>
                <w:sz w:val="24"/>
                <w:szCs w:val="24"/>
                <w:lang w:eastAsia="zh-CN"/>
              </w:rPr>
              <w:t>项目经</w:t>
            </w:r>
            <w:r>
              <w:rPr>
                <w:rFonts w:hint="eastAsia" w:ascii="仿宋" w:hAnsi="仿宋" w:eastAsia="仿宋" w:cs="仿宋"/>
                <w:color w:val="000000"/>
                <w:sz w:val="24"/>
                <w:szCs w:val="24"/>
              </w:rPr>
              <w:t>采购人验收合格</w:t>
            </w:r>
            <w:r>
              <w:rPr>
                <w:rFonts w:hint="eastAsia" w:ascii="仿宋" w:hAnsi="仿宋" w:eastAsia="仿宋" w:cs="仿宋"/>
                <w:color w:val="000000"/>
                <w:sz w:val="24"/>
                <w:szCs w:val="24"/>
                <w:lang w:eastAsia="zh-CN"/>
              </w:rPr>
              <w:t>，且财政审批该项目用款计划</w:t>
            </w:r>
            <w:r>
              <w:rPr>
                <w:rFonts w:hint="eastAsia" w:ascii="仿宋" w:hAnsi="仿宋" w:eastAsia="仿宋" w:cs="仿宋"/>
                <w:color w:val="000000"/>
                <w:sz w:val="24"/>
                <w:szCs w:val="24"/>
              </w:rPr>
              <w:t>后，一次性支付</w:t>
            </w:r>
            <w:r>
              <w:rPr>
                <w:rFonts w:hint="eastAsia" w:ascii="仿宋" w:hAnsi="仿宋" w:eastAsia="仿宋" w:cs="仿宋"/>
                <w:color w:val="000000"/>
                <w:sz w:val="24"/>
                <w:szCs w:val="24"/>
                <w:lang w:val="en-US" w:eastAsia="zh-CN"/>
              </w:rPr>
              <w:t>货款</w:t>
            </w:r>
            <w:r>
              <w:rPr>
                <w:rFonts w:hint="eastAsia" w:ascii="仿宋" w:hAnsi="仿宋" w:eastAsia="仿宋" w:cs="仿宋"/>
                <w:color w:val="000000"/>
                <w:sz w:val="24"/>
                <w:szCs w:val="24"/>
              </w:rPr>
              <w:t>。</w:t>
            </w:r>
          </w:p>
          <w:p w14:paraId="3DB8CFC6">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2）付款前，中标人需开具足额、合规发票交采购人。</w:t>
            </w:r>
          </w:p>
          <w:p w14:paraId="5600B6DD">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4、质量保证：</w:t>
            </w:r>
          </w:p>
          <w:p w14:paraId="12EA0195">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供应商所提供的货物型号、技术规格、技术参数等质量必须与本次采购要求和承诺相一致。</w:t>
            </w:r>
          </w:p>
          <w:p w14:paraId="589E5204">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供应商所提供的货物必须是全新、未使用的原装产品，且在正常安装、使用和保养条件下，其使用寿命期内各项指标均达到质量要求。</w:t>
            </w:r>
          </w:p>
          <w:p w14:paraId="1819ABDD">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5、售后服务：</w:t>
            </w:r>
          </w:p>
          <w:p w14:paraId="69C4945F">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lang w:val="en-US" w:eastAsia="zh-CN"/>
              </w:rPr>
              <w:t>所提供的货物产品必须是未使用过的全新产品；若产品质量存在缺陷，中标人免费在1个月内更换新产品。</w:t>
            </w:r>
          </w:p>
          <w:p w14:paraId="5C6DA941">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所有货物免费送货上门安装、免费培训使用及维护。</w:t>
            </w:r>
          </w:p>
          <w:p w14:paraId="718A2C10">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3）</w:t>
            </w:r>
            <w:r>
              <w:rPr>
                <w:rFonts w:hint="eastAsia" w:ascii="仿宋" w:hAnsi="仿宋" w:eastAsia="仿宋" w:cs="仿宋"/>
                <w:color w:val="000000"/>
                <w:sz w:val="24"/>
                <w:szCs w:val="24"/>
                <w:lang w:val="en-US" w:eastAsia="zh-CN"/>
              </w:rPr>
              <w:t>故障响应时间：供应商应在质量保证期内提供7*24小时的不间断技术支持服务，并做到电话、传真、电子邮件、现场等多种方式的技术全方位响应需求，如遇问题，承诺在接到采购人通知后3个小时内到达现场处理。</w:t>
            </w:r>
          </w:p>
          <w:p w14:paraId="1AAA02B5">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4）</w:t>
            </w:r>
            <w:r>
              <w:rPr>
                <w:rFonts w:hint="eastAsia" w:ascii="仿宋" w:hAnsi="仿宋" w:eastAsia="仿宋" w:cs="仿宋"/>
                <w:color w:val="000000"/>
                <w:sz w:val="24"/>
                <w:szCs w:val="24"/>
                <w:lang w:val="en-US" w:eastAsia="zh-CN"/>
              </w:rPr>
              <w:t>项目供货及安装过程中产生的残留物或垃圾，需由中标人自行清理至校外。</w:t>
            </w:r>
          </w:p>
        </w:tc>
      </w:tr>
    </w:tbl>
    <w:p w14:paraId="29CD84FD">
      <w:pPr>
        <w:spacing w:line="500" w:lineRule="exact"/>
        <w:ind w:firstLine="482" w:firstLineChars="200"/>
        <w:rPr>
          <w:rFonts w:hint="eastAsia" w:ascii="仿宋" w:hAnsi="仿宋" w:eastAsia="仿宋"/>
          <w:b/>
          <w:bCs/>
          <w:color w:val="000000"/>
          <w:sz w:val="24"/>
          <w:szCs w:val="24"/>
        </w:rPr>
      </w:pPr>
      <w:r>
        <w:rPr>
          <w:rFonts w:hint="eastAsia" w:ascii="仿宋" w:hAnsi="仿宋" w:eastAsia="仿宋"/>
          <w:b/>
          <w:bCs/>
          <w:color w:val="000000"/>
          <w:sz w:val="24"/>
          <w:szCs w:val="24"/>
        </w:rPr>
        <w:t>说明</w:t>
      </w:r>
      <w:r>
        <w:rPr>
          <w:rFonts w:hint="eastAsia" w:ascii="仿宋" w:hAnsi="仿宋" w:eastAsia="仿宋"/>
          <w:b/>
          <w:bCs/>
          <w:color w:val="000000"/>
          <w:sz w:val="24"/>
          <w:szCs w:val="24"/>
          <w:lang w:val="zh-CN"/>
        </w:rPr>
        <w:t>：</w:t>
      </w:r>
      <w:r>
        <w:rPr>
          <w:rFonts w:hint="eastAsia" w:ascii="仿宋" w:hAnsi="仿宋" w:eastAsia="仿宋"/>
          <w:b/>
          <w:bCs/>
          <w:color w:val="000000"/>
          <w:sz w:val="24"/>
          <w:szCs w:val="24"/>
        </w:rPr>
        <w:t>本项目</w:t>
      </w:r>
      <w:r>
        <w:rPr>
          <w:rFonts w:hint="eastAsia" w:ascii="仿宋" w:hAnsi="仿宋" w:eastAsia="仿宋"/>
          <w:b/>
          <w:color w:val="000000"/>
          <w:kern w:val="0"/>
          <w:sz w:val="24"/>
        </w:rPr>
        <w:t>服务要求</w:t>
      </w:r>
      <w:r>
        <w:rPr>
          <w:rFonts w:hint="eastAsia" w:ascii="仿宋" w:hAnsi="仿宋" w:eastAsia="仿宋"/>
          <w:b/>
          <w:color w:val="000000"/>
          <w:kern w:val="0"/>
          <w:sz w:val="24"/>
          <w:lang w:eastAsia="zh-CN"/>
        </w:rPr>
        <w:t>及商务条款</w:t>
      </w:r>
      <w:r>
        <w:rPr>
          <w:rFonts w:hint="eastAsia" w:ascii="仿宋" w:hAnsi="仿宋" w:eastAsia="仿宋"/>
          <w:b/>
          <w:bCs/>
          <w:color w:val="000000"/>
          <w:sz w:val="24"/>
          <w:szCs w:val="24"/>
        </w:rPr>
        <w:t>均不允许负偏离，任何负偏离将被认为是实质性要求和条件不响应，作竞价无效处理。</w:t>
      </w:r>
    </w:p>
    <w:p w14:paraId="322D2277">
      <w:pPr>
        <w:keepNext w:val="0"/>
        <w:keepLines w:val="0"/>
        <w:pageBreakBefore w:val="0"/>
        <w:widowControl w:val="0"/>
        <w:kinsoku/>
        <w:wordWrap/>
        <w:overflowPunct/>
        <w:topLinePunct w:val="0"/>
        <w:autoSpaceDE/>
        <w:autoSpaceDN/>
        <w:bidi w:val="0"/>
        <w:snapToGrid/>
        <w:spacing w:line="480" w:lineRule="exact"/>
        <w:ind w:firstLine="640" w:firstLineChars="200"/>
        <w:rPr>
          <w:rFonts w:hint="eastAsia" w:ascii="仿宋" w:hAnsi="仿宋" w:eastAsia="仿宋"/>
          <w:bCs/>
          <w:color w:val="000000"/>
          <w:sz w:val="32"/>
          <w:szCs w:val="32"/>
        </w:rPr>
      </w:pPr>
      <w:r>
        <w:rPr>
          <w:rFonts w:hint="eastAsia" w:ascii="仿宋" w:hAnsi="仿宋" w:eastAsia="仿宋"/>
          <w:bCs/>
          <w:color w:val="000000"/>
          <w:sz w:val="32"/>
          <w:szCs w:val="32"/>
        </w:rPr>
        <w:t>四、中标方式：在完全满足采购方竞价需求的投标</w:t>
      </w:r>
      <w:r>
        <w:rPr>
          <w:rFonts w:ascii="仿宋" w:hAnsi="仿宋" w:eastAsia="仿宋"/>
          <w:bCs/>
          <w:color w:val="000000"/>
          <w:sz w:val="32"/>
          <w:szCs w:val="32"/>
        </w:rPr>
        <w:t>人中</w:t>
      </w:r>
      <w:r>
        <w:rPr>
          <w:rFonts w:hint="eastAsia" w:ascii="仿宋" w:hAnsi="仿宋" w:eastAsia="仿宋"/>
          <w:bCs/>
          <w:color w:val="000000"/>
          <w:sz w:val="32"/>
          <w:szCs w:val="32"/>
        </w:rPr>
        <w:t>，报价最低者为中标供应商。</w:t>
      </w:r>
    </w:p>
    <w:p w14:paraId="0B654357">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763473A3">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42F0713F">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w:t>
      </w:r>
      <w:r>
        <w:rPr>
          <w:rFonts w:hint="eastAsia" w:ascii="仿宋" w:hAnsi="仿宋" w:eastAsia="仿宋" w:cs="仿宋"/>
          <w:bCs/>
          <w:color w:val="auto"/>
          <w:sz w:val="32"/>
          <w:szCs w:val="32"/>
        </w:rPr>
        <w:t>报价表</w:t>
      </w:r>
      <w:r>
        <w:rPr>
          <w:rFonts w:hint="eastAsia" w:ascii="仿宋" w:hAnsi="仿宋" w:eastAsia="仿宋" w:cs="仿宋"/>
          <w:bCs/>
          <w:color w:val="auto"/>
          <w:sz w:val="32"/>
          <w:szCs w:val="32"/>
          <w:lang w:eastAsia="zh-CN"/>
        </w:rPr>
        <w:t>按照采购文件中的</w:t>
      </w:r>
      <w:r>
        <w:rPr>
          <w:rFonts w:hint="eastAsia" w:ascii="仿宋" w:hAnsi="仿宋" w:eastAsia="仿宋" w:cs="仿宋"/>
          <w:bCs/>
          <w:color w:val="auto"/>
          <w:sz w:val="32"/>
          <w:szCs w:val="32"/>
          <w:lang w:val="en-US" w:eastAsia="zh-CN"/>
        </w:rPr>
        <w:t>需求品类</w:t>
      </w:r>
      <w:r>
        <w:rPr>
          <w:rFonts w:hint="eastAsia" w:ascii="仿宋" w:hAnsi="仿宋" w:eastAsia="仿宋" w:cs="仿宋"/>
          <w:bCs/>
          <w:color w:val="auto"/>
          <w:sz w:val="32"/>
          <w:szCs w:val="32"/>
          <w:lang w:eastAsia="zh-CN"/>
        </w:rPr>
        <w:t>进行</w:t>
      </w:r>
      <w:r>
        <w:rPr>
          <w:rFonts w:ascii="仿宋" w:hAnsi="仿宋" w:eastAsia="仿宋" w:cs="仿宋"/>
          <w:bCs/>
          <w:color w:val="auto"/>
          <w:sz w:val="32"/>
          <w:szCs w:val="32"/>
        </w:rPr>
        <w:t>报价</w:t>
      </w:r>
      <w:r>
        <w:rPr>
          <w:rFonts w:hint="eastAsia" w:ascii="仿宋" w:hAnsi="仿宋" w:eastAsia="仿宋" w:cs="仿宋"/>
          <w:bCs/>
          <w:color w:val="000000" w:themeColor="text1"/>
          <w:sz w:val="32"/>
          <w:szCs w:val="32"/>
          <w14:textFill>
            <w14:solidFill>
              <w14:schemeClr w14:val="tx1"/>
            </w14:solidFill>
          </w14:textFill>
        </w:rPr>
        <w:t>（格式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名称、单位、单价、金额</w:t>
      </w:r>
      <w:r>
        <w:rPr>
          <w:rFonts w:ascii="仿宋" w:hAnsi="仿宋" w:eastAsia="仿宋" w:cs="仿宋"/>
          <w:color w:val="000000"/>
          <w:kern w:val="0"/>
          <w:sz w:val="32"/>
          <w:szCs w:val="32"/>
          <w:lang w:bidi="ar"/>
        </w:rPr>
        <w:t>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单</w:t>
      </w:r>
      <w:r>
        <w:rPr>
          <w:rFonts w:hint="eastAsia" w:ascii="仿宋" w:hAnsi="仿宋" w:eastAsia="仿宋" w:cs="仿宋"/>
          <w:bCs/>
          <w:color w:val="000000" w:themeColor="text1"/>
          <w:sz w:val="32"/>
          <w:szCs w:val="32"/>
          <w14:textFill>
            <w14:solidFill>
              <w14:schemeClr w14:val="tx1"/>
            </w14:solidFill>
          </w14:textFill>
        </w:rPr>
        <w:t>项</w:t>
      </w:r>
      <w:r>
        <w:rPr>
          <w:rFonts w:ascii="仿宋" w:hAnsi="仿宋" w:eastAsia="仿宋" w:cs="仿宋"/>
          <w:bCs/>
          <w:color w:val="000000" w:themeColor="text1"/>
          <w:sz w:val="32"/>
          <w:szCs w:val="32"/>
          <w14:textFill>
            <w14:solidFill>
              <w14:schemeClr w14:val="tx1"/>
            </w14:solidFill>
          </w14:textFill>
        </w:rPr>
        <w:t>报价不能超</w:t>
      </w:r>
      <w:r>
        <w:rPr>
          <w:rFonts w:hint="eastAsia" w:ascii="仿宋" w:hAnsi="仿宋" w:eastAsia="仿宋" w:cs="仿宋"/>
          <w:bCs/>
          <w:color w:val="000000" w:themeColor="text1"/>
          <w:sz w:val="32"/>
          <w:szCs w:val="32"/>
          <w:lang w:eastAsia="zh-CN"/>
          <w14:textFill>
            <w14:solidFill>
              <w14:schemeClr w14:val="tx1"/>
            </w14:solidFill>
          </w14:textFill>
        </w:rPr>
        <w:t>过单项</w:t>
      </w:r>
      <w:r>
        <w:rPr>
          <w:rFonts w:ascii="仿宋" w:hAnsi="仿宋" w:eastAsia="仿宋" w:cs="仿宋"/>
          <w:bCs/>
          <w:color w:val="000000" w:themeColor="text1"/>
          <w:sz w:val="32"/>
          <w:szCs w:val="32"/>
          <w14:textFill>
            <w14:solidFill>
              <w14:schemeClr w14:val="tx1"/>
            </w14:solidFill>
          </w14:textFill>
        </w:rPr>
        <w:t>控制价</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 xml:space="preserve"> </w:t>
      </w:r>
    </w:p>
    <w:p w14:paraId="50C04498">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lang w:val="en-US" w:eastAsia="zh-CN"/>
          <w14:textFill>
            <w14:solidFill>
              <w14:schemeClr w14:val="tx1"/>
            </w14:solidFill>
          </w14:textFill>
        </w:rPr>
        <w:t>包含技术响应和商务响应</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29F72CC0">
      <w:pPr>
        <w:spacing w:line="560" w:lineRule="exact"/>
        <w:ind w:firstLine="640" w:firstLineChars="200"/>
        <w:rPr>
          <w:rFonts w:hint="eastAsia" w:ascii="仿宋" w:hAnsi="仿宋" w:eastAsia="仿宋" w:cs="仿宋"/>
          <w:bCs/>
          <w:color w:val="000000" w:themeColor="text1"/>
          <w:sz w:val="32"/>
          <w:szCs w:val="32"/>
          <w:lang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w:t>
      </w:r>
      <w:r>
        <w:rPr>
          <w:rFonts w:hint="eastAsia" w:ascii="仿宋" w:hAnsi="仿宋" w:eastAsia="仿宋" w:cs="仿宋"/>
          <w:bCs/>
          <w:color w:val="000000" w:themeColor="text1"/>
          <w:sz w:val="32"/>
          <w:szCs w:val="32"/>
          <w:lang w:eastAsia="zh-CN"/>
          <w14:textFill>
            <w14:solidFill>
              <w14:schemeClr w14:val="tx1"/>
            </w14:solidFill>
          </w14:textFill>
        </w:rPr>
        <w:t>复印件</w:t>
      </w:r>
    </w:p>
    <w:p w14:paraId="6E6EF7EB">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、法定代表人身份证复印件，委托代理时还须提供法定代表人授权委托书原件及被授权人身份证复印件</w:t>
      </w:r>
    </w:p>
    <w:p w14:paraId="3CC82518">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4、</w:t>
      </w:r>
      <w:r>
        <w:rPr>
          <w:rFonts w:hint="eastAsia" w:ascii="仿宋" w:hAnsi="仿宋" w:eastAsia="仿宋" w:cs="仿宋"/>
          <w:bCs/>
          <w:color w:val="000000" w:themeColor="text1"/>
          <w:sz w:val="32"/>
          <w:szCs w:val="32"/>
          <w14:textFill>
            <w14:solidFill>
              <w14:schemeClr w14:val="tx1"/>
            </w14:solidFill>
          </w14:textFill>
        </w:rPr>
        <w:t>声明书</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43998B7B">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5、</w:t>
      </w:r>
      <w:r>
        <w:rPr>
          <w:rFonts w:hint="eastAsia" w:ascii="仿宋" w:hAnsi="仿宋" w:eastAsia="仿宋" w:cs="仿宋"/>
          <w:bCs/>
          <w:color w:val="000000" w:themeColor="text1"/>
          <w:sz w:val="32"/>
          <w:szCs w:val="32"/>
          <w14:textFill>
            <w14:solidFill>
              <w14:schemeClr w14:val="tx1"/>
            </w14:solidFill>
          </w14:textFill>
        </w:rPr>
        <w:t>供应商直接控股股东信息表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506A1590">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6、</w:t>
      </w:r>
      <w:r>
        <w:rPr>
          <w:rFonts w:hint="eastAsia" w:ascii="仿宋" w:hAnsi="仿宋" w:eastAsia="仿宋" w:cs="仿宋"/>
          <w:bCs/>
          <w:color w:val="000000" w:themeColor="text1"/>
          <w:sz w:val="32"/>
          <w:szCs w:val="32"/>
          <w14:textFill>
            <w14:solidFill>
              <w14:schemeClr w14:val="tx1"/>
            </w14:solidFill>
          </w14:textFill>
        </w:rPr>
        <w:t>供应商直接管理关系信息表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76CF9A57">
      <w:pPr>
        <w:spacing w:line="560" w:lineRule="exact"/>
        <w:ind w:firstLine="640" w:firstLineChars="200"/>
        <w:rPr>
          <w:rFonts w:hint="eastAsia" w:ascii="宋体" w:hAnsi="宋体"/>
          <w:b/>
          <w:sz w:val="32"/>
          <w:szCs w:val="32"/>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备注：请按以上要求提供相关材料并加盖公章、密封递交，否则竞价无效。</w:t>
      </w:r>
    </w:p>
    <w:p w14:paraId="6CF29FBD">
      <w:pPr>
        <w:rPr>
          <w:rFonts w:hint="eastAsia" w:ascii="宋体" w:hAnsi="宋体"/>
          <w:b/>
          <w:sz w:val="32"/>
          <w:szCs w:val="32"/>
        </w:rPr>
      </w:pPr>
      <w:r>
        <w:rPr>
          <w:rFonts w:hint="eastAsia" w:ascii="宋体" w:hAnsi="宋体"/>
          <w:b/>
          <w:sz w:val="32"/>
          <w:szCs w:val="32"/>
        </w:rPr>
        <w:br w:type="page"/>
      </w:r>
    </w:p>
    <w:p w14:paraId="0543430F">
      <w:pPr>
        <w:spacing w:line="360" w:lineRule="auto"/>
        <w:jc w:val="center"/>
        <w:rPr>
          <w:rFonts w:hint="eastAsia" w:ascii="宋体" w:hAnsi="宋体"/>
          <w:b/>
          <w:sz w:val="32"/>
          <w:szCs w:val="32"/>
        </w:rPr>
      </w:pPr>
      <w:r>
        <w:rPr>
          <w:rFonts w:hint="eastAsia" w:ascii="宋体" w:hAnsi="宋体"/>
          <w:b/>
          <w:sz w:val="32"/>
          <w:szCs w:val="32"/>
        </w:rPr>
        <w:t>声明书（格式）</w:t>
      </w:r>
    </w:p>
    <w:p w14:paraId="742559AB">
      <w:pPr>
        <w:spacing w:line="320" w:lineRule="exact"/>
        <w:jc w:val="center"/>
        <w:rPr>
          <w:rFonts w:hint="eastAsia" w:ascii="宋体" w:hAnsi="宋体"/>
          <w:sz w:val="24"/>
          <w:szCs w:val="20"/>
        </w:rPr>
      </w:pPr>
    </w:p>
    <w:p w14:paraId="21BEA875">
      <w:pPr>
        <w:spacing w:line="360" w:lineRule="auto"/>
        <w:contextualSpacing/>
        <w:rPr>
          <w:rFonts w:hint="eastAsia"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732047E9">
      <w:pPr>
        <w:spacing w:line="360" w:lineRule="auto"/>
        <w:contextualSpacing/>
        <w:rPr>
          <w:rFonts w:hint="eastAsia"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26F23464">
      <w:pPr>
        <w:spacing w:line="360" w:lineRule="auto"/>
        <w:contextualSpacing/>
        <w:rPr>
          <w:rFonts w:hint="eastAsia"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7E797120">
      <w:pPr>
        <w:spacing w:line="360" w:lineRule="auto"/>
        <w:contextualSpacing/>
        <w:rPr>
          <w:rFonts w:hint="eastAsia" w:ascii="宋体" w:hAnsi="宋体" w:cs="宋体"/>
          <w:szCs w:val="21"/>
        </w:rPr>
      </w:pPr>
      <w:r>
        <w:rPr>
          <w:rFonts w:hint="eastAsia" w:ascii="宋体" w:hAnsi="宋体" w:cs="宋体"/>
          <w:szCs w:val="21"/>
        </w:rPr>
        <w:t>1.我方向贵方提交的所有响应文件、资料都是准确的和真实的。</w:t>
      </w:r>
    </w:p>
    <w:p w14:paraId="57AAFA05">
      <w:pPr>
        <w:spacing w:line="360" w:lineRule="auto"/>
        <w:contextualSpacing/>
        <w:rPr>
          <w:rFonts w:hint="eastAsia"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6100410E">
      <w:pPr>
        <w:spacing w:line="360" w:lineRule="auto"/>
        <w:contextualSpacing/>
        <w:rPr>
          <w:rFonts w:hint="eastAsia" w:ascii="宋体" w:hAnsi="宋体" w:cs="宋体"/>
          <w:szCs w:val="21"/>
        </w:rPr>
      </w:pPr>
      <w:r>
        <w:rPr>
          <w:rFonts w:hint="eastAsia" w:ascii="宋体" w:hAnsi="宋体" w:cs="宋体"/>
          <w:szCs w:val="21"/>
        </w:rPr>
        <w:t>3.在此，我方宣布同意如下：</w:t>
      </w:r>
    </w:p>
    <w:p w14:paraId="0A724761">
      <w:pPr>
        <w:spacing w:line="360" w:lineRule="auto"/>
        <w:contextualSpacing/>
        <w:rPr>
          <w:rFonts w:hint="eastAsia" w:ascii="宋体" w:hAnsi="宋体" w:cs="宋体"/>
          <w:szCs w:val="21"/>
        </w:rPr>
      </w:pPr>
      <w:r>
        <w:rPr>
          <w:rFonts w:hint="eastAsia" w:ascii="宋体" w:hAnsi="宋体" w:cs="宋体"/>
          <w:szCs w:val="21"/>
        </w:rPr>
        <w:t>(1)将按</w:t>
      </w:r>
      <w:r>
        <w:rPr>
          <w:rFonts w:hint="eastAsia" w:ascii="宋体" w:hAnsi="宋体" w:cs="宋体"/>
          <w:szCs w:val="21"/>
          <w:lang w:eastAsia="zh-CN"/>
        </w:rPr>
        <w:t>采购</w:t>
      </w:r>
      <w:r>
        <w:rPr>
          <w:rFonts w:hint="eastAsia" w:ascii="宋体" w:hAnsi="宋体" w:cs="宋体"/>
          <w:szCs w:val="21"/>
        </w:rPr>
        <w:t>文件的约定履行合同责任和义务；</w:t>
      </w:r>
    </w:p>
    <w:p w14:paraId="30BA73BA">
      <w:pPr>
        <w:spacing w:line="360" w:lineRule="auto"/>
        <w:contextualSpacing/>
        <w:rPr>
          <w:rFonts w:hint="eastAsia" w:ascii="宋体" w:hAnsi="宋体" w:cs="宋体"/>
          <w:szCs w:val="21"/>
        </w:rPr>
      </w:pPr>
      <w:r>
        <w:rPr>
          <w:rFonts w:hint="eastAsia" w:ascii="宋体" w:hAnsi="宋体" w:cs="宋体"/>
          <w:szCs w:val="21"/>
        </w:rPr>
        <w:t>(2)已详细审查全部</w:t>
      </w:r>
      <w:r>
        <w:rPr>
          <w:rFonts w:hint="eastAsia" w:ascii="宋体" w:hAnsi="宋体" w:cs="宋体"/>
          <w:szCs w:val="21"/>
          <w:lang w:eastAsia="zh-CN"/>
        </w:rPr>
        <w:t>采购</w:t>
      </w:r>
      <w:r>
        <w:rPr>
          <w:rFonts w:hint="eastAsia" w:ascii="宋体" w:hAnsi="宋体" w:cs="宋体"/>
          <w:szCs w:val="21"/>
        </w:rPr>
        <w:t>文件，包括补遗文件（如有）；</w:t>
      </w:r>
    </w:p>
    <w:p w14:paraId="685252EF">
      <w:pPr>
        <w:spacing w:line="360" w:lineRule="auto"/>
        <w:contextualSpacing/>
        <w:rPr>
          <w:rFonts w:hint="eastAsia" w:ascii="宋体" w:hAnsi="宋体" w:cs="宋体"/>
          <w:szCs w:val="21"/>
        </w:rPr>
      </w:pPr>
      <w:r>
        <w:rPr>
          <w:rFonts w:hint="eastAsia" w:ascii="宋体" w:hAnsi="宋体" w:cs="宋体"/>
          <w:szCs w:val="21"/>
        </w:rPr>
        <w:t>(3)同意提供按照贵方可能要求的与</w:t>
      </w:r>
      <w:r>
        <w:rPr>
          <w:rFonts w:hint="eastAsia" w:ascii="宋体" w:hAnsi="宋体" w:cs="宋体"/>
          <w:szCs w:val="21"/>
          <w:lang w:eastAsia="zh-CN"/>
        </w:rPr>
        <w:t>项目</w:t>
      </w:r>
      <w:r>
        <w:rPr>
          <w:rFonts w:hint="eastAsia" w:ascii="宋体" w:hAnsi="宋体" w:cs="宋体"/>
          <w:szCs w:val="21"/>
        </w:rPr>
        <w:t>有关的一切数据或资料；</w:t>
      </w:r>
    </w:p>
    <w:p w14:paraId="39C0B0DA">
      <w:pPr>
        <w:spacing w:line="360" w:lineRule="auto"/>
        <w:contextualSpacing/>
        <w:rPr>
          <w:rFonts w:hint="eastAsia" w:ascii="宋体" w:hAnsi="宋体" w:cs="宋体"/>
          <w:szCs w:val="21"/>
        </w:rPr>
      </w:pPr>
      <w:r>
        <w:rPr>
          <w:rFonts w:hint="eastAsia" w:ascii="宋体" w:hAnsi="宋体" w:cs="宋体"/>
          <w:szCs w:val="21"/>
        </w:rPr>
        <w:t>(4)响应</w:t>
      </w:r>
      <w:r>
        <w:rPr>
          <w:rFonts w:hint="eastAsia" w:ascii="宋体" w:hAnsi="宋体" w:cs="宋体"/>
          <w:szCs w:val="21"/>
          <w:lang w:eastAsia="zh-CN"/>
        </w:rPr>
        <w:t>采购</w:t>
      </w:r>
      <w:r>
        <w:rPr>
          <w:rFonts w:hint="eastAsia" w:ascii="宋体" w:hAnsi="宋体" w:cs="宋体"/>
          <w:szCs w:val="21"/>
        </w:rPr>
        <w:t>文件规定的竞标有效期。</w:t>
      </w:r>
    </w:p>
    <w:p w14:paraId="36BCA149">
      <w:pPr>
        <w:spacing w:line="360" w:lineRule="auto"/>
        <w:contextualSpacing/>
        <w:rPr>
          <w:rFonts w:hint="eastAsia" w:ascii="宋体" w:hAnsi="宋体" w:cs="宋体"/>
          <w:szCs w:val="21"/>
        </w:rPr>
      </w:pPr>
      <w:r>
        <w:rPr>
          <w:rFonts w:hint="eastAsia" w:ascii="宋体" w:hAnsi="宋体" w:cs="宋体"/>
          <w:szCs w:val="21"/>
        </w:rPr>
        <w:t>4.我方承诺:</w:t>
      </w:r>
    </w:p>
    <w:p w14:paraId="76BB624F">
      <w:pPr>
        <w:spacing w:line="360" w:lineRule="auto"/>
        <w:contextualSpacing/>
        <w:rPr>
          <w:rFonts w:hint="eastAsia" w:ascii="宋体" w:hAnsi="宋体" w:cs="宋体"/>
          <w:szCs w:val="21"/>
        </w:rPr>
      </w:pPr>
      <w:r>
        <w:rPr>
          <w:rFonts w:hint="eastAsia" w:ascii="宋体" w:hAnsi="宋体" w:cs="宋体"/>
          <w:szCs w:val="21"/>
        </w:rPr>
        <w:t>（1）我公司符合《中华人民共和国政府采购法》第二十二条规定：</w:t>
      </w:r>
    </w:p>
    <w:p w14:paraId="6C638196">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35B0307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22FEA69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4892A32A">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650D54D1">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1AA6AA77">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5C15E7B3">
      <w:pPr>
        <w:spacing w:line="360" w:lineRule="auto"/>
        <w:contextualSpacing/>
        <w:rPr>
          <w:rFonts w:hint="eastAsia" w:ascii="宋体" w:hAnsi="宋体" w:cs="宋体"/>
          <w:szCs w:val="21"/>
        </w:rPr>
      </w:pPr>
      <w:r>
        <w:rPr>
          <w:rFonts w:hint="eastAsia" w:ascii="宋体" w:hAnsi="宋体" w:cs="宋体"/>
          <w:szCs w:val="21"/>
        </w:rPr>
        <w:t>（2）我公司无下列相互串通投标的情形：</w:t>
      </w:r>
    </w:p>
    <w:p w14:paraId="3A94115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3EE0F9A1">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1EE383CA">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1A1B731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7175EF87">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343F9C47">
      <w:pPr>
        <w:spacing w:line="360" w:lineRule="auto"/>
        <w:contextualSpacing/>
        <w:rPr>
          <w:rFonts w:hint="eastAsia" w:ascii="宋体" w:hAnsi="宋体" w:cs="宋体"/>
          <w:szCs w:val="21"/>
        </w:rPr>
      </w:pPr>
      <w:r>
        <w:rPr>
          <w:rFonts w:hint="eastAsia" w:ascii="宋体" w:hAnsi="宋体" w:cs="宋体"/>
          <w:szCs w:val="21"/>
        </w:rPr>
        <w:t>（3）我公司承诺无下列恶意串通的情形：</w:t>
      </w:r>
    </w:p>
    <w:p w14:paraId="4209DC0D">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7BB5BA01">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4543734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6966DFF2">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7920AD3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51F110C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2CFA91DB">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27FA081D">
      <w:pPr>
        <w:spacing w:line="360" w:lineRule="auto"/>
        <w:contextualSpacing/>
        <w:rPr>
          <w:rFonts w:hint="eastAsia" w:ascii="宋体" w:hAnsi="宋体" w:cs="宋体"/>
          <w:szCs w:val="21"/>
        </w:rPr>
      </w:pPr>
      <w:r>
        <w:rPr>
          <w:rFonts w:hint="eastAsia" w:ascii="宋体" w:hAnsi="宋体" w:cs="宋体"/>
          <w:szCs w:val="21"/>
        </w:rPr>
        <w:t>5.我方在此声明：</w:t>
      </w:r>
    </w:p>
    <w:p w14:paraId="2C19EA94">
      <w:pPr>
        <w:spacing w:line="360" w:lineRule="auto"/>
        <w:contextualSpacing/>
        <w:rPr>
          <w:rFonts w:hint="eastAsia"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6B924440">
      <w:pPr>
        <w:tabs>
          <w:tab w:val="left" w:pos="7200"/>
        </w:tabs>
        <w:spacing w:line="360" w:lineRule="auto"/>
        <w:rPr>
          <w:rFonts w:hint="eastAsia"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0776E6C">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4FB1EF21">
      <w:pPr>
        <w:spacing w:line="360" w:lineRule="auto"/>
        <w:contextualSpacing/>
        <w:rPr>
          <w:rFonts w:hint="eastAsia" w:ascii="宋体" w:hAnsi="宋体" w:cs="宋体"/>
          <w:kern w:val="0"/>
          <w:szCs w:val="21"/>
          <w:u w:val="single"/>
        </w:rPr>
      </w:pPr>
      <w:r>
        <w:rPr>
          <w:rFonts w:hint="eastAsia" w:ascii="宋体" w:hAnsi="宋体" w:cs="宋体"/>
          <w:kern w:val="0"/>
          <w:szCs w:val="21"/>
        </w:rPr>
        <w:t>6.与本</w:t>
      </w:r>
      <w:r>
        <w:rPr>
          <w:rFonts w:hint="eastAsia" w:ascii="宋体" w:hAnsi="宋体" w:cs="宋体"/>
          <w:kern w:val="0"/>
          <w:szCs w:val="21"/>
          <w:lang w:eastAsia="zh-CN"/>
        </w:rPr>
        <w:t>投标</w:t>
      </w:r>
      <w:r>
        <w:rPr>
          <w:rFonts w:hint="eastAsia" w:ascii="宋体" w:hAnsi="宋体" w:cs="宋体"/>
          <w:kern w:val="0"/>
          <w:szCs w:val="21"/>
        </w:rPr>
        <w:t>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7C49C701">
      <w:pPr>
        <w:spacing w:line="360" w:lineRule="auto"/>
        <w:contextualSpacing/>
        <w:rPr>
          <w:rFonts w:hint="eastAsia"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39CD9195">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6AC7B605">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1D1F5D11">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特此承诺。</w:t>
      </w:r>
    </w:p>
    <w:p w14:paraId="7029670D">
      <w:pPr>
        <w:tabs>
          <w:tab w:val="left" w:pos="939"/>
        </w:tabs>
        <w:spacing w:line="360" w:lineRule="auto"/>
        <w:ind w:left="141" w:leftChars="67"/>
        <w:contextualSpacing/>
        <w:rPr>
          <w:rFonts w:hint="eastAsia" w:ascii="宋体" w:hAnsi="宋体" w:cs="宋体"/>
          <w:szCs w:val="21"/>
        </w:rPr>
      </w:pPr>
    </w:p>
    <w:p w14:paraId="5327F30F">
      <w:pPr>
        <w:spacing w:line="360" w:lineRule="auto"/>
        <w:rPr>
          <w:rFonts w:hint="eastAsia"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117FC4B1">
      <w:pPr>
        <w:spacing w:line="360" w:lineRule="auto"/>
        <w:rPr>
          <w:rFonts w:hint="eastAsia"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16C784BA">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55049297">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4"/>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5C546791">
        <w:tblPrEx>
          <w:shd w:val="clear" w:color="auto" w:fill="FBFBFB"/>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31C516F6">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69B68B4">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4BBED20">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4531187">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AE9D30A">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62B1088A">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2A34B2">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607BDE6">
            <w:pPr>
              <w:widowControl/>
              <w:spacing w:line="360" w:lineRule="exact"/>
              <w:jc w:val="center"/>
              <w:rPr>
                <w:rFonts w:hint="eastAsia" w:ascii="宋体" w:hAnsi="宋体" w:eastAsia="宋体"/>
                <w:kern w:val="0"/>
                <w:szCs w:val="21"/>
                <w:lang w:eastAsia="zh-CN"/>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FDEA35">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1BB6189">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982B1B6">
            <w:pPr>
              <w:widowControl/>
              <w:spacing w:line="360" w:lineRule="exact"/>
              <w:jc w:val="center"/>
              <w:rPr>
                <w:rFonts w:ascii="宋体" w:hAnsi="宋体"/>
                <w:kern w:val="0"/>
                <w:szCs w:val="21"/>
              </w:rPr>
            </w:pPr>
          </w:p>
        </w:tc>
      </w:tr>
      <w:tr w14:paraId="7F395D40">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7ED904">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C5994C">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7B557FE">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AB0F414">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287A9AC">
            <w:pPr>
              <w:widowControl/>
              <w:spacing w:line="360" w:lineRule="exact"/>
              <w:jc w:val="center"/>
              <w:rPr>
                <w:rFonts w:ascii="宋体" w:hAnsi="宋体"/>
                <w:kern w:val="0"/>
                <w:szCs w:val="21"/>
              </w:rPr>
            </w:pPr>
          </w:p>
        </w:tc>
      </w:tr>
      <w:tr w14:paraId="4A24CEAA">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0B5930">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C9F2FEE">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EC06C3D">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8B8ED22">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A90EDCF">
            <w:pPr>
              <w:widowControl/>
              <w:spacing w:line="360" w:lineRule="exact"/>
              <w:jc w:val="center"/>
              <w:rPr>
                <w:rFonts w:ascii="宋体" w:hAnsi="宋体"/>
                <w:kern w:val="0"/>
                <w:szCs w:val="21"/>
              </w:rPr>
            </w:pPr>
          </w:p>
        </w:tc>
      </w:tr>
      <w:tr w14:paraId="29B98B8D">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BACD5D5">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92DA615">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19557D">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A089050">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E5249C9">
            <w:pPr>
              <w:widowControl/>
              <w:spacing w:line="360" w:lineRule="exact"/>
              <w:jc w:val="center"/>
              <w:rPr>
                <w:rFonts w:ascii="宋体" w:hAnsi="宋体"/>
                <w:kern w:val="0"/>
                <w:szCs w:val="21"/>
              </w:rPr>
            </w:pPr>
          </w:p>
        </w:tc>
      </w:tr>
    </w:tbl>
    <w:p w14:paraId="728D9C19">
      <w:pPr>
        <w:snapToGrid w:val="0"/>
        <w:spacing w:line="360" w:lineRule="exact"/>
        <w:jc w:val="left"/>
        <w:rPr>
          <w:rFonts w:ascii="宋体" w:hAnsi="宋体"/>
          <w:szCs w:val="21"/>
        </w:rPr>
      </w:pPr>
      <w:r>
        <w:rPr>
          <w:rFonts w:hint="eastAsia" w:ascii="宋体" w:hAnsi="宋体"/>
          <w:szCs w:val="21"/>
        </w:rPr>
        <w:t>注：</w:t>
      </w:r>
    </w:p>
    <w:p w14:paraId="60EE1A42">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3DB38F6E">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770DF6F4">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74F03112">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6D93E1B8">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7D880E37">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08F6A85D">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0631B8EA">
      <w:pPr>
        <w:snapToGrid w:val="0"/>
        <w:spacing w:line="400" w:lineRule="exact"/>
        <w:jc w:val="center"/>
        <w:rPr>
          <w:rFonts w:ascii="宋体" w:hAnsi="宋体"/>
          <w:b/>
          <w:sz w:val="32"/>
          <w:szCs w:val="32"/>
        </w:rPr>
      </w:pPr>
    </w:p>
    <w:tbl>
      <w:tblPr>
        <w:tblStyle w:val="4"/>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230CA5C7">
        <w:tblPrEx>
          <w:shd w:val="clear" w:color="auto" w:fill="FBFBFB"/>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92A21DC">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4D407DA">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23CD05C">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5C063C1">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53A08F0E">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75003C">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A9B020F">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FF94771">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26A8FA5">
            <w:pPr>
              <w:widowControl/>
              <w:spacing w:line="360" w:lineRule="exact"/>
              <w:jc w:val="center"/>
              <w:rPr>
                <w:rFonts w:ascii="宋体" w:hAnsi="宋体"/>
                <w:kern w:val="0"/>
                <w:szCs w:val="21"/>
              </w:rPr>
            </w:pPr>
          </w:p>
        </w:tc>
      </w:tr>
      <w:tr w14:paraId="699D553E">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B683869">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A2AB76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706D11B">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55B702F">
            <w:pPr>
              <w:widowControl/>
              <w:spacing w:line="360" w:lineRule="exact"/>
              <w:jc w:val="center"/>
              <w:rPr>
                <w:rFonts w:ascii="宋体" w:hAnsi="宋体"/>
                <w:kern w:val="0"/>
                <w:szCs w:val="21"/>
              </w:rPr>
            </w:pPr>
          </w:p>
        </w:tc>
      </w:tr>
      <w:tr w14:paraId="5AF4D102">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098EFDF">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3C58D4C">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21DF44D">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C47EA13">
            <w:pPr>
              <w:widowControl/>
              <w:spacing w:line="360" w:lineRule="exact"/>
              <w:jc w:val="center"/>
              <w:rPr>
                <w:rFonts w:ascii="宋体" w:hAnsi="宋体"/>
                <w:kern w:val="0"/>
                <w:szCs w:val="21"/>
              </w:rPr>
            </w:pPr>
          </w:p>
        </w:tc>
      </w:tr>
      <w:tr w14:paraId="231E4F30">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4A0602A">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6B6808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2AD1F9B">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A84765A">
            <w:pPr>
              <w:widowControl/>
              <w:spacing w:line="360" w:lineRule="exact"/>
              <w:jc w:val="center"/>
              <w:rPr>
                <w:rFonts w:ascii="宋体" w:hAnsi="宋体"/>
                <w:kern w:val="0"/>
                <w:szCs w:val="21"/>
              </w:rPr>
            </w:pPr>
          </w:p>
        </w:tc>
      </w:tr>
    </w:tbl>
    <w:p w14:paraId="042AFE9D">
      <w:pPr>
        <w:snapToGrid w:val="0"/>
        <w:spacing w:line="360" w:lineRule="exact"/>
        <w:jc w:val="left"/>
        <w:rPr>
          <w:rFonts w:ascii="宋体" w:hAnsi="宋体"/>
          <w:szCs w:val="21"/>
        </w:rPr>
      </w:pPr>
      <w:r>
        <w:rPr>
          <w:rFonts w:hint="eastAsia" w:ascii="宋体" w:hAnsi="宋体"/>
          <w:szCs w:val="21"/>
        </w:rPr>
        <w:t>注：</w:t>
      </w:r>
    </w:p>
    <w:p w14:paraId="10BD475B">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6E88826C">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50CA2EC9">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031C7A02">
      <w:pPr>
        <w:snapToGrid w:val="0"/>
        <w:spacing w:line="360" w:lineRule="exact"/>
        <w:jc w:val="left"/>
        <w:rPr>
          <w:rFonts w:ascii="宋体" w:hAnsi="宋体"/>
          <w:szCs w:val="21"/>
        </w:rPr>
      </w:pPr>
    </w:p>
    <w:p w14:paraId="24E7C72E">
      <w:pPr>
        <w:snapToGrid w:val="0"/>
        <w:spacing w:line="360" w:lineRule="exact"/>
        <w:jc w:val="left"/>
        <w:rPr>
          <w:rFonts w:ascii="宋体" w:hAnsi="宋体"/>
          <w:szCs w:val="21"/>
        </w:rPr>
      </w:pPr>
    </w:p>
    <w:p w14:paraId="0A73FBB9">
      <w:pPr>
        <w:snapToGrid w:val="0"/>
        <w:spacing w:line="360" w:lineRule="exact"/>
        <w:jc w:val="left"/>
        <w:rPr>
          <w:szCs w:val="21"/>
        </w:rPr>
      </w:pPr>
    </w:p>
    <w:p w14:paraId="4687057A">
      <w:pPr>
        <w:snapToGrid w:val="0"/>
        <w:spacing w:line="360" w:lineRule="exact"/>
        <w:jc w:val="left"/>
        <w:rPr>
          <w:szCs w:val="21"/>
        </w:rPr>
      </w:pPr>
    </w:p>
    <w:p w14:paraId="5EA30E52">
      <w:pPr>
        <w:snapToGrid w:val="0"/>
        <w:spacing w:line="360" w:lineRule="exact"/>
        <w:jc w:val="left"/>
        <w:rPr>
          <w:szCs w:val="21"/>
        </w:rPr>
      </w:pPr>
    </w:p>
    <w:p w14:paraId="745CC56F">
      <w:pPr>
        <w:snapToGrid w:val="0"/>
        <w:spacing w:line="360" w:lineRule="exact"/>
        <w:jc w:val="left"/>
        <w:rPr>
          <w:rFonts w:ascii="宋体" w:hAnsi="宋体"/>
          <w:szCs w:val="21"/>
        </w:rPr>
      </w:pPr>
    </w:p>
    <w:p w14:paraId="462E1AD6">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12F5FE4D">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342A71D5">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5D4F9795">
      <w:pPr>
        <w:snapToGrid w:val="0"/>
        <w:spacing w:before="156" w:after="50" w:line="360" w:lineRule="exact"/>
        <w:ind w:right="480" w:firstLine="210" w:firstLineChars="100"/>
        <w:jc w:val="center"/>
        <w:rPr>
          <w:rFonts w:ascii="宋体" w:hAnsi="宋体"/>
          <w:szCs w:val="21"/>
        </w:rPr>
      </w:pPr>
    </w:p>
    <w:p w14:paraId="67B6E0E8">
      <w:pPr>
        <w:snapToGrid w:val="0"/>
        <w:spacing w:before="156" w:after="50" w:line="360" w:lineRule="exact"/>
        <w:ind w:right="480" w:firstLine="210" w:firstLineChars="100"/>
        <w:jc w:val="center"/>
        <w:rPr>
          <w:rFonts w:ascii="宋体" w:hAnsi="宋体"/>
          <w:szCs w:val="21"/>
        </w:rPr>
      </w:pPr>
    </w:p>
    <w:p w14:paraId="4183672D">
      <w:pPr>
        <w:snapToGrid w:val="0"/>
        <w:spacing w:before="156" w:after="50" w:line="360" w:lineRule="exact"/>
        <w:ind w:right="480" w:firstLine="210" w:firstLineChars="100"/>
        <w:jc w:val="center"/>
        <w:rPr>
          <w:rFonts w:ascii="宋体" w:hAnsi="宋体"/>
          <w:szCs w:val="21"/>
        </w:rPr>
      </w:pPr>
    </w:p>
    <w:p w14:paraId="3073D80F">
      <w:pPr>
        <w:snapToGrid w:val="0"/>
        <w:spacing w:before="156" w:after="50" w:line="360" w:lineRule="exact"/>
        <w:ind w:right="480" w:firstLine="210" w:firstLineChars="100"/>
        <w:jc w:val="center"/>
        <w:rPr>
          <w:rFonts w:ascii="宋体" w:hAnsi="宋体"/>
          <w:szCs w:val="21"/>
        </w:rPr>
      </w:pPr>
    </w:p>
    <w:p w14:paraId="03C85448">
      <w:pPr>
        <w:snapToGrid w:val="0"/>
        <w:spacing w:before="156" w:after="50" w:line="360" w:lineRule="exact"/>
        <w:ind w:right="480" w:firstLine="210" w:firstLineChars="100"/>
        <w:jc w:val="center"/>
        <w:rPr>
          <w:rFonts w:ascii="宋体" w:hAnsi="宋体"/>
          <w:szCs w:val="21"/>
        </w:rPr>
      </w:pPr>
    </w:p>
    <w:p w14:paraId="214E6488">
      <w:pPr>
        <w:snapToGrid w:val="0"/>
        <w:spacing w:before="156" w:after="50" w:line="360" w:lineRule="exact"/>
        <w:ind w:right="480" w:firstLine="210" w:firstLineChars="100"/>
        <w:jc w:val="center"/>
        <w:rPr>
          <w:rFonts w:ascii="宋体" w:hAnsi="宋体"/>
          <w:szCs w:val="21"/>
        </w:rPr>
      </w:pPr>
    </w:p>
    <w:p w14:paraId="362F96B7">
      <w:pPr>
        <w:pStyle w:val="16"/>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6F911">
    <w:pPr>
      <w:pStyle w:val="18"/>
      <w:tabs>
        <w:tab w:val="clear" w:pos="4153"/>
        <w:tab w:val="clear" w:pos="8306"/>
      </w:tabs>
      <w:rPr>
        <w:sz w:val="18"/>
      </w:rPr>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14:paraId="091C8EFC">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130AD180"/>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2MbPBNMAAAAFAQAADwAAAAAAAAABACAAAAAiAAAAZHJzL2Rvd25yZXYueG1sUEsBAhQAFAAA&#10;AAgAh07iQGhfZ1+7AQAAhwMAAA4AAAAAAAAAAQAgAAAAIgEAAGRycy9lMm9Eb2MueG1sUEsFBgAA&#10;AAAGAAYAWQEAAE8FAAAAAA==&#10;">
              <v:fill on="f" focussize="0,0"/>
              <v:stroke on="f"/>
              <v:imagedata o:title=""/>
              <o:lock v:ext="edit" aspectratio="f"/>
              <v:textbox>
                <w:txbxContent>
                  <w:p w14:paraId="091C8EFC">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130AD180"/>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2D523C"/>
    <w:multiLevelType w:val="singleLevel"/>
    <w:tmpl w:val="8E2D523C"/>
    <w:lvl w:ilvl="0" w:tentative="0">
      <w:start w:val="2"/>
      <w:numFmt w:val="chineseCounting"/>
      <w:suff w:val="nothing"/>
      <w:lvlText w:val="%1、"/>
      <w:lvlJc w:val="left"/>
      <w:rPr>
        <w:rFonts w:hint="eastAsia"/>
      </w:rPr>
    </w:lvl>
  </w:abstractNum>
  <w:abstractNum w:abstractNumId="1">
    <w:nsid w:val="B3591D2B"/>
    <w:multiLevelType w:val="singleLevel"/>
    <w:tmpl w:val="B3591D2B"/>
    <w:lvl w:ilvl="0" w:tentative="0">
      <w:start w:val="1"/>
      <w:numFmt w:val="chineseCounting"/>
      <w:suff w:val="nothing"/>
      <w:lvlText w:val="%1、"/>
      <w:lvlJc w:val="left"/>
      <w:rPr>
        <w:rFonts w:hint="eastAsia"/>
      </w:rPr>
    </w:lvl>
  </w:abstractNum>
  <w:abstractNum w:abstractNumId="2">
    <w:nsid w:val="DCC306AD"/>
    <w:multiLevelType w:val="singleLevel"/>
    <w:tmpl w:val="DCC306AD"/>
    <w:lvl w:ilvl="0" w:tentative="0">
      <w:start w:val="1"/>
      <w:numFmt w:val="decimal"/>
      <w:lvlText w:val="%1."/>
      <w:lvlJc w:val="left"/>
      <w:pPr>
        <w:tabs>
          <w:tab w:val="left" w:pos="312"/>
        </w:tabs>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623E46"/>
    <w:rsid w:val="073C7668"/>
    <w:rsid w:val="07F132ED"/>
    <w:rsid w:val="114551CA"/>
    <w:rsid w:val="152444CF"/>
    <w:rsid w:val="1C4D2EE6"/>
    <w:rsid w:val="1CF75A17"/>
    <w:rsid w:val="1D6F2068"/>
    <w:rsid w:val="206527DA"/>
    <w:rsid w:val="217E72AF"/>
    <w:rsid w:val="23ED0FEE"/>
    <w:rsid w:val="27591CFA"/>
    <w:rsid w:val="353E2124"/>
    <w:rsid w:val="3BA573AB"/>
    <w:rsid w:val="3C586CFC"/>
    <w:rsid w:val="3EF35C42"/>
    <w:rsid w:val="448F79BF"/>
    <w:rsid w:val="4B1B26BD"/>
    <w:rsid w:val="4E1C4B0D"/>
    <w:rsid w:val="5068381D"/>
    <w:rsid w:val="514F345F"/>
    <w:rsid w:val="52F855CC"/>
    <w:rsid w:val="56F059C1"/>
    <w:rsid w:val="5AA53B13"/>
    <w:rsid w:val="620A285D"/>
    <w:rsid w:val="643A36D8"/>
    <w:rsid w:val="64E45126"/>
    <w:rsid w:val="6BFE4F32"/>
    <w:rsid w:val="6C446A21"/>
    <w:rsid w:val="76D76923"/>
    <w:rsid w:val="770825C9"/>
    <w:rsid w:val="7E49042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8"/>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3">
    <w:name w:val="annotation text"/>
    <w:basedOn w:val="1"/>
    <w:qFormat/>
    <w:uiPriority w:val="0"/>
    <w:pPr>
      <w:jc w:val="left"/>
    </w:pPr>
  </w:style>
  <w:style w:type="paragraph" w:customStyle="1" w:styleId="6">
    <w:name w:val="标题 41"/>
    <w:basedOn w:val="1"/>
    <w:qFormat/>
    <w:uiPriority w:val="0"/>
    <w:pPr>
      <w:tabs>
        <w:tab w:val="left" w:pos="2155"/>
      </w:tabs>
      <w:spacing w:before="120" w:line="360" w:lineRule="auto"/>
      <w:ind w:left="2155" w:hanging="1078"/>
      <w:outlineLvl w:val="3"/>
    </w:pPr>
    <w:rPr>
      <w:rFonts w:ascii="Arial" w:eastAsia="黑体"/>
      <w:kern w:val="0"/>
      <w:sz w:val="28"/>
      <w:szCs w:val="20"/>
    </w:rPr>
  </w:style>
  <w:style w:type="character" w:customStyle="1" w:styleId="7">
    <w:name w:val="默认段落字体1"/>
    <w:link w:val="1"/>
    <w:qFormat/>
    <w:uiPriority w:val="0"/>
  </w:style>
  <w:style w:type="table" w:customStyle="1" w:styleId="8">
    <w:name w:val="普通表格1"/>
    <w:qFormat/>
    <w:uiPriority w:val="0"/>
  </w:style>
  <w:style w:type="paragraph" w:customStyle="1" w:styleId="9">
    <w:name w:val="正文缩进1"/>
    <w:basedOn w:val="1"/>
    <w:qFormat/>
    <w:uiPriority w:val="0"/>
    <w:pPr>
      <w:ind w:firstLine="420" w:firstLineChars="200"/>
    </w:pPr>
  </w:style>
  <w:style w:type="paragraph" w:customStyle="1" w:styleId="10">
    <w:name w:val="批注文字1"/>
    <w:basedOn w:val="1"/>
    <w:qFormat/>
    <w:uiPriority w:val="0"/>
    <w:pPr>
      <w:jc w:val="left"/>
    </w:pPr>
  </w:style>
  <w:style w:type="paragraph" w:customStyle="1" w:styleId="11">
    <w:name w:val="正文文本1"/>
    <w:basedOn w:val="1"/>
    <w:link w:val="12"/>
    <w:qFormat/>
    <w:uiPriority w:val="0"/>
    <w:pPr>
      <w:spacing w:after="120"/>
    </w:pPr>
  </w:style>
  <w:style w:type="character" w:customStyle="1" w:styleId="12">
    <w:name w:val="正文文本 Char"/>
    <w:basedOn w:val="7"/>
    <w:link w:val="11"/>
    <w:qFormat/>
    <w:uiPriority w:val="0"/>
    <w:rPr>
      <w:rFonts w:ascii="Calibri" w:hAnsi="Calibri"/>
      <w:kern w:val="2"/>
      <w:sz w:val="21"/>
      <w:szCs w:val="24"/>
    </w:rPr>
  </w:style>
  <w:style w:type="paragraph" w:customStyle="1" w:styleId="13">
    <w:name w:val="正文文本缩进1"/>
    <w:basedOn w:val="1"/>
    <w:qFormat/>
    <w:uiPriority w:val="0"/>
    <w:pPr>
      <w:ind w:firstLine="830" w:firstLineChars="352"/>
    </w:pPr>
    <w:rPr>
      <w:rFonts w:ascii="仿宋_GB2312" w:eastAsia="仿宋_GB2312"/>
      <w:kern w:val="0"/>
      <w:sz w:val="32"/>
      <w:szCs w:val="20"/>
    </w:rPr>
  </w:style>
  <w:style w:type="paragraph" w:customStyle="1" w:styleId="14">
    <w:name w:val="页眉1"/>
    <w:basedOn w:val="1"/>
    <w:link w:val="15"/>
    <w:qFormat/>
    <w:uiPriority w:val="0"/>
    <w:pPr>
      <w:pBdr>
        <w:bottom w:val="single" w:color="auto" w:sz="6" w:space="1"/>
      </w:pBdr>
      <w:tabs>
        <w:tab w:val="center" w:pos="4153"/>
        <w:tab w:val="right" w:pos="8306"/>
      </w:tabs>
      <w:snapToGrid w:val="0"/>
      <w:jc w:val="center"/>
    </w:pPr>
    <w:rPr>
      <w:rFonts w:ascii="Calibri" w:hAnsi="Calibri" w:eastAsia="宋体"/>
      <w:sz w:val="18"/>
      <w:szCs w:val="18"/>
    </w:rPr>
  </w:style>
  <w:style w:type="character" w:customStyle="1" w:styleId="15">
    <w:name w:val="页眉 Char"/>
    <w:basedOn w:val="7"/>
    <w:link w:val="14"/>
    <w:qFormat/>
    <w:uiPriority w:val="0"/>
    <w:rPr>
      <w:sz w:val="18"/>
      <w:szCs w:val="18"/>
    </w:rPr>
  </w:style>
  <w:style w:type="paragraph" w:customStyle="1" w:styleId="16">
    <w:name w:val="纯文本1"/>
    <w:basedOn w:val="1"/>
    <w:link w:val="17"/>
    <w:qFormat/>
    <w:uiPriority w:val="0"/>
    <w:rPr>
      <w:rFonts w:ascii="宋体" w:hAnsi="Courier New"/>
      <w:szCs w:val="22"/>
    </w:rPr>
  </w:style>
  <w:style w:type="character" w:customStyle="1" w:styleId="17">
    <w:name w:val="纯文本 Char"/>
    <w:link w:val="16"/>
    <w:qFormat/>
    <w:uiPriority w:val="0"/>
    <w:rPr>
      <w:rFonts w:ascii="宋体" w:hAnsi="Courier New" w:eastAsia="宋体"/>
    </w:rPr>
  </w:style>
  <w:style w:type="paragraph" w:customStyle="1" w:styleId="18">
    <w:name w:val="页脚1"/>
    <w:basedOn w:val="1"/>
    <w:link w:val="19"/>
    <w:qFormat/>
    <w:uiPriority w:val="0"/>
    <w:pPr>
      <w:tabs>
        <w:tab w:val="center" w:pos="4153"/>
        <w:tab w:val="right" w:pos="8306"/>
      </w:tabs>
      <w:snapToGrid w:val="0"/>
      <w:jc w:val="left"/>
    </w:pPr>
    <w:rPr>
      <w:rFonts w:ascii="Calibri" w:hAnsi="Calibri" w:eastAsia="宋体"/>
      <w:sz w:val="18"/>
      <w:szCs w:val="18"/>
    </w:rPr>
  </w:style>
  <w:style w:type="character" w:customStyle="1" w:styleId="19">
    <w:name w:val="页脚 Char"/>
    <w:basedOn w:val="7"/>
    <w:link w:val="18"/>
    <w:qFormat/>
    <w:uiPriority w:val="0"/>
    <w:rPr>
      <w:sz w:val="18"/>
      <w:szCs w:val="18"/>
    </w:rPr>
  </w:style>
  <w:style w:type="paragraph" w:customStyle="1" w:styleId="20">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21">
    <w:name w:val="正文首行缩进1"/>
    <w:basedOn w:val="11"/>
    <w:qFormat/>
    <w:uiPriority w:val="0"/>
    <w:pPr>
      <w:spacing w:after="0" w:line="360" w:lineRule="auto"/>
      <w:ind w:firstLine="420"/>
    </w:pPr>
    <w:rPr>
      <w:rFonts w:ascii="宋体" w:hAnsi="宋体" w:eastAsia="仿宋_GB2312"/>
      <w:sz w:val="24"/>
    </w:rPr>
  </w:style>
  <w:style w:type="paragraph" w:customStyle="1" w:styleId="22">
    <w:name w:val="正文首行缩进 21"/>
    <w:basedOn w:val="13"/>
    <w:qFormat/>
    <w:uiPriority w:val="0"/>
    <w:pPr>
      <w:spacing w:after="120"/>
      <w:ind w:left="420" w:leftChars="200" w:firstLine="420" w:firstLineChars="200"/>
    </w:pPr>
    <w:rPr>
      <w:rFonts w:ascii="黑体" w:eastAsia="黑体"/>
      <w:sz w:val="20"/>
    </w:rPr>
  </w:style>
  <w:style w:type="table" w:customStyle="1" w:styleId="23">
    <w:name w:val="网格型1"/>
    <w:basedOn w:val="8"/>
    <w:qFormat/>
    <w:uiPriority w:val="0"/>
    <w:pPr>
      <w:widowControl w:val="0"/>
      <w:jc w:val="both"/>
    </w:pPr>
    <w:rPr>
      <w:rFonts w:ascii="Calibri" w:hAnsi="Calibri"/>
    </w:rPr>
  </w:style>
  <w:style w:type="character" w:customStyle="1" w:styleId="24">
    <w:name w:val="已访问的超链接1"/>
    <w:basedOn w:val="7"/>
    <w:link w:val="1"/>
    <w:qFormat/>
    <w:uiPriority w:val="0"/>
    <w:rPr>
      <w:rFonts w:ascii="Verdana" w:hAnsi="Verdana"/>
      <w:color w:val="466BFF"/>
      <w:u w:val="none"/>
    </w:rPr>
  </w:style>
  <w:style w:type="character" w:customStyle="1" w:styleId="25">
    <w:name w:val="超链接1"/>
    <w:basedOn w:val="7"/>
    <w:link w:val="1"/>
    <w:qFormat/>
    <w:uiPriority w:val="0"/>
    <w:rPr>
      <w:rFonts w:ascii="Verdana" w:hAnsi="Verdana"/>
      <w:color w:val="000033"/>
      <w:u w:val="none"/>
    </w:rPr>
  </w:style>
  <w:style w:type="character" w:customStyle="1" w:styleId="26">
    <w:name w:val="font11"/>
    <w:basedOn w:val="7"/>
    <w:link w:val="1"/>
    <w:qFormat/>
    <w:uiPriority w:val="0"/>
    <w:rPr>
      <w:rFonts w:hint="eastAsia" w:ascii="宋体" w:hAnsi="宋体" w:eastAsia="宋体"/>
      <w:color w:val="000000"/>
      <w:sz w:val="22"/>
      <w:szCs w:val="22"/>
      <w:u w:val="none"/>
    </w:rPr>
  </w:style>
  <w:style w:type="character" w:customStyle="1" w:styleId="27">
    <w:name w:val="font41"/>
    <w:basedOn w:val="7"/>
    <w:link w:val="1"/>
    <w:qFormat/>
    <w:uiPriority w:val="0"/>
    <w:rPr>
      <w:rFonts w:hint="eastAsia" w:ascii="宋体" w:hAnsi="宋体" w:eastAsia="宋体"/>
      <w:color w:val="000000"/>
      <w:sz w:val="16"/>
      <w:szCs w:val="16"/>
      <w:u w:val="none"/>
    </w:rPr>
  </w:style>
  <w:style w:type="character" w:customStyle="1" w:styleId="28">
    <w:name w:val="纯文本 Char1"/>
    <w:basedOn w:val="7"/>
    <w:link w:val="1"/>
    <w:semiHidden/>
    <w:qFormat/>
    <w:uiPriority w:val="0"/>
    <w:rPr>
      <w:rFonts w:ascii="宋体" w:hAnsi="Courier New" w:eastAsia="宋体"/>
      <w:szCs w:val="21"/>
    </w:rPr>
  </w:style>
  <w:style w:type="paragraph" w:styleId="29">
    <w:name w:val="List Paragraph"/>
    <w:basedOn w:val="1"/>
    <w:qFormat/>
    <w:uiPriority w:val="0"/>
    <w:pPr>
      <w:ind w:firstLine="420" w:firstLineChars="200"/>
    </w:pPr>
  </w:style>
  <w:style w:type="paragraph" w:customStyle="1" w:styleId="30">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31">
    <w:name w:val="font01"/>
    <w:basedOn w:val="5"/>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Pages>
  <Words>2761</Words>
  <Characters>3121</Characters>
  <Lines>0</Lines>
  <Paragraphs>0</Paragraphs>
  <TotalTime>11</TotalTime>
  <ScaleCrop>false</ScaleCrop>
  <LinksUpToDate>false</LinksUpToDate>
  <CharactersWithSpaces>3178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2026-02-02T09:32:00Z</dcterms:created>
  <dc:creator>Ai.小绵羊ʸᶜᶠ</dc:creator>
  <cp:lastModifiedBy>杨超芬</cp:lastModifiedBy>
  <dcterms:modified xsi:type="dcterms:W3CDTF">2026-06-10T01:07:34Z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2052-12.1.0.26375</vt:lpwstr>
  </property>
  <property fmtid="{D5CDD505-2E9C-101B-9397-08002B2CF9AE}" pid="4" name="ICV">
    <vt:lpwstr>2412C652320546D39B8B916249F53577_12</vt:lpwstr>
  </property>
</Properties>
</file>