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E9A5E0">
      <w:pPr>
        <w:spacing w:line="560" w:lineRule="exact"/>
        <w:jc w:val="center"/>
        <w:rPr>
          <w:rFonts w:hint="eastAsia" w:ascii="方正公文小标宋" w:hAnsi="方正公文小标宋" w:eastAsia="方正公文小标宋" w:cs="方正公文小标宋"/>
          <w:b/>
          <w:bCs/>
          <w:color w:val="auto"/>
          <w:sz w:val="36"/>
          <w:szCs w:val="36"/>
          <w:lang w:eastAsia="zh-CN"/>
        </w:rPr>
      </w:pPr>
      <w:r>
        <w:rPr>
          <w:rFonts w:hint="eastAsia" w:ascii="方正公文小标宋" w:hAnsi="方正公文小标宋" w:eastAsia="方正公文小标宋" w:cs="方正公文小标宋"/>
          <w:b/>
          <w:bCs/>
          <w:color w:val="auto"/>
          <w:sz w:val="36"/>
          <w:szCs w:val="36"/>
        </w:rPr>
        <w:t>南宁市卫生学校智慧校园</w:t>
      </w:r>
      <w:r>
        <w:rPr>
          <w:rFonts w:ascii="方正公文小标宋" w:hAnsi="方正公文小标宋" w:eastAsia="方正公文小标宋" w:cs="方正公文小标宋"/>
          <w:b/>
          <w:bCs/>
          <w:color w:val="auto"/>
          <w:sz w:val="36"/>
          <w:szCs w:val="36"/>
        </w:rPr>
        <w:t>人脸、车牌识别</w:t>
      </w:r>
      <w:r>
        <w:rPr>
          <w:rFonts w:hint="eastAsia" w:ascii="方正公文小标宋" w:hAnsi="方正公文小标宋" w:eastAsia="方正公文小标宋" w:cs="方正公文小标宋"/>
          <w:b/>
          <w:bCs/>
          <w:color w:val="auto"/>
          <w:sz w:val="36"/>
          <w:szCs w:val="36"/>
        </w:rPr>
        <w:t>考勤</w:t>
      </w:r>
      <w:r>
        <w:rPr>
          <w:rFonts w:ascii="方正公文小标宋" w:hAnsi="方正公文小标宋" w:eastAsia="方正公文小标宋" w:cs="方正公文小标宋"/>
          <w:b/>
          <w:bCs/>
          <w:color w:val="auto"/>
          <w:sz w:val="36"/>
          <w:szCs w:val="36"/>
        </w:rPr>
        <w:t>请假系统服务</w:t>
      </w:r>
      <w:r>
        <w:rPr>
          <w:rFonts w:hint="eastAsia" w:ascii="方正公文小标宋" w:hAnsi="方正公文小标宋" w:eastAsia="方正公文小标宋" w:cs="方正公文小标宋"/>
          <w:b/>
          <w:bCs/>
          <w:color w:val="auto"/>
          <w:sz w:val="36"/>
          <w:szCs w:val="36"/>
          <w:lang w:eastAsia="zh-CN"/>
        </w:rPr>
        <w:t>及相思湖校区安全门禁（南门）项目</w:t>
      </w:r>
      <w:r>
        <w:rPr>
          <w:rFonts w:hint="eastAsia" w:ascii="方正公文小标宋" w:hAnsi="方正公文小标宋" w:eastAsia="方正公文小标宋" w:cs="方正公文小标宋"/>
          <w:b/>
          <w:bCs/>
          <w:color w:val="auto"/>
          <w:sz w:val="36"/>
          <w:szCs w:val="36"/>
        </w:rPr>
        <w:t>参数、价格及服务方案公开征集公告</w:t>
      </w:r>
      <w:r>
        <w:rPr>
          <w:rFonts w:hint="eastAsia" w:ascii="方正公文小标宋" w:hAnsi="方正公文小标宋" w:eastAsia="方正公文小标宋" w:cs="方正公文小标宋"/>
          <w:b/>
          <w:bCs/>
          <w:color w:val="auto"/>
          <w:sz w:val="36"/>
          <w:szCs w:val="36"/>
          <w:lang w:eastAsia="zh-CN"/>
        </w:rPr>
        <w:t>（重Ⅰ）</w:t>
      </w:r>
    </w:p>
    <w:p w14:paraId="329E74E5">
      <w:pPr>
        <w:pStyle w:val="2"/>
        <w:jc w:val="center"/>
        <w:rPr>
          <w:rFonts w:hint="eastAsia" w:ascii="仿宋" w:hAnsi="仿宋" w:eastAsia="仿宋" w:cs="仿宋"/>
          <w:b/>
          <w:bCs/>
          <w:color w:val="auto"/>
          <w:kern w:val="2"/>
          <w:sz w:val="30"/>
          <w:szCs w:val="30"/>
        </w:rPr>
      </w:pPr>
      <w:r>
        <w:rPr>
          <w:rFonts w:hint="eastAsia" w:ascii="仿宋" w:hAnsi="仿宋" w:eastAsia="仿宋" w:cs="仿宋"/>
          <w:b/>
          <w:bCs/>
          <w:color w:val="auto"/>
          <w:kern w:val="2"/>
          <w:sz w:val="30"/>
          <w:szCs w:val="30"/>
        </w:rPr>
        <w:t>（服务类/货物类）</w:t>
      </w:r>
    </w:p>
    <w:p w14:paraId="2BFD1F46">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ascii="仿宋" w:hAnsi="仿宋" w:eastAsia="仿宋" w:cs="仿宋"/>
          <w:color w:val="auto"/>
          <w:sz w:val="30"/>
          <w:szCs w:val="30"/>
        </w:rPr>
      </w:pPr>
      <w:r>
        <w:rPr>
          <w:rFonts w:hint="eastAsia" w:ascii="仿宋" w:hAnsi="仿宋" w:eastAsia="仿宋" w:cs="仿宋"/>
          <w:color w:val="auto"/>
          <w:sz w:val="30"/>
          <w:szCs w:val="30"/>
        </w:rPr>
        <w:t>根据学校</w:t>
      </w:r>
      <w:r>
        <w:rPr>
          <w:rFonts w:hint="eastAsia" w:ascii="仿宋" w:hAnsi="仿宋" w:eastAsia="仿宋" w:cs="仿宋"/>
          <w:color w:val="auto"/>
          <w:sz w:val="30"/>
          <w:szCs w:val="30"/>
          <w:u w:val="single"/>
        </w:rPr>
        <w:t>智慧校园</w:t>
      </w:r>
      <w:r>
        <w:rPr>
          <w:rFonts w:ascii="仿宋" w:hAnsi="仿宋" w:eastAsia="仿宋" w:cs="仿宋"/>
          <w:color w:val="auto"/>
          <w:sz w:val="30"/>
          <w:szCs w:val="30"/>
          <w:u w:val="single"/>
        </w:rPr>
        <w:t>人脸、车牌识别</w:t>
      </w:r>
      <w:r>
        <w:rPr>
          <w:rFonts w:hint="eastAsia" w:ascii="仿宋" w:hAnsi="仿宋" w:eastAsia="仿宋" w:cs="仿宋"/>
          <w:color w:val="auto"/>
          <w:sz w:val="30"/>
          <w:szCs w:val="30"/>
          <w:u w:val="single"/>
        </w:rPr>
        <w:t>考勤</w:t>
      </w:r>
      <w:r>
        <w:rPr>
          <w:rFonts w:ascii="仿宋" w:hAnsi="仿宋" w:eastAsia="仿宋" w:cs="仿宋"/>
          <w:color w:val="auto"/>
          <w:sz w:val="30"/>
          <w:szCs w:val="30"/>
          <w:u w:val="single"/>
        </w:rPr>
        <w:t>请假系统服务</w:t>
      </w:r>
      <w:r>
        <w:rPr>
          <w:rFonts w:hint="eastAsia" w:ascii="仿宋" w:hAnsi="仿宋" w:eastAsia="仿宋" w:cs="仿宋"/>
          <w:color w:val="auto"/>
          <w:sz w:val="30"/>
          <w:szCs w:val="30"/>
          <w:u w:val="single"/>
          <w:lang w:eastAsia="zh-CN"/>
        </w:rPr>
        <w:t>及相思湖校区安全门禁（南门）项目</w:t>
      </w:r>
      <w:r>
        <w:rPr>
          <w:rFonts w:hint="eastAsia" w:ascii="仿宋" w:hAnsi="仿宋" w:eastAsia="仿宋" w:cs="仿宋"/>
          <w:color w:val="auto"/>
          <w:sz w:val="30"/>
          <w:szCs w:val="30"/>
        </w:rPr>
        <w:t>采购工作需要，现拟对</w:t>
      </w:r>
      <w:r>
        <w:rPr>
          <w:rFonts w:hint="eastAsia" w:ascii="仿宋" w:hAnsi="仿宋" w:eastAsia="仿宋" w:cs="仿宋"/>
          <w:color w:val="auto"/>
          <w:sz w:val="30"/>
          <w:szCs w:val="30"/>
          <w:u w:val="single"/>
        </w:rPr>
        <w:t>慧校园</w:t>
      </w:r>
      <w:r>
        <w:rPr>
          <w:rFonts w:ascii="仿宋" w:hAnsi="仿宋" w:eastAsia="仿宋" w:cs="仿宋"/>
          <w:color w:val="auto"/>
          <w:sz w:val="30"/>
          <w:szCs w:val="30"/>
          <w:u w:val="single"/>
        </w:rPr>
        <w:t>人脸、车牌识别</w:t>
      </w:r>
      <w:r>
        <w:rPr>
          <w:rFonts w:hint="eastAsia" w:ascii="仿宋" w:hAnsi="仿宋" w:eastAsia="仿宋" w:cs="仿宋"/>
          <w:color w:val="auto"/>
          <w:sz w:val="30"/>
          <w:szCs w:val="30"/>
          <w:u w:val="single"/>
        </w:rPr>
        <w:t>考勤</w:t>
      </w:r>
      <w:r>
        <w:rPr>
          <w:rFonts w:ascii="仿宋" w:hAnsi="仿宋" w:eastAsia="仿宋" w:cs="仿宋"/>
          <w:color w:val="auto"/>
          <w:sz w:val="30"/>
          <w:szCs w:val="30"/>
          <w:u w:val="single"/>
        </w:rPr>
        <w:t>请假系统服务</w:t>
      </w:r>
      <w:r>
        <w:rPr>
          <w:rFonts w:hint="eastAsia" w:ascii="仿宋" w:hAnsi="仿宋" w:eastAsia="仿宋" w:cs="仿宋"/>
          <w:color w:val="auto"/>
          <w:sz w:val="30"/>
          <w:szCs w:val="30"/>
          <w:u w:val="single"/>
          <w:lang w:eastAsia="zh-CN"/>
        </w:rPr>
        <w:t>及相思湖校区安全门禁（南门）项目</w:t>
      </w:r>
      <w:r>
        <w:rPr>
          <w:rFonts w:hint="eastAsia" w:ascii="仿宋" w:hAnsi="仿宋" w:eastAsia="仿宋" w:cs="仿宋"/>
          <w:color w:val="auto"/>
          <w:sz w:val="30"/>
          <w:szCs w:val="30"/>
        </w:rPr>
        <w:t>公开进行参数、价格及服务方案的征集。诚邀具备相关资质和经验服务机构参与，为我校提供宝贵的市场信息和建议。</w:t>
      </w:r>
    </w:p>
    <w:p w14:paraId="5637BD1E">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仿宋" w:hAnsi="仿宋" w:eastAsia="仿宋" w:cs="仿宋"/>
          <w:b/>
          <w:bCs/>
          <w:color w:val="auto"/>
          <w:sz w:val="30"/>
          <w:szCs w:val="30"/>
        </w:rPr>
      </w:pPr>
      <w:r>
        <w:rPr>
          <w:rFonts w:hint="eastAsia" w:ascii="仿宋" w:hAnsi="仿宋" w:eastAsia="仿宋" w:cs="仿宋"/>
          <w:b/>
          <w:bCs/>
          <w:color w:val="auto"/>
          <w:sz w:val="30"/>
          <w:szCs w:val="30"/>
        </w:rPr>
        <w:t>一、项目背景与目的</w:t>
      </w:r>
    </w:p>
    <w:p w14:paraId="3E739FDD">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ascii="仿宋" w:hAnsi="仿宋" w:eastAsia="仿宋" w:cs="仿宋"/>
          <w:color w:val="auto"/>
          <w:sz w:val="30"/>
          <w:szCs w:val="30"/>
        </w:rPr>
      </w:pPr>
      <w:r>
        <w:rPr>
          <w:rFonts w:hint="eastAsia" w:ascii="仿宋" w:hAnsi="仿宋" w:eastAsia="仿宋" w:cs="仿宋"/>
          <w:color w:val="auto"/>
          <w:sz w:val="30"/>
          <w:szCs w:val="30"/>
          <w:u w:val="single"/>
        </w:rPr>
        <w:t>为</w:t>
      </w:r>
      <w:r>
        <w:rPr>
          <w:rFonts w:hint="eastAsia" w:ascii="仿宋" w:hAnsi="仿宋" w:eastAsia="仿宋" w:cs="宋体"/>
          <w:color w:val="auto"/>
          <w:sz w:val="30"/>
          <w:szCs w:val="30"/>
          <w:u w:val="single"/>
        </w:rPr>
        <w:t>实现车辆车牌自动识别、人员权限分级管理、进出记录全程可查、应急远程管控，提升校园安全防范标准化、智能化水平，保障师生人身与校园财产安全</w:t>
      </w:r>
      <w:r>
        <w:rPr>
          <w:rFonts w:hint="eastAsia" w:ascii="仿宋" w:hAnsi="仿宋" w:eastAsia="仿宋" w:cs="仿宋"/>
          <w:color w:val="auto"/>
          <w:sz w:val="30"/>
          <w:szCs w:val="30"/>
          <w:u w:val="single"/>
        </w:rPr>
        <w:t>，</w:t>
      </w:r>
      <w:r>
        <w:rPr>
          <w:rFonts w:hint="eastAsia" w:ascii="仿宋" w:hAnsi="仿宋" w:eastAsia="仿宋" w:cs="宋体"/>
          <w:color w:val="auto"/>
          <w:sz w:val="30"/>
          <w:szCs w:val="30"/>
          <w:u w:val="single"/>
        </w:rPr>
        <w:t>经学校研究决定，实施</w:t>
      </w:r>
      <w:r>
        <w:rPr>
          <w:rFonts w:hint="eastAsia" w:ascii="仿宋" w:hAnsi="仿宋" w:eastAsia="仿宋" w:cs="仿宋"/>
          <w:color w:val="auto"/>
          <w:sz w:val="30"/>
          <w:szCs w:val="30"/>
          <w:u w:val="single"/>
        </w:rPr>
        <w:t>慧校园</w:t>
      </w:r>
      <w:r>
        <w:rPr>
          <w:rFonts w:ascii="仿宋" w:hAnsi="仿宋" w:eastAsia="仿宋" w:cs="仿宋"/>
          <w:color w:val="auto"/>
          <w:sz w:val="30"/>
          <w:szCs w:val="30"/>
          <w:u w:val="single"/>
        </w:rPr>
        <w:t>人脸、车牌识别</w:t>
      </w:r>
      <w:r>
        <w:rPr>
          <w:rFonts w:hint="eastAsia" w:ascii="仿宋" w:hAnsi="仿宋" w:eastAsia="仿宋" w:cs="仿宋"/>
          <w:color w:val="auto"/>
          <w:sz w:val="30"/>
          <w:szCs w:val="30"/>
          <w:u w:val="single"/>
        </w:rPr>
        <w:t>考勤</w:t>
      </w:r>
      <w:r>
        <w:rPr>
          <w:rFonts w:ascii="仿宋" w:hAnsi="仿宋" w:eastAsia="仿宋" w:cs="仿宋"/>
          <w:color w:val="auto"/>
          <w:sz w:val="30"/>
          <w:szCs w:val="30"/>
          <w:u w:val="single"/>
        </w:rPr>
        <w:t>请假系统服务</w:t>
      </w:r>
      <w:r>
        <w:rPr>
          <w:rFonts w:hint="eastAsia" w:ascii="仿宋" w:hAnsi="仿宋" w:eastAsia="仿宋" w:cs="仿宋"/>
          <w:color w:val="auto"/>
          <w:sz w:val="30"/>
          <w:szCs w:val="30"/>
          <w:u w:val="single"/>
          <w:lang w:eastAsia="zh-CN"/>
        </w:rPr>
        <w:t>及相思湖校区安全门禁（南门）项目</w:t>
      </w:r>
      <w:r>
        <w:rPr>
          <w:rFonts w:hint="eastAsia" w:ascii="仿宋" w:hAnsi="仿宋" w:eastAsia="仿宋" w:cs="仿宋"/>
          <w:color w:val="auto"/>
          <w:sz w:val="30"/>
          <w:szCs w:val="30"/>
        </w:rPr>
        <w:t>。本次公开征集旨在全面了</w:t>
      </w:r>
      <w:r>
        <w:rPr>
          <w:rFonts w:hint="eastAsia" w:ascii="仿宋" w:hAnsi="仿宋" w:eastAsia="仿宋" w:cs="仿宋"/>
          <w:color w:val="auto"/>
          <w:sz w:val="30"/>
          <w:szCs w:val="30"/>
          <w:u w:val="none"/>
        </w:rPr>
        <w:t>解当前</w:t>
      </w:r>
      <w:r>
        <w:rPr>
          <w:rFonts w:hint="eastAsia" w:ascii="仿宋" w:hAnsi="仿宋" w:eastAsia="仿宋" w:cs="宋体"/>
          <w:color w:val="auto"/>
          <w:sz w:val="30"/>
          <w:szCs w:val="30"/>
          <w:u w:val="none"/>
          <w:lang w:eastAsia="zh-CN"/>
        </w:rPr>
        <w:t>门禁</w:t>
      </w:r>
      <w:r>
        <w:rPr>
          <w:rFonts w:hint="eastAsia" w:ascii="仿宋" w:hAnsi="仿宋" w:eastAsia="仿宋" w:cs="宋体"/>
          <w:color w:val="auto"/>
          <w:sz w:val="30"/>
          <w:szCs w:val="30"/>
          <w:u w:val="none"/>
        </w:rPr>
        <w:t>及门禁</w:t>
      </w:r>
      <w:r>
        <w:rPr>
          <w:rFonts w:hint="eastAsia" w:ascii="仿宋" w:hAnsi="仿宋" w:eastAsia="仿宋" w:cs="仿宋"/>
          <w:color w:val="auto"/>
          <w:sz w:val="30"/>
          <w:szCs w:val="30"/>
          <w:u w:val="none"/>
        </w:rPr>
        <w:t>服务</w:t>
      </w:r>
      <w:r>
        <w:rPr>
          <w:rFonts w:hint="eastAsia" w:ascii="仿宋" w:hAnsi="仿宋" w:eastAsia="仿宋" w:cs="仿宋"/>
          <w:color w:val="auto"/>
          <w:sz w:val="30"/>
          <w:szCs w:val="30"/>
          <w:lang w:eastAsia="zh-CN"/>
        </w:rPr>
        <w:t>系统</w:t>
      </w:r>
      <w:r>
        <w:rPr>
          <w:rFonts w:hint="eastAsia" w:ascii="仿宋" w:hAnsi="仿宋" w:eastAsia="仿宋" w:cs="仿宋"/>
          <w:color w:val="auto"/>
          <w:sz w:val="30"/>
          <w:szCs w:val="30"/>
        </w:rPr>
        <w:t>的市场状况、技术标准、服务模式及价格水平，为我校后续科学、合理地制定采购需求提供决策依据。    </w:t>
      </w:r>
    </w:p>
    <w:p w14:paraId="21E76463">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ascii="仿宋" w:hAnsi="仿宋" w:eastAsia="仿宋" w:cs="仿宋"/>
          <w:b/>
          <w:bCs/>
          <w:color w:val="auto"/>
          <w:sz w:val="30"/>
          <w:szCs w:val="30"/>
        </w:rPr>
      </w:pPr>
      <w:r>
        <w:rPr>
          <w:rFonts w:hint="eastAsia" w:ascii="仿宋" w:hAnsi="仿宋" w:eastAsia="仿宋" w:cs="仿宋"/>
          <w:b/>
          <w:bCs/>
          <w:color w:val="auto"/>
          <w:sz w:val="30"/>
          <w:szCs w:val="30"/>
        </w:rPr>
        <w:t>二、项目服务内容及控制价</w:t>
      </w:r>
    </w:p>
    <w:p w14:paraId="7B34C0DE">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 w:hAnsi="仿宋" w:eastAsia="仿宋" w:cs="仿宋"/>
          <w:b/>
          <w:bCs/>
          <w:color w:val="auto"/>
          <w:sz w:val="30"/>
          <w:szCs w:val="30"/>
          <w:lang w:val="en-US" w:eastAsia="zh-CN"/>
        </w:rPr>
      </w:pPr>
      <w:r>
        <w:rPr>
          <w:rFonts w:hint="eastAsia" w:ascii="仿宋" w:hAnsi="仿宋" w:eastAsia="仿宋" w:cs="仿宋"/>
          <w:color w:val="auto"/>
          <w:sz w:val="30"/>
          <w:szCs w:val="30"/>
        </w:rPr>
        <w:t>南宁市卫生学校关于智慧校园人脸、车牌识别考勤请假系统服务项目及相思湖校区安全门禁（南门）项目</w:t>
      </w:r>
      <w:r>
        <w:rPr>
          <w:rFonts w:hint="eastAsia" w:ascii="仿宋" w:hAnsi="仿宋" w:eastAsia="仿宋" w:cs="仿宋"/>
          <w:color w:val="auto"/>
          <w:sz w:val="30"/>
          <w:szCs w:val="30"/>
          <w:lang w:eastAsia="zh-CN"/>
        </w:rPr>
        <w:t>总预算为：</w:t>
      </w:r>
      <w:r>
        <w:rPr>
          <w:rFonts w:hint="eastAsia" w:ascii="仿宋" w:hAnsi="仿宋" w:eastAsia="仿宋" w:cs="仿宋"/>
          <w:color w:val="auto"/>
          <w:sz w:val="30"/>
          <w:szCs w:val="30"/>
          <w:lang w:val="en-US" w:eastAsia="zh-CN"/>
        </w:rPr>
        <w:t>179220.00元</w:t>
      </w:r>
      <w:bookmarkStart w:id="0" w:name="_GoBack"/>
      <w:bookmarkEnd w:id="0"/>
      <w:r>
        <w:rPr>
          <w:rFonts w:hint="eastAsia" w:ascii="仿宋" w:hAnsi="仿宋" w:eastAsia="仿宋" w:cs="仿宋"/>
          <w:color w:val="auto"/>
          <w:sz w:val="30"/>
          <w:szCs w:val="30"/>
          <w:lang w:val="en-US" w:eastAsia="zh-CN"/>
        </w:rPr>
        <w:t>，其中：</w:t>
      </w: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一</w:t>
      </w:r>
      <w:r>
        <w:rPr>
          <w:rFonts w:ascii="仿宋" w:hAnsi="仿宋" w:eastAsia="仿宋" w:cs="仿宋"/>
          <w:color w:val="auto"/>
          <w:sz w:val="30"/>
          <w:szCs w:val="30"/>
        </w:rPr>
        <w:t>）</w:t>
      </w:r>
      <w:r>
        <w:rPr>
          <w:rFonts w:hint="eastAsia" w:ascii="仿宋" w:hAnsi="仿宋" w:eastAsia="仿宋" w:cs="仿宋"/>
          <w:color w:val="auto"/>
          <w:sz w:val="30"/>
          <w:szCs w:val="30"/>
        </w:rPr>
        <w:t>智慧校园</w:t>
      </w:r>
      <w:r>
        <w:rPr>
          <w:rFonts w:ascii="仿宋" w:hAnsi="仿宋" w:eastAsia="仿宋" w:cs="仿宋"/>
          <w:color w:val="auto"/>
          <w:sz w:val="30"/>
          <w:szCs w:val="30"/>
        </w:rPr>
        <w:t>人脸、车牌识别</w:t>
      </w:r>
      <w:r>
        <w:rPr>
          <w:rFonts w:hint="eastAsia" w:ascii="仿宋" w:hAnsi="仿宋" w:eastAsia="仿宋" w:cs="仿宋"/>
          <w:color w:val="auto"/>
          <w:sz w:val="30"/>
          <w:szCs w:val="30"/>
        </w:rPr>
        <w:t>考勤</w:t>
      </w:r>
      <w:r>
        <w:rPr>
          <w:rFonts w:ascii="仿宋" w:hAnsi="仿宋" w:eastAsia="仿宋" w:cs="仿宋"/>
          <w:color w:val="auto"/>
          <w:sz w:val="30"/>
          <w:szCs w:val="30"/>
        </w:rPr>
        <w:t>请假系统服务</w:t>
      </w:r>
      <w:r>
        <w:rPr>
          <w:rFonts w:hint="eastAsia" w:ascii="仿宋" w:hAnsi="仿宋" w:eastAsia="仿宋" w:cs="仿宋"/>
          <w:color w:val="auto"/>
          <w:sz w:val="30"/>
          <w:szCs w:val="30"/>
        </w:rPr>
        <w:t>项目</w:t>
      </w:r>
      <w:r>
        <w:rPr>
          <w:rFonts w:hint="eastAsia" w:ascii="仿宋" w:hAnsi="仿宋" w:eastAsia="仿宋" w:cs="仿宋"/>
          <w:color w:val="auto"/>
          <w:sz w:val="30"/>
          <w:szCs w:val="30"/>
          <w:lang w:eastAsia="zh-CN"/>
        </w:rPr>
        <w:t>预算为：</w:t>
      </w:r>
      <w:r>
        <w:rPr>
          <w:rFonts w:hint="eastAsia" w:ascii="仿宋" w:hAnsi="仿宋" w:eastAsia="仿宋" w:cs="仿宋"/>
          <w:color w:val="auto"/>
          <w:sz w:val="30"/>
          <w:szCs w:val="30"/>
          <w:lang w:val="en-US" w:eastAsia="zh-CN"/>
        </w:rPr>
        <w:t>98000.00元，</w:t>
      </w: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二</w:t>
      </w:r>
      <w:r>
        <w:rPr>
          <w:rFonts w:ascii="仿宋" w:hAnsi="仿宋" w:eastAsia="仿宋" w:cs="仿宋"/>
          <w:color w:val="auto"/>
          <w:sz w:val="30"/>
          <w:szCs w:val="30"/>
        </w:rPr>
        <w:t>）</w:t>
      </w:r>
      <w:r>
        <w:rPr>
          <w:rFonts w:hint="eastAsia" w:ascii="仿宋" w:hAnsi="仿宋" w:eastAsia="仿宋" w:cs="仿宋"/>
          <w:color w:val="auto"/>
          <w:sz w:val="30"/>
          <w:szCs w:val="30"/>
        </w:rPr>
        <w:t>相思湖校区安全门</w:t>
      </w:r>
      <w:r>
        <w:rPr>
          <w:rFonts w:hint="eastAsia" w:ascii="仿宋" w:hAnsi="仿宋" w:eastAsia="仿宋" w:cs="仿宋"/>
          <w:color w:val="auto"/>
          <w:sz w:val="30"/>
          <w:szCs w:val="30"/>
          <w:highlight w:val="none"/>
        </w:rPr>
        <w:t>禁（南门）项目</w:t>
      </w:r>
      <w:r>
        <w:rPr>
          <w:rFonts w:hint="eastAsia" w:ascii="仿宋" w:hAnsi="仿宋" w:eastAsia="仿宋" w:cs="仿宋"/>
          <w:color w:val="auto"/>
          <w:sz w:val="30"/>
          <w:szCs w:val="30"/>
          <w:highlight w:val="none"/>
          <w:lang w:eastAsia="zh-CN"/>
        </w:rPr>
        <w:t>预算为：</w:t>
      </w:r>
      <w:r>
        <w:rPr>
          <w:rFonts w:hint="eastAsia" w:ascii="仿宋" w:hAnsi="仿宋" w:eastAsia="仿宋" w:cs="仿宋"/>
          <w:color w:val="auto"/>
          <w:sz w:val="30"/>
          <w:szCs w:val="30"/>
          <w:highlight w:val="none"/>
          <w:lang w:val="en-US" w:eastAsia="zh-CN"/>
        </w:rPr>
        <w:t>81220.00元，两</w:t>
      </w:r>
      <w:r>
        <w:rPr>
          <w:rFonts w:hint="eastAsia" w:ascii="仿宋" w:hAnsi="仿宋" w:eastAsia="仿宋" w:cs="仿宋"/>
          <w:color w:val="auto"/>
          <w:sz w:val="30"/>
          <w:szCs w:val="30"/>
          <w:lang w:val="en-US" w:eastAsia="zh-CN"/>
        </w:rPr>
        <w:t>个子项目资金分别支付。</w:t>
      </w:r>
    </w:p>
    <w:p w14:paraId="43D5FE25">
      <w:pPr>
        <w:pStyle w:val="2"/>
        <w:rPr>
          <w:rFonts w:ascii="仿宋" w:hAnsi="仿宋" w:eastAsia="仿宋" w:cs="仿宋"/>
          <w:color w:val="auto"/>
          <w:sz w:val="30"/>
          <w:szCs w:val="30"/>
        </w:rPr>
      </w:pP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一</w:t>
      </w:r>
      <w:r>
        <w:rPr>
          <w:rFonts w:ascii="仿宋" w:hAnsi="仿宋" w:eastAsia="仿宋" w:cs="仿宋"/>
          <w:color w:val="auto"/>
          <w:sz w:val="30"/>
          <w:szCs w:val="30"/>
        </w:rPr>
        <w:t>）</w:t>
      </w:r>
      <w:r>
        <w:rPr>
          <w:rFonts w:hint="eastAsia" w:ascii="仿宋" w:hAnsi="仿宋" w:eastAsia="仿宋" w:cs="仿宋"/>
          <w:color w:val="auto"/>
          <w:sz w:val="30"/>
          <w:szCs w:val="30"/>
        </w:rPr>
        <w:t>智慧校园</w:t>
      </w:r>
      <w:r>
        <w:rPr>
          <w:rFonts w:ascii="仿宋" w:hAnsi="仿宋" w:eastAsia="仿宋" w:cs="仿宋"/>
          <w:color w:val="auto"/>
          <w:sz w:val="30"/>
          <w:szCs w:val="30"/>
        </w:rPr>
        <w:t>人脸、车牌识别</w:t>
      </w:r>
      <w:r>
        <w:rPr>
          <w:rFonts w:hint="eastAsia" w:ascii="仿宋" w:hAnsi="仿宋" w:eastAsia="仿宋" w:cs="仿宋"/>
          <w:color w:val="auto"/>
          <w:sz w:val="30"/>
          <w:szCs w:val="30"/>
        </w:rPr>
        <w:t>考勤</w:t>
      </w:r>
      <w:r>
        <w:rPr>
          <w:rFonts w:ascii="仿宋" w:hAnsi="仿宋" w:eastAsia="仿宋" w:cs="仿宋"/>
          <w:color w:val="auto"/>
          <w:sz w:val="30"/>
          <w:szCs w:val="30"/>
        </w:rPr>
        <w:t>请假系统服务</w:t>
      </w:r>
      <w:r>
        <w:rPr>
          <w:rFonts w:hint="eastAsia" w:ascii="仿宋" w:hAnsi="仿宋" w:eastAsia="仿宋" w:cs="仿宋"/>
          <w:color w:val="auto"/>
          <w:sz w:val="30"/>
          <w:szCs w:val="30"/>
        </w:rPr>
        <w:t>项目</w:t>
      </w:r>
    </w:p>
    <w:tbl>
      <w:tblPr>
        <w:tblStyle w:val="21"/>
        <w:tblW w:w="9537" w:type="dxa"/>
        <w:jc w:val="center"/>
        <w:tblLayout w:type="fixed"/>
        <w:tblCellMar>
          <w:top w:w="0" w:type="dxa"/>
          <w:left w:w="0" w:type="dxa"/>
          <w:bottom w:w="0" w:type="dxa"/>
          <w:right w:w="0" w:type="dxa"/>
        </w:tblCellMar>
      </w:tblPr>
      <w:tblGrid>
        <w:gridCol w:w="20"/>
        <w:gridCol w:w="602"/>
        <w:gridCol w:w="20"/>
        <w:gridCol w:w="705"/>
        <w:gridCol w:w="20"/>
        <w:gridCol w:w="5520"/>
        <w:gridCol w:w="20"/>
        <w:gridCol w:w="510"/>
        <w:gridCol w:w="20"/>
        <w:gridCol w:w="610"/>
        <w:gridCol w:w="20"/>
        <w:gridCol w:w="715"/>
        <w:gridCol w:w="20"/>
        <w:gridCol w:w="715"/>
        <w:gridCol w:w="20"/>
      </w:tblGrid>
      <w:tr w14:paraId="4EB64495">
        <w:tblPrEx>
          <w:tblCellMar>
            <w:top w:w="0" w:type="dxa"/>
            <w:left w:w="0" w:type="dxa"/>
            <w:bottom w:w="0" w:type="dxa"/>
            <w:right w:w="0" w:type="dxa"/>
          </w:tblCellMar>
        </w:tblPrEx>
        <w:trPr>
          <w:gridBefore w:val="1"/>
          <w:wBefore w:w="20" w:type="dxa"/>
          <w:trHeight w:val="720" w:hRule="atLeast"/>
          <w:jc w:val="center"/>
        </w:trPr>
        <w:tc>
          <w:tcPr>
            <w:tcW w:w="62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1F1E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序号</w:t>
            </w:r>
          </w:p>
        </w:tc>
        <w:tc>
          <w:tcPr>
            <w:tcW w:w="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211E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需求品类</w:t>
            </w:r>
          </w:p>
        </w:tc>
        <w:tc>
          <w:tcPr>
            <w:tcW w:w="55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4BA09F">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技术需求</w:t>
            </w:r>
          </w:p>
          <w:p w14:paraId="7245E11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p>
        </w:tc>
        <w:tc>
          <w:tcPr>
            <w:tcW w:w="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3A04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单位</w:t>
            </w:r>
          </w:p>
        </w:tc>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E790D6">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数量</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97AD4">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控制单价（元）</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40ABAA">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总价（元）</w:t>
            </w:r>
          </w:p>
        </w:tc>
      </w:tr>
      <w:tr w14:paraId="341765B7">
        <w:tblPrEx>
          <w:tblCellMar>
            <w:top w:w="0" w:type="dxa"/>
            <w:left w:w="0" w:type="dxa"/>
            <w:bottom w:w="0" w:type="dxa"/>
            <w:right w:w="0" w:type="dxa"/>
          </w:tblCellMar>
        </w:tblPrEx>
        <w:trPr>
          <w:gridBefore w:val="1"/>
          <w:wBefore w:w="20" w:type="dxa"/>
          <w:trHeight w:val="948" w:hRule="atLeast"/>
          <w:jc w:val="center"/>
        </w:trPr>
        <w:tc>
          <w:tcPr>
            <w:tcW w:w="622" w:type="dxa"/>
            <w:gridSpan w:val="2"/>
            <w:tcBorders>
              <w:top w:val="single" w:color="000000" w:sz="4" w:space="0"/>
              <w:left w:val="single" w:color="000000" w:sz="4" w:space="0"/>
              <w:bottom w:val="single" w:color="000000" w:sz="4" w:space="0"/>
              <w:right w:val="single" w:color="000000" w:sz="4" w:space="0"/>
            </w:tcBorders>
            <w:noWrap/>
            <w:vAlign w:val="center"/>
          </w:tcPr>
          <w:p w14:paraId="6DC98965">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1</w:t>
            </w:r>
          </w:p>
        </w:tc>
        <w:tc>
          <w:tcPr>
            <w:tcW w:w="725" w:type="dxa"/>
            <w:gridSpan w:val="2"/>
            <w:tcBorders>
              <w:top w:val="single" w:color="000000" w:sz="4" w:space="0"/>
              <w:left w:val="single" w:color="000000" w:sz="4" w:space="0"/>
              <w:bottom w:val="single" w:color="000000" w:sz="4" w:space="0"/>
              <w:right w:val="single" w:color="000000" w:sz="4" w:space="0"/>
            </w:tcBorders>
            <w:vAlign w:val="center"/>
          </w:tcPr>
          <w:p w14:paraId="26918001">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2026年维保</w:t>
            </w:r>
          </w:p>
        </w:tc>
        <w:tc>
          <w:tcPr>
            <w:tcW w:w="5540" w:type="dxa"/>
            <w:gridSpan w:val="2"/>
            <w:tcBorders>
              <w:top w:val="single" w:color="000000" w:sz="4" w:space="0"/>
              <w:left w:val="single" w:color="000000" w:sz="4" w:space="0"/>
              <w:bottom w:val="single" w:color="000000" w:sz="4" w:space="0"/>
              <w:right w:val="single" w:color="000000" w:sz="4" w:space="0"/>
            </w:tcBorders>
            <w:vAlign w:val="center"/>
          </w:tcPr>
          <w:p w14:paraId="52E12CB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cs="仿宋_GB2312" w:eastAsiaTheme="minorEastAsia"/>
                <w:color w:val="auto"/>
                <w:kern w:val="0"/>
                <w:sz w:val="24"/>
                <w:szCs w:val="24"/>
                <w:lang w:eastAsia="zh-CN" w:bidi="ar"/>
              </w:rPr>
            </w:pPr>
            <w:r>
              <w:rPr>
                <w:rFonts w:hint="eastAsia" w:ascii="仿宋_GB2312" w:hAnsi="仿宋_GB2312" w:eastAsia="仿宋_GB2312" w:cs="仿宋_GB2312"/>
                <w:color w:val="auto"/>
                <w:kern w:val="0"/>
                <w:sz w:val="24"/>
                <w:szCs w:val="24"/>
                <w:lang w:bidi="ar"/>
              </w:rPr>
              <w:t>软件：原有智慧校园人脸、车牌识别考勤请假系统一年运维服务。</w:t>
            </w:r>
            <w:r>
              <w:rPr>
                <w:rFonts w:hint="eastAsia" w:ascii="仿宋_GB2312" w:hAnsi="仿宋_GB2312" w:eastAsia="仿宋_GB2312" w:cs="仿宋_GB2312"/>
                <w:color w:val="auto"/>
                <w:sz w:val="24"/>
                <w:lang w:eastAsia="zh-CN"/>
              </w:rPr>
              <w:t>（相思湖校区、黎塘校区）</w:t>
            </w:r>
          </w:p>
          <w:p w14:paraId="75A5CE0E">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eastAsia="zh-CN" w:bidi="ar"/>
              </w:rPr>
              <w:t>相思湖校区大门和黎塘校区大门</w:t>
            </w:r>
            <w:r>
              <w:rPr>
                <w:rFonts w:hint="eastAsia" w:ascii="仿宋_GB2312" w:hAnsi="仿宋_GB2312" w:eastAsia="仿宋_GB2312" w:cs="仿宋_GB2312"/>
                <w:color w:val="auto"/>
                <w:kern w:val="0"/>
                <w:sz w:val="24"/>
                <w:szCs w:val="24"/>
                <w:lang w:bidi="ar"/>
              </w:rPr>
              <w:t>原有硬件设备维保服务一年：1、人脸摄像头（10个）2、刷卡读卡器（6个）3、车牌识别摄像头（8台）、4、单机芯摆闸（2台）5、双机芯摆闸（1台）</w:t>
            </w:r>
          </w:p>
        </w:tc>
        <w:tc>
          <w:tcPr>
            <w:tcW w:w="530" w:type="dxa"/>
            <w:gridSpan w:val="2"/>
            <w:tcBorders>
              <w:top w:val="single" w:color="000000" w:sz="4" w:space="0"/>
              <w:left w:val="single" w:color="000000" w:sz="4" w:space="0"/>
              <w:bottom w:val="single" w:color="000000" w:sz="4" w:space="0"/>
              <w:right w:val="single" w:color="000000" w:sz="4" w:space="0"/>
            </w:tcBorders>
            <w:vAlign w:val="center"/>
          </w:tcPr>
          <w:p w14:paraId="3AD0463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项</w:t>
            </w:r>
          </w:p>
        </w:tc>
        <w:tc>
          <w:tcPr>
            <w:tcW w:w="630" w:type="dxa"/>
            <w:gridSpan w:val="2"/>
            <w:tcBorders>
              <w:top w:val="single" w:color="000000" w:sz="4" w:space="0"/>
              <w:left w:val="single" w:color="000000" w:sz="4" w:space="0"/>
              <w:bottom w:val="single" w:color="000000" w:sz="4" w:space="0"/>
              <w:right w:val="single" w:color="000000" w:sz="4" w:space="0"/>
            </w:tcBorders>
            <w:vAlign w:val="center"/>
          </w:tcPr>
          <w:p w14:paraId="18C0CE4A">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1</w:t>
            </w:r>
          </w:p>
        </w:tc>
        <w:tc>
          <w:tcPr>
            <w:tcW w:w="735" w:type="dxa"/>
            <w:gridSpan w:val="2"/>
            <w:tcBorders>
              <w:top w:val="single" w:color="000000" w:sz="4" w:space="0"/>
              <w:left w:val="single" w:color="000000" w:sz="4" w:space="0"/>
              <w:bottom w:val="single" w:color="000000" w:sz="4" w:space="0"/>
              <w:right w:val="single" w:color="000000" w:sz="4" w:space="0"/>
            </w:tcBorders>
            <w:vAlign w:val="center"/>
          </w:tcPr>
          <w:p w14:paraId="42FA7AB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4"/>
                <w:szCs w:val="24"/>
                <w:lang w:val="en-US" w:eastAsia="zh-CN" w:bidi="ar"/>
              </w:rPr>
              <w:t>73100</w:t>
            </w:r>
          </w:p>
        </w:tc>
        <w:tc>
          <w:tcPr>
            <w:tcW w:w="735" w:type="dxa"/>
            <w:gridSpan w:val="2"/>
            <w:tcBorders>
              <w:top w:val="single" w:color="000000" w:sz="4" w:space="0"/>
              <w:left w:val="single" w:color="000000" w:sz="4" w:space="0"/>
              <w:bottom w:val="single" w:color="000000" w:sz="4" w:space="0"/>
              <w:right w:val="single" w:color="000000" w:sz="4" w:space="0"/>
            </w:tcBorders>
            <w:vAlign w:val="center"/>
          </w:tcPr>
          <w:p w14:paraId="3AABF655">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4"/>
                <w:szCs w:val="24"/>
                <w:lang w:val="en-US" w:eastAsia="zh-CN" w:bidi="ar"/>
              </w:rPr>
              <w:t>73100</w:t>
            </w:r>
          </w:p>
        </w:tc>
      </w:tr>
      <w:tr w14:paraId="79E36180">
        <w:tblPrEx>
          <w:tblCellMar>
            <w:top w:w="0" w:type="dxa"/>
            <w:left w:w="0" w:type="dxa"/>
            <w:bottom w:w="0" w:type="dxa"/>
            <w:right w:w="0" w:type="dxa"/>
          </w:tblCellMar>
        </w:tblPrEx>
        <w:trPr>
          <w:gridAfter w:val="1"/>
          <w:wAfter w:w="20" w:type="dxa"/>
          <w:trHeight w:val="533" w:hRule="atLeast"/>
          <w:jc w:val="center"/>
        </w:trPr>
        <w:tc>
          <w:tcPr>
            <w:tcW w:w="9517" w:type="dxa"/>
            <w:gridSpan w:val="14"/>
            <w:tcBorders>
              <w:top w:val="single" w:color="auto" w:sz="4" w:space="0"/>
              <w:left w:val="single" w:color="auto" w:sz="4" w:space="0"/>
              <w:bottom w:val="single" w:color="auto" w:sz="4" w:space="0"/>
              <w:right w:val="single" w:color="auto" w:sz="4" w:space="0"/>
            </w:tcBorders>
            <w:noWrap/>
            <w:vAlign w:val="center"/>
          </w:tcPr>
          <w:p w14:paraId="1F808639">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新增设备</w:t>
            </w:r>
          </w:p>
        </w:tc>
      </w:tr>
      <w:tr w14:paraId="1F1F348F">
        <w:tblPrEx>
          <w:tblCellMar>
            <w:top w:w="0" w:type="dxa"/>
            <w:left w:w="0" w:type="dxa"/>
            <w:bottom w:w="0" w:type="dxa"/>
            <w:right w:w="0" w:type="dxa"/>
          </w:tblCellMar>
        </w:tblPrEx>
        <w:trPr>
          <w:gridAfter w:val="1"/>
          <w:wAfter w:w="20" w:type="dxa"/>
          <w:trHeight w:val="1203" w:hRule="atLeast"/>
          <w:jc w:val="center"/>
        </w:trPr>
        <w:tc>
          <w:tcPr>
            <w:tcW w:w="622" w:type="dxa"/>
            <w:gridSpan w:val="2"/>
            <w:tcBorders>
              <w:top w:val="single" w:color="auto" w:sz="4" w:space="0"/>
              <w:left w:val="single" w:color="auto" w:sz="4" w:space="0"/>
              <w:bottom w:val="single" w:color="auto" w:sz="4" w:space="0"/>
              <w:right w:val="single" w:color="auto" w:sz="4" w:space="0"/>
            </w:tcBorders>
            <w:noWrap/>
            <w:vAlign w:val="center"/>
          </w:tcPr>
          <w:p w14:paraId="00ADBEA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2</w:t>
            </w:r>
          </w:p>
        </w:tc>
        <w:tc>
          <w:tcPr>
            <w:tcW w:w="725" w:type="dxa"/>
            <w:gridSpan w:val="2"/>
            <w:tcBorders>
              <w:top w:val="single" w:color="auto" w:sz="4" w:space="0"/>
              <w:left w:val="single" w:color="auto" w:sz="4" w:space="0"/>
              <w:bottom w:val="single" w:color="auto" w:sz="4" w:space="0"/>
              <w:right w:val="single" w:color="auto" w:sz="4" w:space="0"/>
            </w:tcBorders>
            <w:vAlign w:val="center"/>
          </w:tcPr>
          <w:p w14:paraId="17D338FF">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广告道闸机</w:t>
            </w:r>
          </w:p>
        </w:tc>
        <w:tc>
          <w:tcPr>
            <w:tcW w:w="5540" w:type="dxa"/>
            <w:gridSpan w:val="2"/>
            <w:tcBorders>
              <w:top w:val="single" w:color="auto" w:sz="4" w:space="0"/>
              <w:left w:val="single" w:color="auto" w:sz="4" w:space="0"/>
              <w:bottom w:val="single" w:color="auto" w:sz="4" w:space="0"/>
              <w:right w:val="single" w:color="auto" w:sz="4" w:space="0"/>
            </w:tcBorders>
            <w:vAlign w:val="center"/>
          </w:tcPr>
          <w:p w14:paraId="7B16FFA9">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1、电源适配性 AC 220V±10% 50／60HZ；DC24V，15A；</w:t>
            </w:r>
          </w:p>
          <w:p w14:paraId="1FEFB85B">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 xml:space="preserve">2、电机额定功率 180W； </w:t>
            </w:r>
          </w:p>
          <w:p w14:paraId="378D68F8">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3、电机驱动 直流无刷电机；</w:t>
            </w:r>
          </w:p>
          <w:p w14:paraId="57635AD5">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4、机箱颜色 ；</w:t>
            </w:r>
          </w:p>
          <w:p w14:paraId="3E2BD732">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5、外表工艺 喷粉烤漆；</w:t>
            </w:r>
          </w:p>
          <w:p w14:paraId="0BF1B0BE">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6、闸杆材质 铝型材；</w:t>
            </w:r>
          </w:p>
          <w:p w14:paraId="6F406B33">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7、遥控距离 空旷地带≤30m；</w:t>
            </w:r>
          </w:p>
          <w:p w14:paraId="52BBAC1B">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8、遥控频率 433MHz,学习码，最多独立配10个遥控码，防复制遥控器；</w:t>
            </w:r>
          </w:p>
          <w:p w14:paraId="7BD5FFFB">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9、机箱材质 冷轧钢板，T=1.5mm；</w:t>
            </w:r>
          </w:p>
          <w:p w14:paraId="71190B16">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10、工作温度 -25℃～+75℃；</w:t>
            </w:r>
          </w:p>
          <w:p w14:paraId="2B4BDC61">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11、工作湿度 90%RH以下(无凝露)；</w:t>
            </w:r>
          </w:p>
          <w:p w14:paraId="0C21E10E">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12、防护等级 IP54；</w:t>
            </w:r>
          </w:p>
          <w:p w14:paraId="7F47D550">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13、机箱尺寸 1100×420×281mm；</w:t>
            </w:r>
          </w:p>
          <w:p w14:paraId="70DD1ACD">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14、主机灯箱画面尺寸 994×364mm；</w:t>
            </w:r>
          </w:p>
          <w:p w14:paraId="73EF0627">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15、起落速度 3-6s可调；</w:t>
            </w:r>
          </w:p>
          <w:p w14:paraId="7A7DE606">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16、主机包装尺寸 1120×440×320mm；</w:t>
            </w:r>
          </w:p>
          <w:p w14:paraId="6C5854D0">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17、主机重量(毛重) 48±1kg；</w:t>
            </w:r>
          </w:p>
          <w:p w14:paraId="761DD43F">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18、使用寿命 ≥200W开关起落次数）</w:t>
            </w:r>
          </w:p>
          <w:p w14:paraId="6D6EBBE2">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p>
        </w:tc>
        <w:tc>
          <w:tcPr>
            <w:tcW w:w="530" w:type="dxa"/>
            <w:gridSpan w:val="2"/>
            <w:tcBorders>
              <w:top w:val="single" w:color="auto" w:sz="4" w:space="0"/>
              <w:left w:val="single" w:color="auto" w:sz="4" w:space="0"/>
              <w:bottom w:val="single" w:color="auto" w:sz="4" w:space="0"/>
              <w:right w:val="single" w:color="auto" w:sz="4" w:space="0"/>
            </w:tcBorders>
            <w:vAlign w:val="center"/>
          </w:tcPr>
          <w:p w14:paraId="7321C182">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台</w:t>
            </w:r>
          </w:p>
        </w:tc>
        <w:tc>
          <w:tcPr>
            <w:tcW w:w="630" w:type="dxa"/>
            <w:gridSpan w:val="2"/>
            <w:tcBorders>
              <w:top w:val="single" w:color="auto" w:sz="4" w:space="0"/>
              <w:left w:val="single" w:color="auto" w:sz="4" w:space="0"/>
              <w:bottom w:val="single" w:color="auto" w:sz="4" w:space="0"/>
              <w:right w:val="single" w:color="auto" w:sz="4" w:space="0"/>
            </w:tcBorders>
            <w:vAlign w:val="center"/>
          </w:tcPr>
          <w:p w14:paraId="322AADE9">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4F3F7425">
            <w:pPr>
              <w:keepNext w:val="0"/>
              <w:keepLines w:val="0"/>
              <w:pageBreakBefore w:val="0"/>
              <w:kinsoku/>
              <w:wordWrap/>
              <w:overflowPunct/>
              <w:topLinePunct w:val="0"/>
              <w:autoSpaceDE/>
              <w:autoSpaceDN/>
              <w:bidi w:val="0"/>
              <w:adjustRightInd/>
              <w:snapToGrid/>
              <w:spacing w:line="240" w:lineRule="auto"/>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90000</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4E1B8D9F">
            <w:pPr>
              <w:keepNext w:val="0"/>
              <w:keepLines w:val="0"/>
              <w:pageBreakBefore w:val="0"/>
              <w:kinsoku/>
              <w:wordWrap/>
              <w:overflowPunct/>
              <w:topLinePunct w:val="0"/>
              <w:autoSpaceDE/>
              <w:autoSpaceDN/>
              <w:bidi w:val="0"/>
              <w:adjustRightInd/>
              <w:snapToGrid/>
              <w:spacing w:line="240" w:lineRule="auto"/>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18000</w:t>
            </w:r>
          </w:p>
        </w:tc>
      </w:tr>
      <w:tr w14:paraId="43A5E3D2">
        <w:tblPrEx>
          <w:tblCellMar>
            <w:top w:w="0" w:type="dxa"/>
            <w:left w:w="0" w:type="dxa"/>
            <w:bottom w:w="0" w:type="dxa"/>
            <w:right w:w="0" w:type="dxa"/>
          </w:tblCellMar>
        </w:tblPrEx>
        <w:trPr>
          <w:gridAfter w:val="1"/>
          <w:wAfter w:w="20" w:type="dxa"/>
          <w:trHeight w:val="1671" w:hRule="atLeast"/>
          <w:jc w:val="center"/>
        </w:trPr>
        <w:tc>
          <w:tcPr>
            <w:tcW w:w="622" w:type="dxa"/>
            <w:gridSpan w:val="2"/>
            <w:tcBorders>
              <w:top w:val="single" w:color="auto" w:sz="4" w:space="0"/>
              <w:left w:val="single" w:color="auto" w:sz="4" w:space="0"/>
              <w:bottom w:val="single" w:color="auto" w:sz="4" w:space="0"/>
              <w:right w:val="single" w:color="auto" w:sz="4" w:space="0"/>
            </w:tcBorders>
            <w:noWrap/>
            <w:vAlign w:val="center"/>
          </w:tcPr>
          <w:p w14:paraId="45C6A49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3</w:t>
            </w:r>
          </w:p>
        </w:tc>
        <w:tc>
          <w:tcPr>
            <w:tcW w:w="725" w:type="dxa"/>
            <w:gridSpan w:val="2"/>
            <w:tcBorders>
              <w:top w:val="single" w:color="auto" w:sz="4" w:space="0"/>
              <w:left w:val="single" w:color="auto" w:sz="4" w:space="0"/>
              <w:bottom w:val="single" w:color="auto" w:sz="4" w:space="0"/>
              <w:right w:val="single" w:color="auto" w:sz="4" w:space="0"/>
            </w:tcBorders>
            <w:vAlign w:val="center"/>
          </w:tcPr>
          <w:p w14:paraId="6D1D7CEF">
            <w:pPr>
              <w:keepNext w:val="0"/>
              <w:keepLines w:val="0"/>
              <w:pageBreakBefore w:val="0"/>
              <w:kinsoku/>
              <w:wordWrap/>
              <w:overflowPunct/>
              <w:topLinePunct w:val="0"/>
              <w:autoSpaceDE/>
              <w:autoSpaceDN/>
              <w:bidi w:val="0"/>
              <w:adjustRightInd/>
              <w:snapToGrid/>
              <w:spacing w:line="240" w:lineRule="auto"/>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rPr>
              <w:t>防砸雷达</w:t>
            </w:r>
          </w:p>
        </w:tc>
        <w:tc>
          <w:tcPr>
            <w:tcW w:w="5540" w:type="dxa"/>
            <w:gridSpan w:val="2"/>
            <w:tcBorders>
              <w:top w:val="single" w:color="auto" w:sz="4" w:space="0"/>
              <w:left w:val="single" w:color="auto" w:sz="4" w:space="0"/>
              <w:bottom w:val="single" w:color="auto" w:sz="4" w:space="0"/>
              <w:right w:val="single" w:color="auto" w:sz="4" w:space="0"/>
            </w:tcBorders>
            <w:vAlign w:val="center"/>
          </w:tcPr>
          <w:p w14:paraId="69DCFCB0">
            <w:pPr>
              <w:keepNext w:val="0"/>
              <w:keepLines w:val="0"/>
              <w:pageBreakBefore w:val="0"/>
              <w:numPr>
                <w:ilvl w:val="0"/>
                <w:numId w:val="1"/>
              </w:numPr>
              <w:kinsoku/>
              <w:wordWrap/>
              <w:overflowPunct/>
              <w:topLinePunct w:val="0"/>
              <w:autoSpaceDE/>
              <w:autoSpaceDN/>
              <w:bidi w:val="0"/>
              <w:adjustRightInd/>
              <w:snapToGrid/>
              <w:spacing w:after="0" w:line="240" w:lineRule="auto"/>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工作电压: AC230/110V±10%50HZ</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额定功率: 4.5W</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2</w:t>
            </w:r>
            <w:r>
              <w:rPr>
                <w:rFonts w:hint="eastAsia" w:ascii="仿宋_GB2312" w:hAnsi="仿宋_GB2312" w:eastAsia="仿宋_GB2312" w:cs="仿宋_GB2312"/>
                <w:bCs/>
                <w:color w:val="auto"/>
                <w:sz w:val="24"/>
                <w:szCs w:val="24"/>
              </w:rPr>
              <w:t>、</w:t>
            </w:r>
            <w:r>
              <w:rPr>
                <w:rFonts w:hint="eastAsia" w:ascii="仿宋_GB2312" w:hAnsi="仿宋_GB2312" w:eastAsia="仿宋_GB2312" w:cs="仿宋_GB2312"/>
                <w:color w:val="auto"/>
                <w:kern w:val="0"/>
                <w:sz w:val="24"/>
                <w:szCs w:val="24"/>
              </w:rPr>
              <w:t>工作频率: 20KHz~170KHz</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3</w:t>
            </w:r>
            <w:r>
              <w:rPr>
                <w:rFonts w:hint="eastAsia" w:ascii="仿宋_GB2312" w:hAnsi="仿宋_GB2312" w:eastAsia="仿宋_GB2312" w:cs="仿宋_GB2312"/>
                <w:bCs/>
                <w:color w:val="auto"/>
                <w:sz w:val="24"/>
                <w:szCs w:val="24"/>
              </w:rPr>
              <w:t>、</w:t>
            </w:r>
            <w:r>
              <w:rPr>
                <w:rFonts w:hint="eastAsia" w:ascii="仿宋_GB2312" w:hAnsi="仿宋_GB2312" w:eastAsia="仿宋_GB2312" w:cs="仿宋_GB2312"/>
                <w:color w:val="auto"/>
                <w:kern w:val="0"/>
                <w:sz w:val="24"/>
                <w:szCs w:val="24"/>
              </w:rPr>
              <w:t>反应时间: 100ms</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4</w:t>
            </w:r>
            <w:r>
              <w:rPr>
                <w:rFonts w:hint="eastAsia" w:ascii="仿宋_GB2312" w:hAnsi="仿宋_GB2312" w:eastAsia="仿宋_GB2312" w:cs="仿宋_GB2312"/>
                <w:bCs/>
                <w:color w:val="auto"/>
                <w:sz w:val="24"/>
                <w:szCs w:val="24"/>
              </w:rPr>
              <w:t>、</w:t>
            </w:r>
            <w:r>
              <w:rPr>
                <w:rFonts w:hint="eastAsia" w:ascii="仿宋_GB2312" w:hAnsi="仿宋_GB2312" w:eastAsia="仿宋_GB2312" w:cs="仿宋_GB2312"/>
                <w:color w:val="auto"/>
                <w:kern w:val="0"/>
                <w:sz w:val="24"/>
                <w:szCs w:val="24"/>
              </w:rPr>
              <w:t>灵敏度: 三级可调</w:t>
            </w:r>
          </w:p>
          <w:p w14:paraId="1BCEA12A">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kern w:val="0"/>
                <w:sz w:val="24"/>
                <w:szCs w:val="24"/>
              </w:rPr>
            </w:pPr>
          </w:p>
        </w:tc>
        <w:tc>
          <w:tcPr>
            <w:tcW w:w="530" w:type="dxa"/>
            <w:gridSpan w:val="2"/>
            <w:tcBorders>
              <w:top w:val="single" w:color="auto" w:sz="4" w:space="0"/>
              <w:left w:val="single" w:color="auto" w:sz="4" w:space="0"/>
              <w:bottom w:val="single" w:color="auto" w:sz="4" w:space="0"/>
              <w:right w:val="single" w:color="auto" w:sz="4" w:space="0"/>
            </w:tcBorders>
            <w:vAlign w:val="center"/>
          </w:tcPr>
          <w:p w14:paraId="4D931FD7">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个</w:t>
            </w:r>
          </w:p>
        </w:tc>
        <w:tc>
          <w:tcPr>
            <w:tcW w:w="630" w:type="dxa"/>
            <w:gridSpan w:val="2"/>
            <w:tcBorders>
              <w:top w:val="single" w:color="auto" w:sz="4" w:space="0"/>
              <w:left w:val="single" w:color="auto" w:sz="4" w:space="0"/>
              <w:bottom w:val="single" w:color="auto" w:sz="4" w:space="0"/>
              <w:right w:val="single" w:color="auto" w:sz="4" w:space="0"/>
            </w:tcBorders>
            <w:vAlign w:val="center"/>
          </w:tcPr>
          <w:p w14:paraId="27EA0CAB">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4</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4E342B4A">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800</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06FF4621">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3200</w:t>
            </w:r>
          </w:p>
        </w:tc>
      </w:tr>
      <w:tr w14:paraId="7E36270C">
        <w:tblPrEx>
          <w:tblCellMar>
            <w:top w:w="0" w:type="dxa"/>
            <w:left w:w="0" w:type="dxa"/>
            <w:bottom w:w="0" w:type="dxa"/>
            <w:right w:w="0" w:type="dxa"/>
          </w:tblCellMar>
        </w:tblPrEx>
        <w:trPr>
          <w:gridAfter w:val="1"/>
          <w:wAfter w:w="20" w:type="dxa"/>
          <w:trHeight w:val="351" w:hRule="atLeast"/>
          <w:jc w:val="center"/>
        </w:trPr>
        <w:tc>
          <w:tcPr>
            <w:tcW w:w="622" w:type="dxa"/>
            <w:gridSpan w:val="2"/>
            <w:tcBorders>
              <w:top w:val="single" w:color="auto" w:sz="4" w:space="0"/>
              <w:left w:val="single" w:color="auto" w:sz="4" w:space="0"/>
              <w:bottom w:val="single" w:color="auto" w:sz="4" w:space="0"/>
              <w:right w:val="single" w:color="auto" w:sz="4" w:space="0"/>
            </w:tcBorders>
            <w:noWrap/>
            <w:vAlign w:val="center"/>
          </w:tcPr>
          <w:p w14:paraId="5588E58F">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4</w:t>
            </w:r>
          </w:p>
        </w:tc>
        <w:tc>
          <w:tcPr>
            <w:tcW w:w="725" w:type="dxa"/>
            <w:gridSpan w:val="2"/>
            <w:tcBorders>
              <w:top w:val="single" w:color="auto" w:sz="4" w:space="0"/>
              <w:left w:val="single" w:color="auto" w:sz="4" w:space="0"/>
              <w:bottom w:val="single" w:color="auto" w:sz="4" w:space="0"/>
              <w:right w:val="single" w:color="auto" w:sz="4" w:space="0"/>
            </w:tcBorders>
            <w:vAlign w:val="center"/>
          </w:tcPr>
          <w:p w14:paraId="0DFF0039">
            <w:pPr>
              <w:keepNext w:val="0"/>
              <w:keepLines w:val="0"/>
              <w:pageBreakBefore w:val="0"/>
              <w:kinsoku/>
              <w:wordWrap/>
              <w:overflowPunct/>
              <w:topLinePunct w:val="0"/>
              <w:autoSpaceDE/>
              <w:autoSpaceDN/>
              <w:bidi w:val="0"/>
              <w:adjustRightInd/>
              <w:snapToGrid/>
              <w:spacing w:line="240" w:lineRule="auto"/>
              <w:jc w:val="left"/>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安装调试费</w:t>
            </w:r>
          </w:p>
        </w:tc>
        <w:tc>
          <w:tcPr>
            <w:tcW w:w="5540" w:type="dxa"/>
            <w:gridSpan w:val="2"/>
            <w:tcBorders>
              <w:top w:val="single" w:color="auto" w:sz="4" w:space="0"/>
              <w:left w:val="single" w:color="auto" w:sz="4" w:space="0"/>
              <w:bottom w:val="single" w:color="auto" w:sz="4" w:space="0"/>
              <w:right w:val="single" w:color="auto" w:sz="4" w:space="0"/>
            </w:tcBorders>
            <w:vAlign w:val="center"/>
          </w:tcPr>
          <w:p w14:paraId="3703BC62">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color w:val="auto"/>
                <w:kern w:val="0"/>
                <w:sz w:val="24"/>
                <w:szCs w:val="24"/>
              </w:rPr>
              <w:t>备安装、调试、一年售后</w:t>
            </w:r>
          </w:p>
        </w:tc>
        <w:tc>
          <w:tcPr>
            <w:tcW w:w="530" w:type="dxa"/>
            <w:gridSpan w:val="2"/>
            <w:tcBorders>
              <w:top w:val="single" w:color="auto" w:sz="4" w:space="0"/>
              <w:left w:val="single" w:color="auto" w:sz="4" w:space="0"/>
              <w:bottom w:val="single" w:color="auto" w:sz="4" w:space="0"/>
              <w:right w:val="single" w:color="auto" w:sz="4" w:space="0"/>
            </w:tcBorders>
            <w:vAlign w:val="center"/>
          </w:tcPr>
          <w:p w14:paraId="4D0BDD43">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项</w:t>
            </w:r>
          </w:p>
        </w:tc>
        <w:tc>
          <w:tcPr>
            <w:tcW w:w="630" w:type="dxa"/>
            <w:gridSpan w:val="2"/>
            <w:tcBorders>
              <w:top w:val="single" w:color="auto" w:sz="4" w:space="0"/>
              <w:left w:val="single" w:color="auto" w:sz="4" w:space="0"/>
              <w:bottom w:val="single" w:color="auto" w:sz="4" w:space="0"/>
              <w:right w:val="single" w:color="auto" w:sz="4" w:space="0"/>
            </w:tcBorders>
            <w:vAlign w:val="center"/>
          </w:tcPr>
          <w:p w14:paraId="69CF190C">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2D6AE163">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3700</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53BBC3FB">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3700</w:t>
            </w:r>
          </w:p>
        </w:tc>
      </w:tr>
      <w:tr w14:paraId="0730A6A0">
        <w:tblPrEx>
          <w:tblCellMar>
            <w:top w:w="0" w:type="dxa"/>
            <w:left w:w="0" w:type="dxa"/>
            <w:bottom w:w="0" w:type="dxa"/>
            <w:right w:w="0" w:type="dxa"/>
          </w:tblCellMar>
        </w:tblPrEx>
        <w:trPr>
          <w:gridAfter w:val="1"/>
          <w:wAfter w:w="20" w:type="dxa"/>
          <w:trHeight w:val="847" w:hRule="atLeast"/>
          <w:jc w:val="center"/>
        </w:trPr>
        <w:tc>
          <w:tcPr>
            <w:tcW w:w="9517" w:type="dxa"/>
            <w:gridSpan w:val="14"/>
            <w:tcBorders>
              <w:top w:val="single" w:color="auto" w:sz="4" w:space="0"/>
              <w:left w:val="single" w:color="auto" w:sz="4" w:space="0"/>
              <w:bottom w:val="single" w:color="auto" w:sz="4" w:space="0"/>
              <w:right w:val="single" w:color="auto" w:sz="4" w:space="0"/>
            </w:tcBorders>
            <w:noWrap/>
            <w:vAlign w:val="center"/>
          </w:tcPr>
          <w:p w14:paraId="6E32C2D2">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rPr>
              <w:t>合计金额：玖万捌仟元整（小写：¥98000）</w:t>
            </w:r>
          </w:p>
        </w:tc>
      </w:tr>
    </w:tbl>
    <w:p w14:paraId="5168DCA6">
      <w:pPr>
        <w:spacing w:line="560" w:lineRule="exact"/>
        <w:rPr>
          <w:rFonts w:ascii="仿宋" w:hAnsi="仿宋" w:eastAsia="仿宋" w:cs="仿宋"/>
          <w:b/>
          <w:bCs/>
          <w:color w:val="auto"/>
          <w:sz w:val="30"/>
          <w:szCs w:val="30"/>
        </w:rPr>
      </w:pP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二</w:t>
      </w:r>
      <w:r>
        <w:rPr>
          <w:rFonts w:ascii="仿宋" w:hAnsi="仿宋" w:eastAsia="仿宋" w:cs="仿宋"/>
          <w:color w:val="auto"/>
          <w:sz w:val="30"/>
          <w:szCs w:val="30"/>
        </w:rPr>
        <w:t>）</w:t>
      </w:r>
      <w:r>
        <w:rPr>
          <w:rFonts w:hint="eastAsia" w:ascii="仿宋" w:hAnsi="仿宋" w:eastAsia="仿宋" w:cs="仿宋"/>
          <w:color w:val="auto"/>
          <w:sz w:val="30"/>
          <w:szCs w:val="30"/>
        </w:rPr>
        <w:t>相思湖校区安全门禁（南门）项目</w:t>
      </w:r>
    </w:p>
    <w:tbl>
      <w:tblPr>
        <w:tblStyle w:val="21"/>
        <w:tblW w:w="9517" w:type="dxa"/>
        <w:jc w:val="center"/>
        <w:tblLayout w:type="fixed"/>
        <w:tblCellMar>
          <w:top w:w="0" w:type="dxa"/>
          <w:left w:w="0" w:type="dxa"/>
          <w:bottom w:w="0" w:type="dxa"/>
          <w:right w:w="0" w:type="dxa"/>
        </w:tblCellMar>
      </w:tblPr>
      <w:tblGrid>
        <w:gridCol w:w="622"/>
        <w:gridCol w:w="810"/>
        <w:gridCol w:w="5385"/>
        <w:gridCol w:w="600"/>
        <w:gridCol w:w="630"/>
        <w:gridCol w:w="735"/>
        <w:gridCol w:w="735"/>
      </w:tblGrid>
      <w:tr w14:paraId="15C1AE18">
        <w:tblPrEx>
          <w:tblCellMar>
            <w:top w:w="0" w:type="dxa"/>
            <w:left w:w="0" w:type="dxa"/>
            <w:bottom w:w="0" w:type="dxa"/>
            <w:right w:w="0" w:type="dxa"/>
          </w:tblCellMar>
        </w:tblPrEx>
        <w:trPr>
          <w:trHeight w:val="948"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70EA9AD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序号</w:t>
            </w:r>
          </w:p>
        </w:tc>
        <w:tc>
          <w:tcPr>
            <w:tcW w:w="810" w:type="dxa"/>
            <w:tcBorders>
              <w:top w:val="single" w:color="000000" w:sz="4" w:space="0"/>
              <w:left w:val="single" w:color="000000" w:sz="4" w:space="0"/>
              <w:bottom w:val="single" w:color="000000" w:sz="4" w:space="0"/>
              <w:right w:val="single" w:color="000000" w:sz="4" w:space="0"/>
            </w:tcBorders>
            <w:vAlign w:val="center"/>
          </w:tcPr>
          <w:p w14:paraId="67D1B3C5">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需求品类</w:t>
            </w:r>
          </w:p>
        </w:tc>
        <w:tc>
          <w:tcPr>
            <w:tcW w:w="5385" w:type="dxa"/>
            <w:tcBorders>
              <w:top w:val="single" w:color="000000" w:sz="4" w:space="0"/>
              <w:left w:val="single" w:color="000000" w:sz="4" w:space="0"/>
              <w:bottom w:val="single" w:color="000000" w:sz="4" w:space="0"/>
              <w:right w:val="single" w:color="000000" w:sz="4" w:space="0"/>
            </w:tcBorders>
            <w:vAlign w:val="center"/>
          </w:tcPr>
          <w:p w14:paraId="3F5521D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技术需求</w:t>
            </w:r>
          </w:p>
          <w:p w14:paraId="576DFB14">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p>
        </w:tc>
        <w:tc>
          <w:tcPr>
            <w:tcW w:w="600" w:type="dxa"/>
            <w:tcBorders>
              <w:top w:val="single" w:color="000000" w:sz="4" w:space="0"/>
              <w:left w:val="single" w:color="000000" w:sz="4" w:space="0"/>
              <w:bottom w:val="single" w:color="000000" w:sz="4" w:space="0"/>
              <w:right w:val="single" w:color="000000" w:sz="4" w:space="0"/>
            </w:tcBorders>
            <w:vAlign w:val="center"/>
          </w:tcPr>
          <w:p w14:paraId="70A70FAD">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单位</w:t>
            </w:r>
          </w:p>
        </w:tc>
        <w:tc>
          <w:tcPr>
            <w:tcW w:w="630" w:type="dxa"/>
            <w:tcBorders>
              <w:top w:val="single" w:color="000000" w:sz="4" w:space="0"/>
              <w:left w:val="single" w:color="000000" w:sz="4" w:space="0"/>
              <w:bottom w:val="single" w:color="000000" w:sz="4" w:space="0"/>
              <w:right w:val="single" w:color="000000" w:sz="4" w:space="0"/>
            </w:tcBorders>
            <w:vAlign w:val="center"/>
          </w:tcPr>
          <w:p w14:paraId="4FC92CC1">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数量</w:t>
            </w:r>
          </w:p>
        </w:tc>
        <w:tc>
          <w:tcPr>
            <w:tcW w:w="735" w:type="dxa"/>
            <w:tcBorders>
              <w:top w:val="single" w:color="000000" w:sz="4" w:space="0"/>
              <w:left w:val="single" w:color="000000" w:sz="4" w:space="0"/>
              <w:bottom w:val="single" w:color="000000" w:sz="4" w:space="0"/>
              <w:right w:val="single" w:color="000000" w:sz="4" w:space="0"/>
            </w:tcBorders>
            <w:vAlign w:val="center"/>
          </w:tcPr>
          <w:p w14:paraId="16C4CE5F">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控制单价（元）</w:t>
            </w:r>
          </w:p>
        </w:tc>
        <w:tc>
          <w:tcPr>
            <w:tcW w:w="735" w:type="dxa"/>
            <w:tcBorders>
              <w:top w:val="single" w:color="000000" w:sz="4" w:space="0"/>
              <w:left w:val="single" w:color="000000" w:sz="4" w:space="0"/>
              <w:bottom w:val="single" w:color="000000" w:sz="4" w:space="0"/>
              <w:right w:val="single" w:color="000000" w:sz="4" w:space="0"/>
            </w:tcBorders>
            <w:vAlign w:val="center"/>
          </w:tcPr>
          <w:p w14:paraId="4CE0BF1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总价（元）</w:t>
            </w:r>
          </w:p>
        </w:tc>
      </w:tr>
      <w:tr w14:paraId="22656B9F">
        <w:tblPrEx>
          <w:tblCellMar>
            <w:top w:w="0" w:type="dxa"/>
            <w:left w:w="0" w:type="dxa"/>
            <w:bottom w:w="0" w:type="dxa"/>
            <w:right w:w="0" w:type="dxa"/>
          </w:tblCellMar>
        </w:tblPrEx>
        <w:trPr>
          <w:trHeight w:val="66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73606E49">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1</w:t>
            </w:r>
          </w:p>
        </w:tc>
        <w:tc>
          <w:tcPr>
            <w:tcW w:w="810" w:type="dxa"/>
            <w:tcBorders>
              <w:top w:val="single" w:color="000000" w:sz="4" w:space="0"/>
              <w:left w:val="single" w:color="000000" w:sz="4" w:space="0"/>
              <w:bottom w:val="single" w:color="000000" w:sz="4" w:space="0"/>
              <w:right w:val="single" w:color="000000" w:sz="4" w:space="0"/>
            </w:tcBorders>
            <w:vAlign w:val="center"/>
          </w:tcPr>
          <w:p w14:paraId="590A3D8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广告道闸机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4A04EE69">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1、电源适配性 AC 220V±10% 50／60HZ；DC24V，15A；</w:t>
            </w:r>
          </w:p>
          <w:p w14:paraId="0F6F4BEA">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 xml:space="preserve">2、电机额定功率 180W； </w:t>
            </w:r>
          </w:p>
          <w:p w14:paraId="33597A31">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3、电机驱动 直流无刷电机；</w:t>
            </w:r>
          </w:p>
          <w:p w14:paraId="543EC48D">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4、机箱颜色 ；</w:t>
            </w:r>
          </w:p>
          <w:p w14:paraId="02395149">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5、外表工艺 喷粉烤漆；</w:t>
            </w:r>
          </w:p>
          <w:p w14:paraId="36D66E26">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6、闸杆材质 铝型材；</w:t>
            </w:r>
          </w:p>
          <w:p w14:paraId="0132A12E">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7、遥控距离 空旷地带≤30m；</w:t>
            </w:r>
          </w:p>
          <w:p w14:paraId="52CE443B">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8、遥控频率 433MHz,学习码，最多独立配10个遥控码，防复制遥控器；</w:t>
            </w:r>
          </w:p>
          <w:p w14:paraId="7373AFC5">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9、机箱材质 冷轧钢板，T=1.5mm；</w:t>
            </w:r>
          </w:p>
          <w:p w14:paraId="1A9A2E6A">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10、工作温度 -25℃～+75℃；</w:t>
            </w:r>
          </w:p>
          <w:p w14:paraId="348414DB">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11、工作湿度 90%RH以下(无凝露)；</w:t>
            </w:r>
          </w:p>
          <w:p w14:paraId="128A6B95">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12、防护等级 IP54；</w:t>
            </w:r>
          </w:p>
          <w:p w14:paraId="0EDBAC31">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13、机箱尺寸 1100×420×281mm；</w:t>
            </w:r>
          </w:p>
          <w:p w14:paraId="281DFAA9">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14、主机灯箱画面尺寸 994×364mm；</w:t>
            </w:r>
          </w:p>
          <w:p w14:paraId="587B1E71">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15、起落速度 3-6s可调；</w:t>
            </w:r>
          </w:p>
          <w:p w14:paraId="38C42964">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16、主机包装尺寸 1120×440×320mm；</w:t>
            </w:r>
          </w:p>
          <w:p w14:paraId="10DCBC94">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17、主机重量(毛重) 48±1kg；</w:t>
            </w:r>
          </w:p>
          <w:p w14:paraId="1CFBC223">
            <w:pPr>
              <w:keepNext w:val="0"/>
              <w:keepLines w:val="0"/>
              <w:pageBreakBefore w:val="0"/>
              <w:widowControl/>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18、使用寿命 ≥200W开关起落次数）。</w:t>
            </w:r>
          </w:p>
        </w:tc>
        <w:tc>
          <w:tcPr>
            <w:tcW w:w="600" w:type="dxa"/>
            <w:tcBorders>
              <w:top w:val="single" w:color="000000" w:sz="4" w:space="0"/>
              <w:left w:val="single" w:color="000000" w:sz="4" w:space="0"/>
              <w:bottom w:val="single" w:color="000000" w:sz="4" w:space="0"/>
              <w:right w:val="single" w:color="000000" w:sz="4" w:space="0"/>
            </w:tcBorders>
            <w:vAlign w:val="center"/>
          </w:tcPr>
          <w:p w14:paraId="69054BEB">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5FA2C80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82D175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lang w:val="en-US" w:eastAsia="zh-CN"/>
              </w:rPr>
              <w:t>90</w:t>
            </w:r>
            <w:r>
              <w:rPr>
                <w:rFonts w:hint="eastAsia" w:ascii="方正仿宋_GB2312" w:hAnsi="方正仿宋_GB2312" w:eastAsia="方正仿宋_GB2312" w:cs="方正仿宋_GB2312"/>
                <w:color w:val="auto"/>
                <w:sz w:val="24"/>
                <w:szCs w:val="24"/>
              </w:rPr>
              <w:t>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09C5FDD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w:t>
            </w:r>
            <w:r>
              <w:rPr>
                <w:rFonts w:hint="eastAsia" w:ascii="方正仿宋_GB2312" w:hAnsi="方正仿宋_GB2312" w:eastAsia="方正仿宋_GB2312" w:cs="方正仿宋_GB2312"/>
                <w:color w:val="auto"/>
                <w:sz w:val="24"/>
                <w:szCs w:val="24"/>
                <w:lang w:val="en-US" w:eastAsia="zh-CN"/>
              </w:rPr>
              <w:t>8</w:t>
            </w:r>
            <w:r>
              <w:rPr>
                <w:rFonts w:hint="eastAsia" w:ascii="方正仿宋_GB2312" w:hAnsi="方正仿宋_GB2312" w:eastAsia="方正仿宋_GB2312" w:cs="方正仿宋_GB2312"/>
                <w:color w:val="auto"/>
                <w:sz w:val="24"/>
                <w:szCs w:val="24"/>
              </w:rPr>
              <w:t>000</w:t>
            </w:r>
          </w:p>
        </w:tc>
      </w:tr>
      <w:tr w14:paraId="7F0DDCAB">
        <w:tblPrEx>
          <w:tblCellMar>
            <w:top w:w="0" w:type="dxa"/>
            <w:left w:w="0" w:type="dxa"/>
            <w:bottom w:w="0" w:type="dxa"/>
            <w:right w:w="0" w:type="dxa"/>
          </w:tblCellMar>
        </w:tblPrEx>
        <w:trPr>
          <w:trHeight w:val="69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3D282A7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2</w:t>
            </w:r>
          </w:p>
        </w:tc>
        <w:tc>
          <w:tcPr>
            <w:tcW w:w="810" w:type="dxa"/>
            <w:tcBorders>
              <w:top w:val="single" w:color="000000" w:sz="4" w:space="0"/>
              <w:left w:val="single" w:color="000000" w:sz="4" w:space="0"/>
              <w:bottom w:val="single" w:color="000000" w:sz="4" w:space="0"/>
              <w:right w:val="single" w:color="000000" w:sz="4" w:space="0"/>
            </w:tcBorders>
            <w:vAlign w:val="center"/>
          </w:tcPr>
          <w:p w14:paraId="0D6DCEF7">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网络交换机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35F365E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国产</w:t>
            </w:r>
          </w:p>
        </w:tc>
        <w:tc>
          <w:tcPr>
            <w:tcW w:w="600" w:type="dxa"/>
            <w:tcBorders>
              <w:top w:val="single" w:color="000000" w:sz="4" w:space="0"/>
              <w:left w:val="single" w:color="000000" w:sz="4" w:space="0"/>
              <w:bottom w:val="single" w:color="000000" w:sz="4" w:space="0"/>
              <w:right w:val="single" w:color="000000" w:sz="4" w:space="0"/>
            </w:tcBorders>
            <w:vAlign w:val="center"/>
          </w:tcPr>
          <w:p w14:paraId="6AA68D7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个</w:t>
            </w:r>
          </w:p>
        </w:tc>
        <w:tc>
          <w:tcPr>
            <w:tcW w:w="630" w:type="dxa"/>
            <w:tcBorders>
              <w:top w:val="single" w:color="000000" w:sz="4" w:space="0"/>
              <w:left w:val="single" w:color="000000" w:sz="4" w:space="0"/>
              <w:bottom w:val="single" w:color="000000" w:sz="4" w:space="0"/>
              <w:right w:val="single" w:color="000000" w:sz="4" w:space="0"/>
            </w:tcBorders>
            <w:vAlign w:val="center"/>
          </w:tcPr>
          <w:p w14:paraId="32B4B37C">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0DFA3BC">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140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44253B5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280</w:t>
            </w:r>
          </w:p>
        </w:tc>
      </w:tr>
      <w:tr w14:paraId="656C575A">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39D9F3BA">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3</w:t>
            </w:r>
          </w:p>
        </w:tc>
        <w:tc>
          <w:tcPr>
            <w:tcW w:w="810" w:type="dxa"/>
            <w:tcBorders>
              <w:top w:val="single" w:color="000000" w:sz="4" w:space="0"/>
              <w:left w:val="single" w:color="000000" w:sz="4" w:space="0"/>
              <w:bottom w:val="single" w:color="000000" w:sz="4" w:space="0"/>
              <w:right w:val="single" w:color="000000" w:sz="4" w:space="0"/>
            </w:tcBorders>
            <w:vAlign w:val="center"/>
          </w:tcPr>
          <w:p w14:paraId="35AC02C0">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车牌识别一体机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77A0BBBC">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1、箱体材质: 箱体钣金1.2mm,立柱钣金1.5mm；</w:t>
            </w:r>
          </w:p>
          <w:p w14:paraId="7D3DB96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2、外观尺寸: 340×200×1600 mm；</w:t>
            </w:r>
          </w:p>
          <w:p w14:paraId="1CBDD3FE">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3、外表工艺: 喷粉；</w:t>
            </w:r>
          </w:p>
          <w:p w14:paraId="07522CD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4、工作环境温度: -25℃~+65℃；</w:t>
            </w:r>
          </w:p>
          <w:p w14:paraId="115F2FC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5、相对湿度: 10%～90%RH，无结露；</w:t>
            </w:r>
          </w:p>
          <w:p w14:paraId="3601CE9D">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6、箱体防水等级: IP54；</w:t>
            </w:r>
          </w:p>
          <w:p w14:paraId="399FCE1B">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7、电源电压: AC 220V 50Hz；</w:t>
            </w:r>
          </w:p>
          <w:p w14:paraId="62234E8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8、补光灯: AC 220V 50Hz 功率11W发光角度30° 正白色温5500K-6200K 1300LM（流明）；</w:t>
            </w:r>
          </w:p>
          <w:p w14:paraId="5D97F4E0">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9、显示屏类型: LED双色红绿四行显示，P4.75RF-16S-6432-6432 ；</w:t>
            </w:r>
          </w:p>
          <w:p w14:paraId="523CA20A">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10、规格尺寸: 304×152×15mm；</w:t>
            </w:r>
          </w:p>
          <w:p w14:paraId="18AF48E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11、像素点间距: 4.75mm；</w:t>
            </w:r>
          </w:p>
          <w:p w14:paraId="6269B6C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12、电源要求: 4.8～5.2V 3A；</w:t>
            </w:r>
          </w:p>
          <w:p w14:paraId="2DD9D4B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13、语音: 可播报系统各种操作提示，开机欢迎提示等，特殊场合可设置人性化播报和显示的内容；14、通讯方式: TCP/IP；</w:t>
            </w:r>
          </w:p>
          <w:p w14:paraId="25B95ED8">
            <w:pPr>
              <w:keepNext w:val="0"/>
              <w:keepLines w:val="0"/>
              <w:pageBreakBefore w:val="0"/>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15、存储容量: 黑白名单数量支持最大5万条， 脱机记录最大9000条，整机最大功率: 90W ）。</w:t>
            </w:r>
          </w:p>
        </w:tc>
        <w:tc>
          <w:tcPr>
            <w:tcW w:w="600" w:type="dxa"/>
            <w:tcBorders>
              <w:top w:val="single" w:color="000000" w:sz="4" w:space="0"/>
              <w:left w:val="single" w:color="000000" w:sz="4" w:space="0"/>
              <w:bottom w:val="single" w:color="000000" w:sz="4" w:space="0"/>
              <w:right w:val="single" w:color="000000" w:sz="4" w:space="0"/>
            </w:tcBorders>
            <w:vAlign w:val="center"/>
          </w:tcPr>
          <w:p w14:paraId="7B6D424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套</w:t>
            </w:r>
          </w:p>
        </w:tc>
        <w:tc>
          <w:tcPr>
            <w:tcW w:w="630" w:type="dxa"/>
            <w:tcBorders>
              <w:top w:val="single" w:color="000000" w:sz="4" w:space="0"/>
              <w:left w:val="single" w:color="000000" w:sz="4" w:space="0"/>
              <w:bottom w:val="single" w:color="000000" w:sz="4" w:space="0"/>
              <w:right w:val="single" w:color="000000" w:sz="4" w:space="0"/>
            </w:tcBorders>
            <w:vAlign w:val="center"/>
          </w:tcPr>
          <w:p w14:paraId="73CFA7F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182E537">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r>
              <w:rPr>
                <w:rFonts w:hint="eastAsia" w:ascii="方正仿宋_GB2312" w:hAnsi="方正仿宋_GB2312" w:eastAsia="方正仿宋_GB2312" w:cs="方正仿宋_GB2312"/>
                <w:color w:val="auto"/>
                <w:sz w:val="24"/>
                <w:szCs w:val="24"/>
                <w:lang w:val="en-US" w:eastAsia="zh-CN"/>
              </w:rPr>
              <w:t>5</w:t>
            </w:r>
            <w:r>
              <w:rPr>
                <w:rFonts w:hint="eastAsia" w:ascii="方正仿宋_GB2312" w:hAnsi="方正仿宋_GB2312" w:eastAsia="方正仿宋_GB2312" w:cs="方正仿宋_GB2312"/>
                <w:color w:val="auto"/>
                <w:sz w:val="24"/>
                <w:szCs w:val="24"/>
              </w:rPr>
              <w:t>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3E90C8A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lang w:val="en-US" w:eastAsia="zh-CN"/>
              </w:rPr>
              <w:t>90</w:t>
            </w:r>
            <w:r>
              <w:rPr>
                <w:rFonts w:hint="eastAsia" w:ascii="方正仿宋_GB2312" w:hAnsi="方正仿宋_GB2312" w:eastAsia="方正仿宋_GB2312" w:cs="方正仿宋_GB2312"/>
                <w:color w:val="auto"/>
                <w:sz w:val="24"/>
                <w:szCs w:val="24"/>
              </w:rPr>
              <w:t>00</w:t>
            </w:r>
          </w:p>
        </w:tc>
      </w:tr>
      <w:tr w14:paraId="52D082BD">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3BB0498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4</w:t>
            </w:r>
          </w:p>
        </w:tc>
        <w:tc>
          <w:tcPr>
            <w:tcW w:w="810" w:type="dxa"/>
            <w:tcBorders>
              <w:top w:val="single" w:color="000000" w:sz="4" w:space="0"/>
              <w:left w:val="single" w:color="000000" w:sz="4" w:space="0"/>
              <w:bottom w:val="single" w:color="000000" w:sz="4" w:space="0"/>
              <w:right w:val="single" w:color="000000" w:sz="4" w:space="0"/>
            </w:tcBorders>
            <w:vAlign w:val="center"/>
          </w:tcPr>
          <w:p w14:paraId="4BAB6AF0">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车辆检测器</w:t>
            </w:r>
          </w:p>
        </w:tc>
        <w:tc>
          <w:tcPr>
            <w:tcW w:w="5385" w:type="dxa"/>
            <w:tcBorders>
              <w:top w:val="single" w:color="000000" w:sz="4" w:space="0"/>
              <w:left w:val="single" w:color="000000" w:sz="4" w:space="0"/>
              <w:bottom w:val="single" w:color="000000" w:sz="4" w:space="0"/>
              <w:right w:val="single" w:color="000000" w:sz="4" w:space="0"/>
            </w:tcBorders>
            <w:vAlign w:val="center"/>
          </w:tcPr>
          <w:p w14:paraId="472D5DE9">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1、工作电压: AC230/110V±10%50HZ;</w:t>
            </w:r>
          </w:p>
          <w:p w14:paraId="04A2BE9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2、额定功率: 4.5W;</w:t>
            </w:r>
          </w:p>
          <w:p w14:paraId="0FDABF3D">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3、工作频率: 20KHz~170KHz;</w:t>
            </w:r>
          </w:p>
          <w:p w14:paraId="042A421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4、反应时间: 100ms;</w:t>
            </w:r>
          </w:p>
          <w:p w14:paraId="22D4F720">
            <w:pPr>
              <w:keepNext w:val="0"/>
              <w:keepLines w:val="0"/>
              <w:pageBreakBefore w:val="0"/>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5、灵敏度: 三级可调)。</w:t>
            </w:r>
          </w:p>
        </w:tc>
        <w:tc>
          <w:tcPr>
            <w:tcW w:w="600" w:type="dxa"/>
            <w:tcBorders>
              <w:top w:val="single" w:color="000000" w:sz="4" w:space="0"/>
              <w:left w:val="single" w:color="000000" w:sz="4" w:space="0"/>
              <w:bottom w:val="single" w:color="000000" w:sz="4" w:space="0"/>
              <w:right w:val="single" w:color="000000" w:sz="4" w:space="0"/>
            </w:tcBorders>
            <w:vAlign w:val="center"/>
          </w:tcPr>
          <w:p w14:paraId="1434BC5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个</w:t>
            </w:r>
          </w:p>
        </w:tc>
        <w:tc>
          <w:tcPr>
            <w:tcW w:w="630" w:type="dxa"/>
            <w:tcBorders>
              <w:top w:val="single" w:color="000000" w:sz="4" w:space="0"/>
              <w:left w:val="single" w:color="000000" w:sz="4" w:space="0"/>
              <w:bottom w:val="single" w:color="000000" w:sz="4" w:space="0"/>
              <w:right w:val="single" w:color="000000" w:sz="4" w:space="0"/>
            </w:tcBorders>
            <w:vAlign w:val="center"/>
          </w:tcPr>
          <w:p w14:paraId="02C9A5B3">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669F85A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360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4EB41927">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720</w:t>
            </w:r>
          </w:p>
        </w:tc>
      </w:tr>
      <w:tr w14:paraId="5C8C7D46">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6AC7404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5</w:t>
            </w:r>
          </w:p>
        </w:tc>
        <w:tc>
          <w:tcPr>
            <w:tcW w:w="810" w:type="dxa"/>
            <w:tcBorders>
              <w:top w:val="single" w:color="000000" w:sz="4" w:space="0"/>
              <w:left w:val="single" w:color="000000" w:sz="4" w:space="0"/>
              <w:bottom w:val="single" w:color="000000" w:sz="4" w:space="0"/>
              <w:right w:val="single" w:color="000000" w:sz="4" w:space="0"/>
            </w:tcBorders>
            <w:vAlign w:val="center"/>
          </w:tcPr>
          <w:p w14:paraId="2401A45C">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 xml:space="preserve">单机芯摆闸 </w:t>
            </w:r>
          </w:p>
        </w:tc>
        <w:tc>
          <w:tcPr>
            <w:tcW w:w="5385" w:type="dxa"/>
            <w:tcBorders>
              <w:top w:val="single" w:color="000000" w:sz="4" w:space="0"/>
              <w:left w:val="single" w:color="000000" w:sz="4" w:space="0"/>
              <w:bottom w:val="single" w:color="000000" w:sz="4" w:space="0"/>
              <w:right w:val="single" w:color="000000" w:sz="4" w:space="0"/>
            </w:tcBorders>
            <w:vAlign w:val="center"/>
          </w:tcPr>
          <w:p w14:paraId="45ECA5A3">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1、产品尺寸: 裸机：1200*180*1000mm（误差±2mm）;</w:t>
            </w:r>
          </w:p>
          <w:p w14:paraId="1D43DFEF">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2、包装：1260*240*1060mm（误差±5mm）;</w:t>
            </w:r>
          </w:p>
          <w:p w14:paraId="3FCAE8B3">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3、通讯接口: RS232，选配RS485;</w:t>
            </w:r>
          </w:p>
          <w:p w14:paraId="0651113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 xml:space="preserve">4、机箱: 不锈钢 304,1.2 毫米/1.0 毫米; </w:t>
            </w:r>
          </w:p>
          <w:p w14:paraId="79F40CF8">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5、包装方式: 纸箱+内胆+木底板；</w:t>
            </w:r>
          </w:p>
          <w:p w14:paraId="2E2FE8DD">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6、摆臂: 抱箍式固定：透明亚克力（标配）、不锈钢(选配)；</w:t>
            </w:r>
          </w:p>
          <w:p w14:paraId="39398CAC">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7、侧封板: 单通道：4块，双机芯：2块；</w:t>
            </w:r>
          </w:p>
          <w:p w14:paraId="0721D017">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8、驱动电机: 直流无刷电机；</w:t>
            </w:r>
          </w:p>
          <w:p w14:paraId="0D73DD7F">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9、电源电压: AC220±10%V  50HZ；</w:t>
            </w:r>
          </w:p>
          <w:p w14:paraId="099A4B77">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10、工作环境: 室内/室外；</w:t>
            </w:r>
          </w:p>
          <w:p w14:paraId="3F34DF5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11、工作温度: -20∽70°C（内部测试数据，环境温度低于-20°C需加装温控）；</w:t>
            </w:r>
          </w:p>
          <w:p w14:paraId="64C0115E">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12、机芯寿命: 大于800万次（内部测试数据）；</w:t>
            </w:r>
          </w:p>
          <w:p w14:paraId="404C0148">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13、红外对射: 4对；</w:t>
            </w:r>
          </w:p>
          <w:p w14:paraId="562B4C8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14、通行速度: 常闭模式：30人/分钟；</w:t>
            </w:r>
          </w:p>
          <w:p w14:paraId="32FCAFC3">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15、常开模式：50人/分钟；</w:t>
            </w:r>
          </w:p>
          <w:p w14:paraId="09CF00B6">
            <w:pPr>
              <w:keepNext w:val="0"/>
              <w:keepLines w:val="0"/>
              <w:pageBreakBefore w:val="0"/>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16、开关门速度: 0.6∽10S（可调）。</w:t>
            </w:r>
          </w:p>
        </w:tc>
        <w:tc>
          <w:tcPr>
            <w:tcW w:w="600" w:type="dxa"/>
            <w:tcBorders>
              <w:top w:val="single" w:color="000000" w:sz="4" w:space="0"/>
              <w:left w:val="single" w:color="000000" w:sz="4" w:space="0"/>
              <w:bottom w:val="single" w:color="000000" w:sz="4" w:space="0"/>
              <w:right w:val="single" w:color="000000" w:sz="4" w:space="0"/>
            </w:tcBorders>
            <w:vAlign w:val="center"/>
          </w:tcPr>
          <w:p w14:paraId="0E9A748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3BE4838E">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59BF159">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5</w:t>
            </w:r>
            <w:r>
              <w:rPr>
                <w:rFonts w:hint="eastAsia" w:ascii="方正仿宋_GB2312" w:hAnsi="方正仿宋_GB2312" w:eastAsia="方正仿宋_GB2312" w:cs="方正仿宋_GB2312"/>
                <w:color w:val="auto"/>
                <w:sz w:val="24"/>
                <w:szCs w:val="24"/>
                <w:lang w:val="en-US" w:eastAsia="zh-CN"/>
              </w:rPr>
              <w:t>3</w:t>
            </w:r>
            <w:r>
              <w:rPr>
                <w:rFonts w:hint="eastAsia" w:ascii="方正仿宋_GB2312" w:hAnsi="方正仿宋_GB2312" w:eastAsia="方正仿宋_GB2312" w:cs="方正仿宋_GB2312"/>
                <w:color w:val="auto"/>
                <w:sz w:val="24"/>
                <w:szCs w:val="24"/>
              </w:rPr>
              <w:t>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14DED56">
            <w:pPr>
              <w:keepNext w:val="0"/>
              <w:keepLines w:val="0"/>
              <w:pageBreakBefore w:val="0"/>
              <w:kinsoku/>
              <w:wordWrap/>
              <w:overflowPunct/>
              <w:topLinePunct w:val="0"/>
              <w:autoSpaceDE/>
              <w:autoSpaceDN/>
              <w:bidi w:val="0"/>
              <w:adjustRightInd/>
              <w:snapToGrid/>
              <w:spacing w:line="240" w:lineRule="auto"/>
              <w:jc w:val="center"/>
              <w:rPr>
                <w:rFonts w:hint="default"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color w:val="auto"/>
                <w:sz w:val="24"/>
                <w:szCs w:val="24"/>
                <w:lang w:val="en-US" w:eastAsia="zh-CN"/>
              </w:rPr>
              <w:t>21200</w:t>
            </w:r>
          </w:p>
        </w:tc>
      </w:tr>
      <w:tr w14:paraId="5BE500BA">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4D337DEE">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6</w:t>
            </w:r>
          </w:p>
        </w:tc>
        <w:tc>
          <w:tcPr>
            <w:tcW w:w="810" w:type="dxa"/>
            <w:tcBorders>
              <w:top w:val="single" w:color="000000" w:sz="4" w:space="0"/>
              <w:left w:val="single" w:color="000000" w:sz="4" w:space="0"/>
              <w:bottom w:val="single" w:color="000000" w:sz="4" w:space="0"/>
              <w:right w:val="single" w:color="000000" w:sz="4" w:space="0"/>
            </w:tcBorders>
            <w:vAlign w:val="center"/>
          </w:tcPr>
          <w:p w14:paraId="1061AB28">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门禁一体机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46A52E1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1、设备采用8英寸IPS触摸液晶显示屏，分辨率不低于1280*800；</w:t>
            </w:r>
          </w:p>
          <w:p w14:paraId="4DB1FE6A">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2、设备屏幕亮度不低于400lux，以保证在强光下具备高可见度；</w:t>
            </w:r>
          </w:p>
          <w:p w14:paraId="5AA1DA9A">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3、设备支持实时人脸检测，识别速度≤0.3s；</w:t>
            </w:r>
          </w:p>
          <w:p w14:paraId="7C9A5C1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4、设备支持识别阈值调节，根据现场实际需求安全等级，平衡识别速度和准确度需求；</w:t>
            </w:r>
          </w:p>
          <w:p w14:paraId="510BBAA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5、设备支持活体防伪检测，采用双目光电硬件+活体识别算法,对打印高清人脸图片、照片、人脸图像视频以及各种材料面具的攻击，具有较强的防伪能力。使用照片或视频应不能进行有效识别；</w:t>
            </w:r>
          </w:p>
          <w:p w14:paraId="34D5E190">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6、设备配备不小于200万像素的超低照度宽动态摄像头，可在逆光、阴影等环境下快速识别，支持50000 lux极端光照环境下清晰准确的识别人脸；</w:t>
            </w:r>
          </w:p>
          <w:p w14:paraId="5CEB53C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7、设备用户容量:≥50000人，禁止名单容量:≥500人，面部容量:≥50000人离线保存记录容量:≥150000条，并支持扩容；</w:t>
            </w:r>
          </w:p>
          <w:p w14:paraId="4933E67E">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8、为保证产品使用流畅性，在设备内用户数量≥50000人时，人脸识别和系统操作响应时间应＜1秒；</w:t>
            </w:r>
          </w:p>
          <w:p w14:paraId="4E3128AB">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9、设备应支持室外安装，设备外壳防尘防水防护等级不低于IP66，工作湿度≤93％；</w:t>
            </w:r>
          </w:p>
          <w:p w14:paraId="79D87A8B">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10、设备应能满足使用环境的要求,具备自加热功能，能够在极冷气温（-30℃）及极热气温（60℃）下正常工作；</w:t>
            </w:r>
          </w:p>
          <w:p w14:paraId="4DA3A4A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11、设备坚固耐用，机械结构有足够的强度外壳防破坏能力，符合IK04要求，并且能够通过冲击试验和振动试验；</w:t>
            </w:r>
          </w:p>
          <w:p w14:paraId="7C6FEB29">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12、设备支持灵活的时间规则设置，可以定义的时间规则不小于50个，每个时间规则定义十个时间区间，支持不少于3个节假日设置，每个时间区间最多可以设置3个时间段，只要用户验证时的时间能够满足其中之一即为有效；</w:t>
            </w:r>
          </w:p>
          <w:p w14:paraId="29F421A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color w:val="auto"/>
                <w:sz w:val="24"/>
                <w:szCs w:val="24"/>
              </w:rPr>
              <w:t>13、设备支持设置通行模式可对闸机进出模式进行管控，支持通过干接点信号或RS485接口连接闸机进行控制。</w:t>
            </w:r>
          </w:p>
        </w:tc>
        <w:tc>
          <w:tcPr>
            <w:tcW w:w="600" w:type="dxa"/>
            <w:tcBorders>
              <w:top w:val="single" w:color="000000" w:sz="4" w:space="0"/>
              <w:left w:val="single" w:color="000000" w:sz="4" w:space="0"/>
              <w:bottom w:val="single" w:color="000000" w:sz="4" w:space="0"/>
              <w:right w:val="single" w:color="000000" w:sz="4" w:space="0"/>
            </w:tcBorders>
            <w:vAlign w:val="center"/>
          </w:tcPr>
          <w:p w14:paraId="47A07D06">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5E2C7F3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140A1C1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r>
              <w:rPr>
                <w:rFonts w:hint="eastAsia" w:ascii="方正仿宋_GB2312" w:hAnsi="方正仿宋_GB2312" w:eastAsia="方正仿宋_GB2312" w:cs="方正仿宋_GB2312"/>
                <w:color w:val="auto"/>
                <w:sz w:val="24"/>
                <w:szCs w:val="24"/>
                <w:lang w:val="en-US" w:eastAsia="zh-CN"/>
              </w:rPr>
              <w:t>68</w:t>
            </w:r>
            <w:r>
              <w:rPr>
                <w:rFonts w:hint="eastAsia" w:ascii="方正仿宋_GB2312" w:hAnsi="方正仿宋_GB2312" w:eastAsia="方正仿宋_GB2312" w:cs="方正仿宋_GB2312"/>
                <w:color w:val="auto"/>
                <w:sz w:val="24"/>
                <w:szCs w:val="24"/>
              </w:rPr>
              <w:t>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3A1E068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18</w:t>
            </w:r>
            <w:r>
              <w:rPr>
                <w:rFonts w:hint="eastAsia" w:ascii="方正仿宋_GB2312" w:hAnsi="方正仿宋_GB2312" w:eastAsia="方正仿宋_GB2312" w:cs="方正仿宋_GB2312"/>
                <w:color w:val="auto"/>
                <w:sz w:val="24"/>
                <w:szCs w:val="24"/>
                <w:lang w:val="en-US" w:eastAsia="zh-CN"/>
              </w:rPr>
              <w:t>7</w:t>
            </w:r>
            <w:r>
              <w:rPr>
                <w:rFonts w:hint="eastAsia" w:ascii="方正仿宋_GB2312" w:hAnsi="方正仿宋_GB2312" w:eastAsia="方正仿宋_GB2312" w:cs="方正仿宋_GB2312"/>
                <w:color w:val="auto"/>
                <w:sz w:val="24"/>
                <w:szCs w:val="24"/>
              </w:rPr>
              <w:t>20</w:t>
            </w:r>
          </w:p>
        </w:tc>
      </w:tr>
      <w:tr w14:paraId="76C1BDBA">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685DD07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7</w:t>
            </w:r>
          </w:p>
        </w:tc>
        <w:tc>
          <w:tcPr>
            <w:tcW w:w="810" w:type="dxa"/>
            <w:tcBorders>
              <w:top w:val="single" w:color="000000" w:sz="4" w:space="0"/>
              <w:left w:val="single" w:color="000000" w:sz="4" w:space="0"/>
              <w:bottom w:val="single" w:color="000000" w:sz="4" w:space="0"/>
              <w:right w:val="single" w:color="000000" w:sz="4" w:space="0"/>
            </w:tcBorders>
            <w:vAlign w:val="center"/>
          </w:tcPr>
          <w:p w14:paraId="7D16EB96">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配件</w:t>
            </w:r>
          </w:p>
        </w:tc>
        <w:tc>
          <w:tcPr>
            <w:tcW w:w="5385" w:type="dxa"/>
            <w:tcBorders>
              <w:top w:val="single" w:color="000000" w:sz="4" w:space="0"/>
              <w:left w:val="single" w:color="000000" w:sz="4" w:space="0"/>
              <w:bottom w:val="single" w:color="000000" w:sz="4" w:space="0"/>
              <w:right w:val="single" w:color="000000" w:sz="4" w:space="0"/>
            </w:tcBorders>
            <w:vAlign w:val="center"/>
          </w:tcPr>
          <w:p w14:paraId="77F6815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bCs/>
                <w:color w:val="auto"/>
                <w:sz w:val="24"/>
                <w:szCs w:val="24"/>
              </w:rPr>
              <w:t>安装支架（4个）、防雨罩（4个）</w:t>
            </w:r>
          </w:p>
        </w:tc>
        <w:tc>
          <w:tcPr>
            <w:tcW w:w="600" w:type="dxa"/>
            <w:tcBorders>
              <w:top w:val="single" w:color="000000" w:sz="4" w:space="0"/>
              <w:left w:val="single" w:color="000000" w:sz="4" w:space="0"/>
              <w:bottom w:val="single" w:color="000000" w:sz="4" w:space="0"/>
              <w:right w:val="single" w:color="000000" w:sz="4" w:space="0"/>
            </w:tcBorders>
            <w:vAlign w:val="center"/>
          </w:tcPr>
          <w:p w14:paraId="2ACA77D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套</w:t>
            </w:r>
          </w:p>
        </w:tc>
        <w:tc>
          <w:tcPr>
            <w:tcW w:w="630" w:type="dxa"/>
            <w:tcBorders>
              <w:top w:val="single" w:color="000000" w:sz="4" w:space="0"/>
              <w:left w:val="single" w:color="000000" w:sz="4" w:space="0"/>
              <w:bottom w:val="single" w:color="000000" w:sz="4" w:space="0"/>
              <w:right w:val="single" w:color="000000" w:sz="4" w:space="0"/>
            </w:tcBorders>
            <w:vAlign w:val="center"/>
          </w:tcPr>
          <w:p w14:paraId="21EF2953">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764F16F6">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450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736C87D4">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1800</w:t>
            </w:r>
          </w:p>
        </w:tc>
      </w:tr>
      <w:tr w14:paraId="49939D17">
        <w:tblPrEx>
          <w:tblCellMar>
            <w:top w:w="0" w:type="dxa"/>
            <w:left w:w="0" w:type="dxa"/>
            <w:bottom w:w="0" w:type="dxa"/>
            <w:right w:w="0" w:type="dxa"/>
          </w:tblCellMar>
        </w:tblPrEx>
        <w:trPr>
          <w:trHeight w:val="510" w:hRule="atLeast"/>
          <w:jc w:val="center"/>
        </w:trPr>
        <w:tc>
          <w:tcPr>
            <w:tcW w:w="622" w:type="dxa"/>
            <w:tcBorders>
              <w:top w:val="single" w:color="000000" w:sz="4" w:space="0"/>
              <w:left w:val="single" w:color="000000" w:sz="4" w:space="0"/>
              <w:bottom w:val="single" w:color="auto" w:sz="4" w:space="0"/>
              <w:right w:val="single" w:color="000000" w:sz="4" w:space="0"/>
            </w:tcBorders>
            <w:noWrap/>
            <w:vAlign w:val="center"/>
          </w:tcPr>
          <w:p w14:paraId="3931245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8</w:t>
            </w:r>
          </w:p>
        </w:tc>
        <w:tc>
          <w:tcPr>
            <w:tcW w:w="810" w:type="dxa"/>
            <w:tcBorders>
              <w:top w:val="single" w:color="000000" w:sz="4" w:space="0"/>
              <w:left w:val="single" w:color="000000" w:sz="4" w:space="0"/>
              <w:bottom w:val="single" w:color="auto" w:sz="4" w:space="0"/>
              <w:right w:val="single" w:color="000000" w:sz="4" w:space="0"/>
            </w:tcBorders>
            <w:vAlign w:val="center"/>
          </w:tcPr>
          <w:p w14:paraId="033C290D">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工程线材辅材</w:t>
            </w:r>
          </w:p>
        </w:tc>
        <w:tc>
          <w:tcPr>
            <w:tcW w:w="5385" w:type="dxa"/>
            <w:tcBorders>
              <w:top w:val="single" w:color="000000" w:sz="4" w:space="0"/>
              <w:left w:val="single" w:color="000000" w:sz="4" w:space="0"/>
              <w:bottom w:val="single" w:color="auto" w:sz="4" w:space="0"/>
              <w:right w:val="single" w:color="000000" w:sz="4" w:space="0"/>
            </w:tcBorders>
            <w:vAlign w:val="center"/>
          </w:tcPr>
          <w:p w14:paraId="76ED12E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超五类网线（150米）、地感线圈（100米）、安全岛（4个）</w:t>
            </w:r>
          </w:p>
        </w:tc>
        <w:tc>
          <w:tcPr>
            <w:tcW w:w="600" w:type="dxa"/>
            <w:tcBorders>
              <w:top w:val="single" w:color="000000" w:sz="4" w:space="0"/>
              <w:left w:val="single" w:color="000000" w:sz="4" w:space="0"/>
              <w:bottom w:val="single" w:color="auto" w:sz="4" w:space="0"/>
              <w:right w:val="single" w:color="000000" w:sz="4" w:space="0"/>
            </w:tcBorders>
            <w:vAlign w:val="center"/>
          </w:tcPr>
          <w:p w14:paraId="66859ED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批</w:t>
            </w:r>
          </w:p>
        </w:tc>
        <w:tc>
          <w:tcPr>
            <w:tcW w:w="630" w:type="dxa"/>
            <w:tcBorders>
              <w:top w:val="single" w:color="000000" w:sz="4" w:space="0"/>
              <w:left w:val="single" w:color="000000" w:sz="4" w:space="0"/>
              <w:bottom w:val="single" w:color="auto" w:sz="4" w:space="0"/>
              <w:right w:val="single" w:color="000000" w:sz="4" w:space="0"/>
            </w:tcBorders>
            <w:vAlign w:val="center"/>
          </w:tcPr>
          <w:p w14:paraId="362AD4B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w:t>
            </w:r>
          </w:p>
        </w:tc>
        <w:tc>
          <w:tcPr>
            <w:tcW w:w="735" w:type="dxa"/>
            <w:tcBorders>
              <w:top w:val="single" w:color="000000" w:sz="4" w:space="0"/>
              <w:left w:val="single" w:color="000000" w:sz="4" w:space="0"/>
              <w:bottom w:val="single" w:color="auto" w:sz="4" w:space="0"/>
              <w:right w:val="single" w:color="000000" w:sz="4" w:space="0"/>
            </w:tcBorders>
            <w:noWrap/>
            <w:vAlign w:val="center"/>
          </w:tcPr>
          <w:p w14:paraId="06301363">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3500</w:t>
            </w:r>
          </w:p>
        </w:tc>
        <w:tc>
          <w:tcPr>
            <w:tcW w:w="735" w:type="dxa"/>
            <w:tcBorders>
              <w:top w:val="single" w:color="000000" w:sz="4" w:space="0"/>
              <w:left w:val="single" w:color="000000" w:sz="4" w:space="0"/>
              <w:bottom w:val="single" w:color="auto" w:sz="4" w:space="0"/>
              <w:right w:val="single" w:color="000000" w:sz="4" w:space="0"/>
            </w:tcBorders>
            <w:noWrap/>
            <w:vAlign w:val="center"/>
          </w:tcPr>
          <w:p w14:paraId="664AB592">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3500</w:t>
            </w:r>
          </w:p>
        </w:tc>
      </w:tr>
      <w:tr w14:paraId="27727DBF">
        <w:tblPrEx>
          <w:tblCellMar>
            <w:top w:w="0" w:type="dxa"/>
            <w:left w:w="0" w:type="dxa"/>
            <w:bottom w:w="0" w:type="dxa"/>
            <w:right w:w="0" w:type="dxa"/>
          </w:tblCellMar>
        </w:tblPrEx>
        <w:trPr>
          <w:trHeight w:val="2955" w:hRule="atLeast"/>
          <w:jc w:val="center"/>
        </w:trPr>
        <w:tc>
          <w:tcPr>
            <w:tcW w:w="622" w:type="dxa"/>
            <w:tcBorders>
              <w:top w:val="single" w:color="auto" w:sz="4" w:space="0"/>
              <w:left w:val="single" w:color="auto" w:sz="4" w:space="0"/>
              <w:bottom w:val="single" w:color="auto" w:sz="4" w:space="0"/>
              <w:right w:val="single" w:color="auto" w:sz="4" w:space="0"/>
            </w:tcBorders>
            <w:noWrap/>
            <w:vAlign w:val="center"/>
          </w:tcPr>
          <w:p w14:paraId="506DA15C">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9</w:t>
            </w:r>
          </w:p>
        </w:tc>
        <w:tc>
          <w:tcPr>
            <w:tcW w:w="810" w:type="dxa"/>
            <w:tcBorders>
              <w:top w:val="single" w:color="auto" w:sz="4" w:space="0"/>
              <w:left w:val="single" w:color="auto" w:sz="4" w:space="0"/>
              <w:bottom w:val="single" w:color="auto" w:sz="4" w:space="0"/>
              <w:right w:val="single" w:color="auto" w:sz="4" w:space="0"/>
            </w:tcBorders>
            <w:vAlign w:val="center"/>
          </w:tcPr>
          <w:p w14:paraId="0E665669">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安装调试、校门路面硬化及围栏施工</w:t>
            </w:r>
          </w:p>
        </w:tc>
        <w:tc>
          <w:tcPr>
            <w:tcW w:w="5385" w:type="dxa"/>
            <w:tcBorders>
              <w:top w:val="single" w:color="auto" w:sz="4" w:space="0"/>
              <w:left w:val="single" w:color="auto" w:sz="4" w:space="0"/>
              <w:bottom w:val="single" w:color="auto" w:sz="4" w:space="0"/>
              <w:right w:val="single" w:color="auto" w:sz="4" w:space="0"/>
            </w:tcBorders>
            <w:vAlign w:val="center"/>
          </w:tcPr>
          <w:p w14:paraId="158E0127">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color w:val="auto"/>
                <w:sz w:val="24"/>
                <w:szCs w:val="24"/>
              </w:rPr>
              <w:t>新设备需兼容原有智慧校园人脸、车牌识别考勤请假系统，并提供相关证明材料（如原系统授权书等）</w:t>
            </w:r>
          </w:p>
          <w:p w14:paraId="7C999C95">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bCs/>
                <w:color w:val="auto"/>
                <w:sz w:val="24"/>
                <w:szCs w:val="24"/>
              </w:rPr>
              <w:t>设备安装、调试、培训、路面切割、路面恢复（50米）、网络布设、电源线布设(15O米)、含运、含税、含一年质保。</w:t>
            </w:r>
          </w:p>
          <w:p w14:paraId="6E96ABFB">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bCs/>
                <w:color w:val="auto"/>
                <w:sz w:val="24"/>
                <w:szCs w:val="24"/>
              </w:rPr>
              <w:t>设备安装、调试、培训、路面切割、路面恢复（50米）、网络布设、电源线布设(15O米)、含运、含税、含一年质保。</w:t>
            </w:r>
          </w:p>
          <w:p w14:paraId="77BBB6F0">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bCs/>
                <w:color w:val="auto"/>
                <w:sz w:val="24"/>
                <w:szCs w:val="24"/>
              </w:rPr>
              <w:t>60平方米路面硬化施工：1、挖土方及外运2、混泥土硬化（C30混泥土）、钢筋网片（直径8MM、间距20X20CM)、304锈钢围栏（长度20米）</w:t>
            </w:r>
          </w:p>
          <w:p w14:paraId="30D78A08">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p>
        </w:tc>
        <w:tc>
          <w:tcPr>
            <w:tcW w:w="600" w:type="dxa"/>
            <w:tcBorders>
              <w:top w:val="single" w:color="auto" w:sz="4" w:space="0"/>
              <w:left w:val="single" w:color="auto" w:sz="4" w:space="0"/>
              <w:bottom w:val="single" w:color="auto" w:sz="4" w:space="0"/>
              <w:right w:val="single" w:color="auto" w:sz="4" w:space="0"/>
            </w:tcBorders>
            <w:vAlign w:val="center"/>
          </w:tcPr>
          <w:p w14:paraId="487739D2">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项</w:t>
            </w:r>
          </w:p>
        </w:tc>
        <w:tc>
          <w:tcPr>
            <w:tcW w:w="630" w:type="dxa"/>
            <w:tcBorders>
              <w:top w:val="single" w:color="auto" w:sz="4" w:space="0"/>
              <w:left w:val="single" w:color="auto" w:sz="4" w:space="0"/>
              <w:bottom w:val="single" w:color="auto" w:sz="4" w:space="0"/>
              <w:right w:val="single" w:color="auto" w:sz="4" w:space="0"/>
            </w:tcBorders>
            <w:vAlign w:val="center"/>
          </w:tcPr>
          <w:p w14:paraId="6DB88CF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w:t>
            </w:r>
          </w:p>
        </w:tc>
        <w:tc>
          <w:tcPr>
            <w:tcW w:w="735" w:type="dxa"/>
            <w:tcBorders>
              <w:top w:val="single" w:color="auto" w:sz="4" w:space="0"/>
              <w:left w:val="single" w:color="auto" w:sz="4" w:space="0"/>
              <w:bottom w:val="single" w:color="auto" w:sz="4" w:space="0"/>
              <w:right w:val="single" w:color="auto" w:sz="4" w:space="0"/>
            </w:tcBorders>
            <w:noWrap/>
            <w:vAlign w:val="center"/>
          </w:tcPr>
          <w:p w14:paraId="20FC049C">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8000</w:t>
            </w:r>
          </w:p>
        </w:tc>
        <w:tc>
          <w:tcPr>
            <w:tcW w:w="735" w:type="dxa"/>
            <w:tcBorders>
              <w:top w:val="single" w:color="auto" w:sz="4" w:space="0"/>
              <w:left w:val="single" w:color="auto" w:sz="4" w:space="0"/>
              <w:bottom w:val="single" w:color="auto" w:sz="4" w:space="0"/>
              <w:right w:val="single" w:color="auto" w:sz="4" w:space="0"/>
            </w:tcBorders>
            <w:noWrap/>
            <w:vAlign w:val="center"/>
          </w:tcPr>
          <w:p w14:paraId="25F8DED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8000</w:t>
            </w:r>
          </w:p>
        </w:tc>
      </w:tr>
      <w:tr w14:paraId="7A480D5B">
        <w:tblPrEx>
          <w:tblCellMar>
            <w:top w:w="0" w:type="dxa"/>
            <w:left w:w="0" w:type="dxa"/>
            <w:bottom w:w="0" w:type="dxa"/>
            <w:right w:w="0" w:type="dxa"/>
          </w:tblCellMar>
        </w:tblPrEx>
        <w:trPr>
          <w:trHeight w:val="920" w:hRule="atLeast"/>
          <w:jc w:val="center"/>
        </w:trPr>
        <w:tc>
          <w:tcPr>
            <w:tcW w:w="9517" w:type="dxa"/>
            <w:gridSpan w:val="7"/>
            <w:tcBorders>
              <w:top w:val="single" w:color="auto" w:sz="4" w:space="0"/>
              <w:left w:val="single" w:color="auto" w:sz="4" w:space="0"/>
              <w:bottom w:val="single" w:color="auto" w:sz="4" w:space="0"/>
              <w:right w:val="single" w:color="auto" w:sz="4" w:space="0"/>
            </w:tcBorders>
            <w:noWrap/>
            <w:vAlign w:val="center"/>
          </w:tcPr>
          <w:p w14:paraId="381B67DE">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highlight w:val="none"/>
              </w:rPr>
              <w:t>合计金额：</w:t>
            </w:r>
            <w:r>
              <w:rPr>
                <w:rFonts w:hint="eastAsia" w:ascii="仿宋" w:hAnsi="仿宋" w:eastAsia="仿宋" w:cs="仿宋"/>
                <w:bCs/>
                <w:color w:val="auto"/>
                <w:sz w:val="24"/>
                <w:szCs w:val="24"/>
                <w:highlight w:val="none"/>
                <w:lang w:eastAsia="zh-CN"/>
              </w:rPr>
              <w:t>捌万壹仟贰佰贰拾元整</w:t>
            </w:r>
            <w:r>
              <w:rPr>
                <w:rFonts w:hint="eastAsia" w:ascii="仿宋" w:hAnsi="仿宋" w:eastAsia="仿宋" w:cs="仿宋"/>
                <w:bCs/>
                <w:color w:val="auto"/>
                <w:sz w:val="24"/>
                <w:szCs w:val="24"/>
                <w:highlight w:val="none"/>
              </w:rPr>
              <w:t>（小写：</w:t>
            </w:r>
            <w:r>
              <w:rPr>
                <w:rFonts w:ascii="Calibri" w:hAnsi="Calibri" w:eastAsia="仿宋" w:cs="Calibri"/>
                <w:bCs/>
                <w:color w:val="auto"/>
                <w:sz w:val="24"/>
                <w:szCs w:val="24"/>
                <w:highlight w:val="none"/>
              </w:rPr>
              <w:t>¥</w:t>
            </w:r>
            <w:r>
              <w:rPr>
                <w:rFonts w:hint="eastAsia" w:ascii="仿宋" w:hAnsi="仿宋" w:eastAsia="仿宋" w:cs="仿宋"/>
                <w:bCs/>
                <w:color w:val="auto"/>
                <w:sz w:val="24"/>
                <w:szCs w:val="24"/>
                <w:highlight w:val="none"/>
                <w:lang w:val="en-US" w:eastAsia="zh-CN"/>
              </w:rPr>
              <w:t>81220</w:t>
            </w:r>
            <w:r>
              <w:rPr>
                <w:rFonts w:hint="eastAsia" w:ascii="仿宋" w:hAnsi="仿宋" w:eastAsia="仿宋" w:cs="仿宋"/>
                <w:bCs/>
                <w:color w:val="auto"/>
                <w:sz w:val="24"/>
                <w:szCs w:val="24"/>
                <w:highlight w:val="none"/>
              </w:rPr>
              <w:t>）</w:t>
            </w:r>
          </w:p>
        </w:tc>
      </w:tr>
    </w:tbl>
    <w:p w14:paraId="78B1CF21">
      <w:pPr>
        <w:spacing w:line="560" w:lineRule="exact"/>
        <w:ind w:firstLine="600" w:firstLineChars="200"/>
        <w:rPr>
          <w:rFonts w:hint="eastAsia" w:ascii="仿宋" w:hAnsi="仿宋" w:eastAsia="仿宋" w:cs="仿宋"/>
          <w:color w:val="auto"/>
          <w:sz w:val="30"/>
          <w:szCs w:val="30"/>
          <w:lang w:eastAsia="zh-CN"/>
        </w:rPr>
      </w:pPr>
      <w:r>
        <w:rPr>
          <w:rFonts w:hint="eastAsia" w:ascii="仿宋" w:hAnsi="仿宋" w:eastAsia="仿宋" w:cs="仿宋"/>
          <w:color w:val="auto"/>
          <w:sz w:val="30"/>
          <w:szCs w:val="30"/>
          <w:lang w:eastAsia="zh-CN"/>
        </w:rPr>
        <w:t>（三）</w:t>
      </w:r>
      <w:r>
        <w:rPr>
          <w:rFonts w:hint="eastAsia" w:ascii="仿宋" w:hAnsi="仿宋" w:eastAsia="仿宋" w:cs="仿宋"/>
          <w:color w:val="auto"/>
          <w:sz w:val="30"/>
          <w:szCs w:val="30"/>
        </w:rPr>
        <w:t>商务条款</w:t>
      </w:r>
    </w:p>
    <w:tbl>
      <w:tblPr>
        <w:tblStyle w:val="21"/>
        <w:tblW w:w="9517" w:type="dxa"/>
        <w:jc w:val="center"/>
        <w:tblLayout w:type="fixed"/>
        <w:tblCellMar>
          <w:top w:w="0" w:type="dxa"/>
          <w:left w:w="0" w:type="dxa"/>
          <w:bottom w:w="0" w:type="dxa"/>
          <w:right w:w="0" w:type="dxa"/>
        </w:tblCellMar>
      </w:tblPr>
      <w:tblGrid>
        <w:gridCol w:w="9517"/>
      </w:tblGrid>
      <w:tr w14:paraId="78A774CF">
        <w:tblPrEx>
          <w:tblCellMar>
            <w:top w:w="0" w:type="dxa"/>
            <w:left w:w="0" w:type="dxa"/>
            <w:bottom w:w="0" w:type="dxa"/>
            <w:right w:w="0" w:type="dxa"/>
          </w:tblCellMar>
        </w:tblPrEx>
        <w:trPr>
          <w:trHeight w:val="300" w:hRule="atLeast"/>
          <w:jc w:val="center"/>
        </w:trPr>
        <w:tc>
          <w:tcPr>
            <w:tcW w:w="9517" w:type="dxa"/>
            <w:tcBorders>
              <w:top w:val="single" w:color="auto" w:sz="4" w:space="0"/>
              <w:left w:val="single" w:color="auto" w:sz="4" w:space="0"/>
              <w:bottom w:val="single" w:color="auto" w:sz="4" w:space="0"/>
              <w:right w:val="single" w:color="auto" w:sz="4" w:space="0"/>
            </w:tcBorders>
            <w:noWrap/>
            <w:vAlign w:val="center"/>
          </w:tcPr>
          <w:p w14:paraId="64E5EC65">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一、服务交货时间、地点、方式</w:t>
            </w:r>
          </w:p>
          <w:p w14:paraId="44658F53">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1、交货时间：自合同签订之日起</w:t>
            </w:r>
            <w:r>
              <w:rPr>
                <w:rFonts w:hint="eastAsia" w:ascii="仿宋_GB2312" w:hAnsi="仿宋_GB2312" w:eastAsia="仿宋_GB2312" w:cs="仿宋_GB2312"/>
                <w:color w:val="auto"/>
                <w:sz w:val="24"/>
                <w:szCs w:val="24"/>
                <w:u w:val="single"/>
              </w:rPr>
              <w:t>30</w:t>
            </w:r>
            <w:r>
              <w:rPr>
                <w:rFonts w:hint="eastAsia" w:ascii="仿宋_GB2312" w:hAnsi="仿宋_GB2312" w:eastAsia="仿宋_GB2312" w:cs="仿宋_GB2312"/>
                <w:color w:val="auto"/>
                <w:sz w:val="24"/>
                <w:szCs w:val="24"/>
              </w:rPr>
              <w:t>日历日内。</w:t>
            </w:r>
          </w:p>
          <w:p w14:paraId="250EDA2B">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2、服务、交货地点：南宁市卫生学校相思湖校区、黎塘校区。</w:t>
            </w:r>
          </w:p>
          <w:p w14:paraId="3FC4EBD4">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交货方式：现场交货。供应商负责设备运输至指定安装地点，需完成设备的现场安装、系统调试工作，确保设备达到本项目技术指标及正常运行标准，并提供设备售后维护服务（含故障维修、定期巡检、技术支持等）。</w:t>
            </w:r>
          </w:p>
          <w:p w14:paraId="035ADC57">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二、付款方式</w:t>
            </w:r>
          </w:p>
          <w:p w14:paraId="5C2A13C6">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w:t>
            </w:r>
            <w:r>
              <w:rPr>
                <w:rFonts w:hint="eastAsia" w:ascii="仿宋_GB2312" w:hAnsi="仿宋_GB2312" w:eastAsia="仿宋_GB2312" w:cs="仿宋_GB2312"/>
                <w:color w:val="auto"/>
                <w:sz w:val="24"/>
                <w:szCs w:val="24"/>
                <w:lang w:eastAsia="zh-CN"/>
              </w:rPr>
              <w:t>（</w:t>
            </w:r>
            <w:r>
              <w:rPr>
                <w:rFonts w:hint="eastAsia" w:ascii="仿宋_GB2312" w:hAnsi="仿宋_GB2312" w:eastAsia="仿宋_GB2312" w:cs="仿宋_GB2312"/>
                <w:color w:val="auto"/>
                <w:sz w:val="24"/>
                <w:szCs w:val="24"/>
                <w:lang w:val="en-US" w:eastAsia="zh-CN"/>
              </w:rPr>
              <w:t>1</w:t>
            </w:r>
            <w:r>
              <w:rPr>
                <w:rFonts w:hint="eastAsia" w:ascii="仿宋_GB2312" w:hAnsi="仿宋_GB2312" w:eastAsia="仿宋_GB2312" w:cs="仿宋_GB2312"/>
                <w:color w:val="auto"/>
                <w:sz w:val="24"/>
                <w:szCs w:val="24"/>
                <w:lang w:eastAsia="zh-CN"/>
              </w:rPr>
              <w:t>）智慧校园人脸、车牌识别考勤请假系统服务项目</w:t>
            </w:r>
            <w:r>
              <w:rPr>
                <w:rFonts w:hint="eastAsia" w:ascii="仿宋_GB2312" w:hAnsi="仿宋_GB2312" w:eastAsia="仿宋_GB2312" w:cs="仿宋_GB2312"/>
                <w:color w:val="auto"/>
                <w:sz w:val="24"/>
                <w:szCs w:val="24"/>
              </w:rPr>
              <w:t>无预付款，</w:t>
            </w:r>
            <w:r>
              <w:rPr>
                <w:rFonts w:hint="eastAsia" w:ascii="仿宋_GB2312" w:hAnsi="仿宋_GB2312" w:eastAsia="仿宋_GB2312" w:cs="仿宋_GB2312"/>
                <w:color w:val="auto"/>
                <w:sz w:val="24"/>
                <w:szCs w:val="24"/>
                <w:lang w:eastAsia="zh-CN"/>
              </w:rPr>
              <w:t>合同期内分</w:t>
            </w:r>
            <w:r>
              <w:rPr>
                <w:rFonts w:hint="eastAsia" w:ascii="仿宋_GB2312" w:hAnsi="仿宋_GB2312" w:eastAsia="仿宋_GB2312" w:cs="仿宋_GB2312"/>
                <w:color w:val="auto"/>
                <w:sz w:val="24"/>
                <w:szCs w:val="24"/>
                <w:lang w:val="en-US" w:eastAsia="zh-CN"/>
              </w:rPr>
              <w:t>4次支付，每3个月支付一次，在</w:t>
            </w:r>
            <w:r>
              <w:rPr>
                <w:rFonts w:hint="eastAsia" w:ascii="仿宋_GB2312" w:hAnsi="仿宋_GB2312" w:eastAsia="仿宋_GB2312" w:cs="仿宋_GB2312"/>
                <w:color w:val="auto"/>
                <w:sz w:val="24"/>
                <w:szCs w:val="24"/>
              </w:rPr>
              <w:t>经采购人验收合格且</w:t>
            </w:r>
            <w:r>
              <w:rPr>
                <w:rFonts w:hint="eastAsia" w:ascii="仿宋_GB2312" w:hAnsi="仿宋_GB2312" w:eastAsia="仿宋_GB2312" w:cs="仿宋_GB2312"/>
                <w:color w:val="auto"/>
                <w:sz w:val="24"/>
                <w:szCs w:val="24"/>
                <w:lang w:val="en-US" w:eastAsia="zh-CN"/>
              </w:rPr>
              <w:t>2027年3月</w:t>
            </w:r>
            <w:r>
              <w:rPr>
                <w:rFonts w:hint="eastAsia" w:ascii="仿宋_GB2312" w:hAnsi="仿宋_GB2312" w:eastAsia="仿宋_GB2312" w:cs="仿宋_GB2312"/>
                <w:color w:val="auto"/>
                <w:sz w:val="24"/>
                <w:szCs w:val="24"/>
              </w:rPr>
              <w:t>财政批复</w:t>
            </w:r>
            <w:r>
              <w:rPr>
                <w:rFonts w:hint="eastAsia" w:ascii="仿宋_GB2312" w:hAnsi="仿宋_GB2312" w:eastAsia="仿宋_GB2312" w:cs="仿宋_GB2312"/>
                <w:color w:val="auto"/>
                <w:sz w:val="24"/>
                <w:szCs w:val="24"/>
                <w:lang w:eastAsia="zh-CN"/>
              </w:rPr>
              <w:t>年度预算，批复</w:t>
            </w:r>
            <w:r>
              <w:rPr>
                <w:rFonts w:hint="eastAsia" w:ascii="仿宋_GB2312" w:hAnsi="仿宋_GB2312" w:eastAsia="仿宋_GB2312" w:cs="仿宋_GB2312"/>
                <w:color w:val="auto"/>
                <w:sz w:val="24"/>
                <w:szCs w:val="24"/>
              </w:rPr>
              <w:t>该项目用款计划后，</w:t>
            </w:r>
            <w:r>
              <w:rPr>
                <w:rFonts w:hint="eastAsia" w:ascii="仿宋_GB2312" w:hAnsi="仿宋_GB2312" w:eastAsia="仿宋_GB2312" w:cs="仿宋_GB2312"/>
                <w:color w:val="auto"/>
                <w:sz w:val="24"/>
                <w:szCs w:val="24"/>
                <w:lang w:eastAsia="zh-CN"/>
              </w:rPr>
              <w:t>支付第</w:t>
            </w:r>
            <w:r>
              <w:rPr>
                <w:rFonts w:hint="eastAsia" w:ascii="仿宋_GB2312" w:hAnsi="仿宋_GB2312" w:eastAsia="仿宋_GB2312" w:cs="仿宋_GB2312"/>
                <w:color w:val="auto"/>
                <w:sz w:val="24"/>
                <w:szCs w:val="24"/>
                <w:lang w:val="en-US" w:eastAsia="zh-CN"/>
              </w:rPr>
              <w:t>1、2、3次款项，第4次款项在服务期满后支付。（2）</w:t>
            </w:r>
            <w:r>
              <w:rPr>
                <w:rFonts w:hint="eastAsia" w:ascii="仿宋" w:hAnsi="仿宋" w:eastAsia="仿宋" w:cs="仿宋"/>
                <w:color w:val="auto"/>
                <w:sz w:val="24"/>
                <w:szCs w:val="24"/>
              </w:rPr>
              <w:t>相思湖校区安全门禁（南门）项目</w:t>
            </w:r>
            <w:r>
              <w:rPr>
                <w:rFonts w:hint="eastAsia" w:ascii="仿宋_GB2312" w:hAnsi="仿宋_GB2312" w:eastAsia="仿宋_GB2312" w:cs="仿宋_GB2312"/>
                <w:color w:val="auto"/>
                <w:sz w:val="24"/>
                <w:szCs w:val="24"/>
              </w:rPr>
              <w:t>无预付款，经采购人验收合格且财政批复该项目用款计划后，一次性支付全部合同价款。</w:t>
            </w:r>
          </w:p>
          <w:p w14:paraId="4BA2E67A">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2、供应商开具合规发票交校方，校方收到发票且财政局批复本项目用款计划后</w:t>
            </w:r>
            <w:r>
              <w:rPr>
                <w:rFonts w:hint="eastAsia" w:ascii="仿宋_GB2312" w:hAnsi="仿宋_GB2312" w:eastAsia="仿宋_GB2312" w:cs="仿宋_GB2312"/>
                <w:color w:val="auto"/>
                <w:sz w:val="24"/>
                <w:szCs w:val="24"/>
                <w:lang w:eastAsia="zh-CN"/>
              </w:rPr>
              <w:t>，按合同约定</w:t>
            </w:r>
            <w:r>
              <w:rPr>
                <w:rFonts w:hint="eastAsia" w:ascii="仿宋_GB2312" w:hAnsi="仿宋_GB2312" w:eastAsia="仿宋_GB2312" w:cs="仿宋_GB2312"/>
                <w:color w:val="auto"/>
                <w:sz w:val="24"/>
                <w:szCs w:val="24"/>
              </w:rPr>
              <w:t>将款项转入供应商银行账户。</w:t>
            </w:r>
          </w:p>
          <w:p w14:paraId="15302101">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三、服务要求</w:t>
            </w:r>
          </w:p>
          <w:p w14:paraId="77F5A568">
            <w:pPr>
              <w:spacing w:line="310" w:lineRule="exact"/>
              <w:rPr>
                <w:rFonts w:hint="eastAsia" w:ascii="仿宋_GB2312" w:hAnsi="仿宋_GB2312" w:eastAsia="仿宋_GB2312" w:cs="仿宋_GB2312"/>
                <w:bCs/>
                <w:color w:val="auto"/>
                <w:sz w:val="24"/>
                <w:szCs w:val="24"/>
              </w:rPr>
            </w:pPr>
            <w:r>
              <w:rPr>
                <w:rFonts w:hint="eastAsia" w:ascii="仿宋_GB2312" w:hAnsi="仿宋_GB2312" w:eastAsia="仿宋_GB2312" w:cs="仿宋_GB2312"/>
                <w:color w:val="auto"/>
                <w:sz w:val="24"/>
                <w:szCs w:val="24"/>
              </w:rPr>
              <w:t>1、保质期：设备质保期1年，自货物最终验收合格之日起至质保期届满且经甲方确认无任何质量问题时止；新设备需兼容原有智慧校园人脸、车牌识别考勤请假系统，并提供相关证明材料（如原系统授权书等）。</w:t>
            </w:r>
          </w:p>
          <w:p w14:paraId="69B3CB01">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售后服务要求：交货前，成交供应商应对货物作出全面检查和对验收文件进行整理，并列出清单，作为采购人收货验收和使用的技术条件依据，检验的结果应随货物一并提交采购人。供应商应提供服务期内24小时上门售后服务承诺。在质保期内，乙方应对货物出现的质量及安全问题负责处理解决并承担一切费用。</w:t>
            </w:r>
          </w:p>
          <w:p w14:paraId="5488D7B7">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3、技术支持：</w:t>
            </w:r>
          </w:p>
          <w:p w14:paraId="0D3650F1">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（1）远程技术支持：乙方应具有稳定的技术支持队伍和完善的服务支持网络，提供 7×24小时技术支持服务，及时响应甲方的技术服务支持需求，提出有效的解决方案，解决甲方在货物使用过程中遇到的实际问题。</w:t>
            </w:r>
          </w:p>
          <w:p w14:paraId="22CEEE2D">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（2）现场技术支持：对于通过电话、邮件等远程技术支持不能解决的问题，乙方应在 24 小时内派遣相关人员赶赴现场，24小时内维修完毕；发生紧急抢修事故的，乙方应在接到甲方通知后 24 小时内到达现场抢修，并于到达现场 24小时之内排除故障。乙方未在约定时间内修复的或同一货物经2次维修后仍不能稳定、可靠运行的，甲方有权要求乙方免费更换。返修或更换后的部件保修期应重新计算。</w:t>
            </w:r>
          </w:p>
          <w:p w14:paraId="6F53C03A">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（3）技术支持：质保期内，乙方应保证货物与其所需接入软件系统的适配性，保证货物正常运行，且不影响甲方其它运行环境。</w:t>
            </w:r>
          </w:p>
          <w:p w14:paraId="33DBB041">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四、报价要求</w:t>
            </w:r>
          </w:p>
          <w:p w14:paraId="7AC75D0B">
            <w:pPr>
              <w:adjustRightInd w:val="0"/>
              <w:snapToGrid w:val="0"/>
              <w:spacing w:line="400" w:lineRule="exact"/>
              <w:jc w:val="left"/>
              <w:rPr>
                <w:rFonts w:hint="eastAsia" w:ascii="仿宋_GB2312" w:hAnsi="仿宋_GB2312" w:eastAsia="仿宋_GB2312" w:cs="仿宋_GB2312"/>
                <w:b/>
                <w:bCs/>
                <w:color w:val="auto"/>
                <w:kern w:val="0"/>
                <w:sz w:val="24"/>
                <w:szCs w:val="24"/>
                <w:lang w:bidi="ar"/>
              </w:rPr>
            </w:pPr>
            <w:r>
              <w:rPr>
                <w:rFonts w:hint="eastAsia" w:ascii="仿宋_GB2312" w:hAnsi="仿宋_GB2312" w:eastAsia="仿宋_GB2312" w:cs="仿宋_GB2312"/>
                <w:color w:val="auto"/>
                <w:sz w:val="24"/>
                <w:szCs w:val="24"/>
              </w:rPr>
              <w:t>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tc>
      </w:tr>
    </w:tbl>
    <w:p w14:paraId="77CF32E4">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三、需提交的征集材料及要求</w:t>
      </w:r>
    </w:p>
    <w:p w14:paraId="38AE5202">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参与征集的供应商需按以下顺序准备并提交材料（格式自拟）：</w:t>
      </w:r>
    </w:p>
    <w:p w14:paraId="4CAF6CBC">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1.有效的营业执照复印件（需加盖公章）。</w:t>
      </w:r>
    </w:p>
    <w:p w14:paraId="4B08E10C">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2.服务过</w:t>
      </w:r>
      <w:r>
        <w:rPr>
          <w:rFonts w:ascii="仿宋" w:hAnsi="仿宋" w:eastAsia="仿宋" w:cs="仿宋"/>
          <w:color w:val="auto"/>
          <w:sz w:val="30"/>
          <w:szCs w:val="30"/>
        </w:rPr>
        <w:t>其他单位</w:t>
      </w:r>
      <w:r>
        <w:rPr>
          <w:rFonts w:hint="eastAsia" w:ascii="仿宋" w:hAnsi="仿宋" w:eastAsia="仿宋" w:cs="仿宋"/>
          <w:color w:val="auto"/>
          <w:sz w:val="30"/>
          <w:szCs w:val="30"/>
        </w:rPr>
        <w:t>的案例相关资质证书复印件（需加盖公章）。</w:t>
      </w:r>
    </w:p>
    <w:p w14:paraId="6ECFE02B">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3.项目服务需求及报价方案（详见附件，单项报价不能超过项目控制单价，总价不能超过项目控制总价）。</w:t>
      </w:r>
    </w:p>
    <w:p w14:paraId="1DDBB5FD">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4.其他建议：针对学校的服务建议，以及对本项目采购需求的任何意见建议。</w:t>
      </w:r>
    </w:p>
    <w:p w14:paraId="7A60BA96">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四、参与征集单位资格要求</w:t>
      </w:r>
    </w:p>
    <w:p w14:paraId="04FF9EC6">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1.国内注册（指按国家有关规定要求注册的），依法能提供本次项目服务的供应商。</w:t>
      </w:r>
    </w:p>
    <w:p w14:paraId="0468E603">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2.本项目资格要求：满足《中华人民共和国政府采购法》第二十二条规定。</w:t>
      </w:r>
    </w:p>
    <w:p w14:paraId="40AF16AE">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3.特定资格条件：新设备</w:t>
      </w:r>
      <w:r>
        <w:rPr>
          <w:rFonts w:ascii="仿宋" w:hAnsi="仿宋" w:eastAsia="仿宋" w:cs="仿宋"/>
          <w:color w:val="auto"/>
          <w:sz w:val="30"/>
          <w:szCs w:val="30"/>
        </w:rPr>
        <w:t>需兼容原有</w:t>
      </w:r>
      <w:r>
        <w:rPr>
          <w:rFonts w:hint="eastAsia" w:ascii="仿宋" w:hAnsi="仿宋" w:eastAsia="仿宋" w:cs="仿宋"/>
          <w:color w:val="auto"/>
          <w:sz w:val="30"/>
          <w:szCs w:val="30"/>
        </w:rPr>
        <w:t>智慧校园</w:t>
      </w:r>
      <w:r>
        <w:rPr>
          <w:rFonts w:ascii="仿宋" w:hAnsi="仿宋" w:eastAsia="仿宋" w:cs="仿宋"/>
          <w:color w:val="auto"/>
          <w:sz w:val="30"/>
          <w:szCs w:val="30"/>
        </w:rPr>
        <w:t>人脸、车牌识别</w:t>
      </w:r>
      <w:r>
        <w:rPr>
          <w:rFonts w:hint="eastAsia" w:ascii="仿宋" w:hAnsi="仿宋" w:eastAsia="仿宋" w:cs="仿宋"/>
          <w:color w:val="auto"/>
          <w:sz w:val="30"/>
          <w:szCs w:val="30"/>
        </w:rPr>
        <w:t>考勤</w:t>
      </w:r>
      <w:r>
        <w:rPr>
          <w:rFonts w:ascii="仿宋" w:hAnsi="仿宋" w:eastAsia="仿宋" w:cs="仿宋"/>
          <w:color w:val="auto"/>
          <w:sz w:val="30"/>
          <w:szCs w:val="30"/>
        </w:rPr>
        <w:t>请假系统</w:t>
      </w:r>
      <w:r>
        <w:rPr>
          <w:rFonts w:hint="eastAsia" w:ascii="仿宋" w:hAnsi="仿宋" w:eastAsia="仿宋" w:cs="仿宋"/>
          <w:color w:val="auto"/>
          <w:sz w:val="30"/>
          <w:szCs w:val="30"/>
        </w:rPr>
        <w:t>，</w:t>
      </w:r>
      <w:r>
        <w:rPr>
          <w:rFonts w:ascii="仿宋" w:hAnsi="仿宋" w:eastAsia="仿宋" w:cs="仿宋"/>
          <w:color w:val="auto"/>
          <w:sz w:val="30"/>
          <w:szCs w:val="30"/>
        </w:rPr>
        <w:t>并提供相关证明材料（</w:t>
      </w:r>
      <w:r>
        <w:rPr>
          <w:rFonts w:hint="eastAsia" w:ascii="仿宋" w:hAnsi="仿宋" w:eastAsia="仿宋" w:cs="仿宋"/>
          <w:color w:val="auto"/>
          <w:sz w:val="30"/>
          <w:szCs w:val="30"/>
        </w:rPr>
        <w:t>如</w:t>
      </w:r>
      <w:r>
        <w:rPr>
          <w:rFonts w:ascii="仿宋" w:hAnsi="仿宋" w:eastAsia="仿宋" w:cs="仿宋"/>
          <w:color w:val="auto"/>
          <w:sz w:val="30"/>
          <w:szCs w:val="30"/>
        </w:rPr>
        <w:t>系统授权书等）</w:t>
      </w:r>
      <w:r>
        <w:rPr>
          <w:rFonts w:hint="eastAsia" w:ascii="仿宋" w:hAnsi="仿宋" w:eastAsia="仿宋" w:cs="仿宋"/>
          <w:color w:val="auto"/>
          <w:sz w:val="30"/>
          <w:szCs w:val="30"/>
        </w:rPr>
        <w:t>。</w:t>
      </w:r>
    </w:p>
    <w:p w14:paraId="555C0955">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4.不接受联合体提交材料。</w:t>
      </w:r>
    </w:p>
    <w:p w14:paraId="4964F231">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五、公告时间及提交方式</w:t>
      </w:r>
    </w:p>
    <w:p w14:paraId="7A17C7F2">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公告期限为本公告发布之日起</w:t>
      </w:r>
      <w:r>
        <w:rPr>
          <w:rFonts w:hint="eastAsia" w:ascii="仿宋" w:hAnsi="仿宋" w:eastAsia="仿宋" w:cs="仿宋"/>
          <w:color w:val="auto"/>
          <w:sz w:val="30"/>
          <w:szCs w:val="30"/>
          <w:u w:val="single"/>
        </w:rPr>
        <w:t>5</w:t>
      </w:r>
      <w:r>
        <w:rPr>
          <w:rFonts w:hint="eastAsia" w:ascii="仿宋" w:hAnsi="仿宋" w:eastAsia="仿宋" w:cs="仿宋"/>
          <w:color w:val="auto"/>
          <w:sz w:val="30"/>
          <w:szCs w:val="30"/>
        </w:rPr>
        <w:t>个工作日。请意向单位于2026年</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月</w:t>
      </w:r>
      <w:r>
        <w:rPr>
          <w:rFonts w:hint="eastAsia" w:ascii="仿宋" w:hAnsi="仿宋" w:eastAsia="仿宋" w:cs="仿宋"/>
          <w:color w:val="auto"/>
          <w:sz w:val="30"/>
          <w:szCs w:val="30"/>
          <w:lang w:val="en-US" w:eastAsia="zh-CN"/>
        </w:rPr>
        <w:t xml:space="preserve"> 10</w:t>
      </w:r>
      <w:r>
        <w:rPr>
          <w:rFonts w:hint="eastAsia" w:ascii="仿宋" w:hAnsi="仿宋" w:eastAsia="仿宋" w:cs="仿宋"/>
          <w:color w:val="auto"/>
          <w:sz w:val="30"/>
          <w:szCs w:val="30"/>
        </w:rPr>
        <w:t>日9:00前将所需提供的征集材料一式</w:t>
      </w:r>
      <w:r>
        <w:rPr>
          <w:rFonts w:hint="eastAsia" w:ascii="仿宋" w:hAnsi="仿宋" w:eastAsia="仿宋" w:cs="仿宋"/>
          <w:color w:val="auto"/>
          <w:sz w:val="30"/>
          <w:szCs w:val="30"/>
          <w:u w:val="single"/>
        </w:rPr>
        <w:t>3</w:t>
      </w:r>
      <w:r>
        <w:rPr>
          <w:rFonts w:hint="eastAsia" w:ascii="仿宋" w:hAnsi="仿宋" w:eastAsia="仿宋" w:cs="仿宋"/>
          <w:color w:val="auto"/>
          <w:sz w:val="30"/>
          <w:szCs w:val="30"/>
        </w:rPr>
        <w:t>份装入档案袋密封，并在密封袋四周盖章，档案袋上注明项目名称、报名单位、联系人、联系方式并加盖单位公章，报送至南宁市西乡塘区罗文大道16号南宁市卫生学校，如邮寄请联系后勤保障科（安全保卫科），联系人：李乾阳，联系电话：0771-3370620。请将报价方案电子版于公告期限截止前发送至邮箱：nnswxhqbzk@163.com。</w:t>
      </w:r>
    </w:p>
    <w:p w14:paraId="61AD8F10">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备注：除营业执照复印件、相关资质证书复印件外，其它所提供的材料，如：报价方案、服务方案等不能出现报名公司及货物品牌名称，否则作无效处理。</w:t>
      </w:r>
    </w:p>
    <w:p w14:paraId="27690B1A">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六、其他说明</w:t>
      </w:r>
    </w:p>
    <w:p w14:paraId="1224D1CF">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1.本次公开征集仅为我校了解市场情况、收集信息之用，不构成任何采购承诺，不作为后续招标、谈判或询价的唯一依据。我校无需对所有提交材料的供应商作出回应。  </w:t>
      </w:r>
    </w:p>
    <w:p w14:paraId="1BBA0672">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2.所提交材料恕不退还，我校承诺对商业信息予以保密。  </w:t>
      </w:r>
    </w:p>
    <w:p w14:paraId="7720401D">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3.供应商应对所提供资料的真实性、合法性承担法律责任。如发现虚假信息，将取消其参与资格。</w:t>
      </w:r>
    </w:p>
    <w:p w14:paraId="418F455C">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4.在征集期间，我校可能根据项目需要要求供应商进行补充说明，敬请配合。</w:t>
      </w:r>
    </w:p>
    <w:p w14:paraId="03DFE59D">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5.未按要求提交资料或超期者视为自动放弃。</w:t>
      </w:r>
    </w:p>
    <w:p w14:paraId="672C863A">
      <w:pPr>
        <w:spacing w:line="560" w:lineRule="exact"/>
        <w:ind w:firstLine="602" w:firstLineChars="200"/>
        <w:rPr>
          <w:rFonts w:ascii="仿宋" w:hAnsi="仿宋" w:eastAsia="仿宋" w:cs="仿宋"/>
          <w:color w:val="auto"/>
          <w:sz w:val="30"/>
          <w:szCs w:val="30"/>
        </w:rPr>
      </w:pPr>
      <w:r>
        <w:rPr>
          <w:rFonts w:hint="eastAsia" w:ascii="仿宋" w:hAnsi="仿宋" w:eastAsia="仿宋" w:cs="仿宋"/>
          <w:b/>
          <w:bCs/>
          <w:color w:val="auto"/>
          <w:sz w:val="30"/>
          <w:szCs w:val="30"/>
        </w:rPr>
        <w:t>六、对本次公告提出询问，请按以下方式联系:</w:t>
      </w:r>
      <w:r>
        <w:rPr>
          <w:rFonts w:hint="eastAsia" w:ascii="仿宋" w:hAnsi="仿宋" w:eastAsia="仿宋" w:cs="仿宋"/>
          <w:color w:val="auto"/>
          <w:sz w:val="30"/>
          <w:szCs w:val="30"/>
        </w:rPr>
        <w:t>　　　　　　　　　</w:t>
      </w:r>
    </w:p>
    <w:p w14:paraId="3DCD0EEF">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项目归口管理部门</w:t>
      </w:r>
      <w:r>
        <w:rPr>
          <w:rFonts w:hint="eastAsia" w:ascii="仿宋" w:hAnsi="仿宋" w:eastAsia="仿宋" w:cs="仿宋"/>
          <w:color w:val="auto"/>
          <w:sz w:val="30"/>
          <w:szCs w:val="30"/>
          <w:u w:val="single"/>
        </w:rPr>
        <w:t>后勤保障科（安全保卫科）</w:t>
      </w:r>
      <w:r>
        <w:rPr>
          <w:rFonts w:hint="eastAsia" w:ascii="仿宋" w:hAnsi="仿宋" w:eastAsia="仿宋" w:cs="仿宋"/>
          <w:color w:val="auto"/>
          <w:sz w:val="30"/>
          <w:szCs w:val="30"/>
        </w:rPr>
        <w:t>，联系人：</w:t>
      </w:r>
      <w:r>
        <w:rPr>
          <w:rFonts w:hint="eastAsia" w:ascii="仿宋" w:hAnsi="仿宋" w:eastAsia="仿宋" w:cs="仿宋"/>
          <w:color w:val="auto"/>
          <w:sz w:val="30"/>
          <w:szCs w:val="30"/>
          <w:u w:val="single"/>
        </w:rPr>
        <w:t>李乾阳</w:t>
      </w:r>
      <w:r>
        <w:rPr>
          <w:rFonts w:hint="eastAsia" w:ascii="仿宋" w:hAnsi="仿宋" w:eastAsia="仿宋" w:cs="仿宋"/>
          <w:color w:val="auto"/>
          <w:sz w:val="30"/>
          <w:szCs w:val="30"/>
        </w:rPr>
        <w:t>，联系电话：0771-3370620。联系地址：南宁市西乡塘区罗文大道16号南宁市卫生学校</w:t>
      </w:r>
    </w:p>
    <w:p w14:paraId="5FB3D41E">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附件：</w:t>
      </w:r>
      <w:r>
        <w:rPr>
          <w:rFonts w:hint="eastAsia" w:ascii="仿宋" w:hAnsi="仿宋" w:eastAsia="仿宋" w:cs="仿宋"/>
          <w:color w:val="auto"/>
          <w:sz w:val="30"/>
          <w:szCs w:val="30"/>
          <w:lang w:eastAsia="zh-CN"/>
        </w:rPr>
        <w:t>南宁市卫生学校</w:t>
      </w:r>
      <w:r>
        <w:rPr>
          <w:rFonts w:hint="eastAsia" w:ascii="仿宋" w:hAnsi="仿宋" w:eastAsia="仿宋" w:cs="仿宋"/>
          <w:color w:val="auto"/>
          <w:sz w:val="30"/>
          <w:szCs w:val="30"/>
        </w:rPr>
        <w:t>慧校园人脸、车牌识别考勤请假系统服务项目及相思湖校区安全门禁（南门）项目服务响应及报价方案</w:t>
      </w:r>
    </w:p>
    <w:p w14:paraId="353D0966">
      <w:pPr>
        <w:spacing w:line="560" w:lineRule="exact"/>
        <w:rPr>
          <w:rFonts w:ascii="仿宋" w:hAnsi="仿宋" w:eastAsia="仿宋" w:cs="仿宋"/>
          <w:color w:val="auto"/>
          <w:sz w:val="30"/>
          <w:szCs w:val="30"/>
        </w:rPr>
      </w:pPr>
    </w:p>
    <w:p w14:paraId="40D178E6">
      <w:pPr>
        <w:spacing w:line="560" w:lineRule="exact"/>
        <w:ind w:firstLine="6000" w:firstLineChars="2000"/>
        <w:rPr>
          <w:rFonts w:ascii="仿宋" w:hAnsi="仿宋" w:eastAsia="仿宋" w:cs="仿宋"/>
          <w:color w:val="auto"/>
          <w:sz w:val="30"/>
          <w:szCs w:val="30"/>
        </w:rPr>
      </w:pPr>
      <w:r>
        <w:rPr>
          <w:rFonts w:hint="eastAsia" w:ascii="仿宋" w:hAnsi="仿宋" w:eastAsia="仿宋" w:cs="仿宋"/>
          <w:color w:val="auto"/>
          <w:sz w:val="30"/>
          <w:szCs w:val="30"/>
        </w:rPr>
        <w:t>南宁市卫生学校</w:t>
      </w:r>
    </w:p>
    <w:p w14:paraId="1ADB81FC">
      <w:pPr>
        <w:wordWrap w:val="0"/>
        <w:spacing w:line="560" w:lineRule="exact"/>
        <w:ind w:left="5400" w:hanging="5400" w:hangingChars="1800"/>
        <w:jc w:val="right"/>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rPr>
        <w:t>                           2026年</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月</w:t>
      </w:r>
      <w:r>
        <w:rPr>
          <w:rFonts w:hint="eastAsia" w:ascii="仿宋" w:hAnsi="仿宋" w:eastAsia="仿宋" w:cs="仿宋"/>
          <w:color w:val="auto"/>
          <w:sz w:val="30"/>
          <w:szCs w:val="30"/>
          <w:lang w:val="en-US" w:eastAsia="zh-CN"/>
        </w:rPr>
        <w:t>2</w:t>
      </w:r>
      <w:r>
        <w:rPr>
          <w:rFonts w:hint="eastAsia" w:ascii="仿宋" w:hAnsi="仿宋" w:eastAsia="仿宋" w:cs="仿宋"/>
          <w:color w:val="auto"/>
          <w:sz w:val="30"/>
          <w:szCs w:val="30"/>
        </w:rPr>
        <w:t>日</w:t>
      </w:r>
      <w:r>
        <w:rPr>
          <w:rFonts w:hint="eastAsia" w:ascii="仿宋" w:hAnsi="仿宋" w:eastAsia="仿宋" w:cs="仿宋"/>
          <w:color w:val="auto"/>
          <w:sz w:val="30"/>
          <w:szCs w:val="30"/>
          <w:lang w:val="en-US" w:eastAsia="zh-CN"/>
        </w:rPr>
        <w:t xml:space="preserve">         </w:t>
      </w:r>
    </w:p>
    <w:p w14:paraId="4E2702C2">
      <w:pPr>
        <w:spacing w:line="400" w:lineRule="exact"/>
        <w:rPr>
          <w:rFonts w:ascii="仿宋_GB2312" w:hAnsi="仿宋_GB2312" w:eastAsia="仿宋_GB2312" w:cs="仿宋_GB2312"/>
          <w:b/>
          <w:color w:val="auto"/>
          <w:sz w:val="30"/>
          <w:szCs w:val="30"/>
        </w:rPr>
      </w:pPr>
    </w:p>
    <w:p w14:paraId="0069D28D">
      <w:pPr>
        <w:pStyle w:val="2"/>
        <w:rPr>
          <w:rFonts w:ascii="仿宋_GB2312" w:hAnsi="仿宋_GB2312" w:eastAsia="仿宋_GB2312" w:cs="仿宋_GB2312"/>
          <w:b/>
          <w:color w:val="auto"/>
          <w:sz w:val="30"/>
          <w:szCs w:val="30"/>
        </w:rPr>
      </w:pPr>
    </w:p>
    <w:p w14:paraId="42F35BF9">
      <w:pPr>
        <w:pStyle w:val="2"/>
        <w:rPr>
          <w:rFonts w:ascii="仿宋_GB2312" w:hAnsi="仿宋_GB2312" w:eastAsia="仿宋_GB2312" w:cs="仿宋_GB2312"/>
          <w:b/>
          <w:color w:val="auto"/>
          <w:sz w:val="30"/>
          <w:szCs w:val="30"/>
        </w:rPr>
      </w:pPr>
    </w:p>
    <w:p w14:paraId="4BF201AD">
      <w:pPr>
        <w:pStyle w:val="2"/>
        <w:rPr>
          <w:rFonts w:ascii="仿宋_GB2312" w:hAnsi="仿宋_GB2312" w:eastAsia="仿宋_GB2312" w:cs="仿宋_GB2312"/>
          <w:b/>
          <w:color w:val="auto"/>
          <w:sz w:val="30"/>
          <w:szCs w:val="30"/>
        </w:rPr>
      </w:pPr>
    </w:p>
    <w:p w14:paraId="58130665">
      <w:pPr>
        <w:pStyle w:val="2"/>
        <w:rPr>
          <w:rFonts w:ascii="仿宋_GB2312" w:hAnsi="仿宋_GB2312" w:eastAsia="仿宋_GB2312" w:cs="仿宋_GB2312"/>
          <w:b/>
          <w:color w:val="auto"/>
          <w:sz w:val="30"/>
          <w:szCs w:val="30"/>
        </w:rPr>
      </w:pPr>
    </w:p>
    <w:p w14:paraId="25901289">
      <w:pPr>
        <w:pStyle w:val="2"/>
        <w:rPr>
          <w:rFonts w:ascii="仿宋_GB2312" w:hAnsi="仿宋_GB2312" w:eastAsia="仿宋_GB2312" w:cs="仿宋_GB2312"/>
          <w:b/>
          <w:color w:val="auto"/>
          <w:sz w:val="30"/>
          <w:szCs w:val="30"/>
        </w:rPr>
      </w:pPr>
    </w:p>
    <w:p w14:paraId="71713851">
      <w:pPr>
        <w:pStyle w:val="2"/>
        <w:rPr>
          <w:rFonts w:ascii="仿宋_GB2312" w:hAnsi="仿宋_GB2312" w:eastAsia="仿宋_GB2312" w:cs="仿宋_GB2312"/>
          <w:b/>
          <w:color w:val="auto"/>
          <w:sz w:val="30"/>
          <w:szCs w:val="30"/>
        </w:rPr>
      </w:pPr>
    </w:p>
    <w:p w14:paraId="72AEDCA7">
      <w:pPr>
        <w:pStyle w:val="2"/>
        <w:rPr>
          <w:rFonts w:ascii="仿宋_GB2312" w:hAnsi="仿宋_GB2312" w:eastAsia="仿宋_GB2312" w:cs="仿宋_GB2312"/>
          <w:b/>
          <w:color w:val="auto"/>
          <w:sz w:val="30"/>
          <w:szCs w:val="30"/>
        </w:rPr>
      </w:pPr>
    </w:p>
    <w:p w14:paraId="263044AD">
      <w:pPr>
        <w:pStyle w:val="2"/>
        <w:rPr>
          <w:rFonts w:ascii="仿宋_GB2312" w:hAnsi="仿宋_GB2312" w:eastAsia="仿宋_GB2312" w:cs="仿宋_GB2312"/>
          <w:b/>
          <w:color w:val="auto"/>
          <w:sz w:val="30"/>
          <w:szCs w:val="30"/>
        </w:rPr>
      </w:pPr>
    </w:p>
    <w:p w14:paraId="12926CC4">
      <w:pPr>
        <w:pStyle w:val="2"/>
        <w:rPr>
          <w:rFonts w:ascii="仿宋_GB2312" w:hAnsi="仿宋_GB2312" w:eastAsia="仿宋_GB2312" w:cs="仿宋_GB2312"/>
          <w:b/>
          <w:color w:val="auto"/>
          <w:sz w:val="30"/>
          <w:szCs w:val="30"/>
        </w:rPr>
      </w:pPr>
    </w:p>
    <w:p w14:paraId="066D883F">
      <w:pPr>
        <w:pStyle w:val="2"/>
        <w:rPr>
          <w:rFonts w:ascii="仿宋_GB2312" w:hAnsi="仿宋_GB2312" w:eastAsia="仿宋_GB2312" w:cs="仿宋_GB2312"/>
          <w:b/>
          <w:color w:val="auto"/>
          <w:sz w:val="30"/>
          <w:szCs w:val="30"/>
        </w:rPr>
      </w:pPr>
    </w:p>
    <w:p w14:paraId="40CB9617">
      <w:pPr>
        <w:pStyle w:val="2"/>
        <w:rPr>
          <w:rFonts w:ascii="仿宋_GB2312" w:hAnsi="仿宋_GB2312" w:eastAsia="仿宋_GB2312" w:cs="仿宋_GB2312"/>
          <w:b/>
          <w:color w:val="auto"/>
          <w:sz w:val="30"/>
          <w:szCs w:val="30"/>
        </w:rPr>
      </w:pPr>
    </w:p>
    <w:p w14:paraId="49894A11">
      <w:pPr>
        <w:pStyle w:val="2"/>
        <w:rPr>
          <w:rFonts w:ascii="仿宋_GB2312" w:hAnsi="仿宋_GB2312" w:eastAsia="仿宋_GB2312" w:cs="仿宋_GB2312"/>
          <w:b/>
          <w:color w:val="auto"/>
          <w:sz w:val="30"/>
          <w:szCs w:val="30"/>
        </w:rPr>
      </w:pPr>
    </w:p>
    <w:p w14:paraId="42F8E82C">
      <w:pPr>
        <w:pStyle w:val="2"/>
        <w:rPr>
          <w:rFonts w:ascii="仿宋_GB2312" w:hAnsi="仿宋_GB2312" w:eastAsia="仿宋_GB2312" w:cs="仿宋_GB2312"/>
          <w:b/>
          <w:color w:val="auto"/>
          <w:sz w:val="30"/>
          <w:szCs w:val="30"/>
        </w:rPr>
      </w:pPr>
    </w:p>
    <w:p w14:paraId="2B08A12D">
      <w:pPr>
        <w:spacing w:line="400" w:lineRule="exact"/>
        <w:rPr>
          <w:rFonts w:ascii="仿宋_GB2312" w:hAnsi="仿宋_GB2312" w:eastAsia="仿宋_GB2312" w:cs="仿宋_GB2312"/>
          <w:color w:val="auto"/>
          <w:sz w:val="30"/>
          <w:szCs w:val="30"/>
        </w:rPr>
      </w:pPr>
      <w:r>
        <w:rPr>
          <w:rFonts w:hint="eastAsia" w:ascii="仿宋_GB2312" w:hAnsi="仿宋_GB2312" w:eastAsia="仿宋_GB2312" w:cs="仿宋_GB2312"/>
          <w:b/>
          <w:color w:val="auto"/>
          <w:sz w:val="30"/>
          <w:szCs w:val="30"/>
        </w:rPr>
        <w:t>附件：</w:t>
      </w:r>
    </w:p>
    <w:p w14:paraId="6397EEA9">
      <w:pPr>
        <w:pStyle w:val="19"/>
        <w:spacing w:after="0" w:line="500" w:lineRule="exact"/>
        <w:ind w:right="0" w:firstLine="0" w:firstLineChars="0"/>
        <w:jc w:val="center"/>
        <w:rPr>
          <w:rFonts w:ascii="仿宋_GB2312" w:hAnsi="仿宋_GB2312" w:eastAsia="仿宋_GB2312" w:cs="仿宋_GB2312"/>
          <w:color w:val="auto"/>
          <w:sz w:val="32"/>
          <w:szCs w:val="32"/>
        </w:rPr>
      </w:pPr>
      <w:r>
        <w:rPr>
          <w:rFonts w:hint="eastAsia" w:ascii="方正公文小标宋" w:hAnsi="方正公文小标宋" w:eastAsia="方正公文小标宋" w:cs="方正公文小标宋"/>
          <w:color w:val="auto"/>
          <w:sz w:val="32"/>
          <w:szCs w:val="32"/>
        </w:rPr>
        <w:t>南宁市卫生学校慧校园人脸、车牌识别考勤请假系统服务项目及相思湖校区安全门禁（南门）项目服务响应及报价方案</w:t>
      </w:r>
    </w:p>
    <w:p w14:paraId="465CFFEA">
      <w:pPr>
        <w:pStyle w:val="19"/>
        <w:spacing w:after="0" w:line="500" w:lineRule="exact"/>
        <w:ind w:right="0" w:firstLine="0" w:firstLineChars="0"/>
        <w:jc w:val="center"/>
        <w:rPr>
          <w:rFonts w:ascii="仿宋_GB2312" w:hAnsi="仿宋_GB2312" w:eastAsia="仿宋_GB2312" w:cs="仿宋_GB2312"/>
          <w:color w:val="auto"/>
          <w:sz w:val="32"/>
          <w:szCs w:val="32"/>
        </w:rPr>
      </w:pPr>
    </w:p>
    <w:tbl>
      <w:tblPr>
        <w:tblStyle w:val="21"/>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
        <w:gridCol w:w="1641"/>
        <w:gridCol w:w="2245"/>
        <w:gridCol w:w="1449"/>
        <w:gridCol w:w="1605"/>
        <w:gridCol w:w="2077"/>
      </w:tblGrid>
      <w:tr w14:paraId="6833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74" w:type="dxa"/>
            <w:vAlign w:val="center"/>
          </w:tcPr>
          <w:p w14:paraId="5C845CA4">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序号</w:t>
            </w:r>
          </w:p>
        </w:tc>
        <w:tc>
          <w:tcPr>
            <w:tcW w:w="1517" w:type="dxa"/>
            <w:vAlign w:val="center"/>
          </w:tcPr>
          <w:p w14:paraId="57A99F9D">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服务名称</w:t>
            </w:r>
          </w:p>
        </w:tc>
        <w:tc>
          <w:tcPr>
            <w:tcW w:w="2075" w:type="dxa"/>
            <w:vAlign w:val="center"/>
          </w:tcPr>
          <w:p w14:paraId="09551A45">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服务响应</w:t>
            </w:r>
          </w:p>
        </w:tc>
        <w:tc>
          <w:tcPr>
            <w:tcW w:w="1340" w:type="dxa"/>
            <w:vAlign w:val="center"/>
          </w:tcPr>
          <w:p w14:paraId="14AF7DD0">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单位</w:t>
            </w:r>
          </w:p>
        </w:tc>
        <w:tc>
          <w:tcPr>
            <w:tcW w:w="1484" w:type="dxa"/>
            <w:vAlign w:val="center"/>
          </w:tcPr>
          <w:p w14:paraId="4A2CBDE9">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数量</w:t>
            </w:r>
          </w:p>
        </w:tc>
        <w:tc>
          <w:tcPr>
            <w:tcW w:w="1920" w:type="dxa"/>
            <w:vAlign w:val="center"/>
          </w:tcPr>
          <w:p w14:paraId="3D700773">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单项报价（元）</w:t>
            </w:r>
          </w:p>
        </w:tc>
      </w:tr>
      <w:tr w14:paraId="5EB7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574" w:type="dxa"/>
            <w:vAlign w:val="center"/>
          </w:tcPr>
          <w:p w14:paraId="0AFF4C7E">
            <w:pPr>
              <w:snapToGrid w:val="0"/>
              <w:spacing w:line="500" w:lineRule="exact"/>
              <w:jc w:val="center"/>
              <w:rPr>
                <w:rFonts w:ascii="方正仿宋_GB2312" w:hAnsi="方正仿宋_GB2312" w:eastAsia="方正仿宋_GB2312" w:cs="方正仿宋_GB2312"/>
                <w:color w:val="auto"/>
                <w:sz w:val="28"/>
                <w:szCs w:val="28"/>
              </w:rPr>
            </w:pPr>
            <w:r>
              <w:rPr>
                <w:rFonts w:hint="eastAsia" w:ascii="方正仿宋_GB2312" w:hAnsi="方正仿宋_GB2312" w:eastAsia="方正仿宋_GB2312" w:cs="方正仿宋_GB2312"/>
                <w:color w:val="auto"/>
                <w:sz w:val="28"/>
                <w:szCs w:val="28"/>
              </w:rPr>
              <w:t>1</w:t>
            </w:r>
          </w:p>
        </w:tc>
        <w:tc>
          <w:tcPr>
            <w:tcW w:w="1517" w:type="dxa"/>
            <w:vAlign w:val="center"/>
          </w:tcPr>
          <w:p w14:paraId="58619CC9">
            <w:pPr>
              <w:spacing w:line="500" w:lineRule="exact"/>
              <w:contextualSpacing/>
              <w:rPr>
                <w:rFonts w:ascii="方正仿宋_GB2312" w:hAnsi="方正仿宋_GB2312" w:eastAsia="方正仿宋_GB2312" w:cs="方正仿宋_GB2312"/>
                <w:color w:val="auto"/>
                <w:sz w:val="28"/>
                <w:szCs w:val="28"/>
              </w:rPr>
            </w:pPr>
          </w:p>
        </w:tc>
        <w:tc>
          <w:tcPr>
            <w:tcW w:w="2075" w:type="dxa"/>
            <w:vAlign w:val="center"/>
          </w:tcPr>
          <w:p w14:paraId="423BB929">
            <w:pPr>
              <w:spacing w:line="500" w:lineRule="exact"/>
              <w:contextualSpacing/>
              <w:rPr>
                <w:rFonts w:ascii="方正仿宋_GB2312" w:hAnsi="方正仿宋_GB2312" w:eastAsia="方正仿宋_GB2312" w:cs="方正仿宋_GB2312"/>
                <w:color w:val="auto"/>
                <w:sz w:val="28"/>
                <w:szCs w:val="28"/>
              </w:rPr>
            </w:pPr>
          </w:p>
        </w:tc>
        <w:tc>
          <w:tcPr>
            <w:tcW w:w="1340" w:type="dxa"/>
            <w:vAlign w:val="center"/>
          </w:tcPr>
          <w:p w14:paraId="6F9AE3AA">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484" w:type="dxa"/>
            <w:vAlign w:val="center"/>
          </w:tcPr>
          <w:p w14:paraId="166693DE">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920" w:type="dxa"/>
            <w:vAlign w:val="center"/>
          </w:tcPr>
          <w:p w14:paraId="7D17C54E">
            <w:pPr>
              <w:pStyle w:val="19"/>
              <w:spacing w:after="0" w:line="500" w:lineRule="exact"/>
              <w:ind w:firstLine="281"/>
              <w:rPr>
                <w:rFonts w:ascii="方正仿宋_GB2312" w:hAnsi="方正仿宋_GB2312" w:eastAsia="方正仿宋_GB2312" w:cs="方正仿宋_GB2312"/>
                <w:b/>
                <w:color w:val="auto"/>
                <w:kern w:val="0"/>
                <w:sz w:val="28"/>
                <w:shd w:val="clear" w:color="auto" w:fill="FFFFFF"/>
                <w:lang w:bidi="ar"/>
              </w:rPr>
            </w:pPr>
          </w:p>
        </w:tc>
      </w:tr>
      <w:tr w14:paraId="24818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574" w:type="dxa"/>
            <w:vAlign w:val="center"/>
          </w:tcPr>
          <w:p w14:paraId="75F6BD0D">
            <w:pPr>
              <w:snapToGrid w:val="0"/>
              <w:spacing w:line="500" w:lineRule="exact"/>
              <w:jc w:val="center"/>
              <w:rPr>
                <w:rFonts w:ascii="方正仿宋_GB2312" w:hAnsi="方正仿宋_GB2312" w:eastAsia="方正仿宋_GB2312" w:cs="方正仿宋_GB2312"/>
                <w:color w:val="auto"/>
                <w:sz w:val="28"/>
                <w:szCs w:val="28"/>
              </w:rPr>
            </w:pPr>
            <w:r>
              <w:rPr>
                <w:rFonts w:hint="eastAsia" w:ascii="方正仿宋_GB2312" w:hAnsi="方正仿宋_GB2312" w:eastAsia="方正仿宋_GB2312" w:cs="方正仿宋_GB2312"/>
                <w:color w:val="auto"/>
                <w:sz w:val="28"/>
                <w:szCs w:val="28"/>
              </w:rPr>
              <w:t>2</w:t>
            </w:r>
          </w:p>
        </w:tc>
        <w:tc>
          <w:tcPr>
            <w:tcW w:w="1517" w:type="dxa"/>
            <w:vAlign w:val="center"/>
          </w:tcPr>
          <w:p w14:paraId="0F1984BD">
            <w:pPr>
              <w:spacing w:line="500" w:lineRule="exact"/>
              <w:contextualSpacing/>
              <w:rPr>
                <w:rFonts w:ascii="方正仿宋_GB2312" w:hAnsi="方正仿宋_GB2312" w:eastAsia="方正仿宋_GB2312" w:cs="方正仿宋_GB2312"/>
                <w:color w:val="auto"/>
                <w:sz w:val="28"/>
                <w:szCs w:val="28"/>
              </w:rPr>
            </w:pPr>
          </w:p>
        </w:tc>
        <w:tc>
          <w:tcPr>
            <w:tcW w:w="2075" w:type="dxa"/>
            <w:vAlign w:val="center"/>
          </w:tcPr>
          <w:p w14:paraId="4E65BB8F">
            <w:pPr>
              <w:spacing w:line="500" w:lineRule="exact"/>
              <w:contextualSpacing/>
              <w:rPr>
                <w:rFonts w:ascii="方正仿宋_GB2312" w:hAnsi="方正仿宋_GB2312" w:eastAsia="方正仿宋_GB2312" w:cs="方正仿宋_GB2312"/>
                <w:color w:val="auto"/>
                <w:sz w:val="28"/>
                <w:szCs w:val="28"/>
              </w:rPr>
            </w:pPr>
          </w:p>
        </w:tc>
        <w:tc>
          <w:tcPr>
            <w:tcW w:w="1340" w:type="dxa"/>
            <w:vAlign w:val="center"/>
          </w:tcPr>
          <w:p w14:paraId="19538DA2">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484" w:type="dxa"/>
            <w:vAlign w:val="center"/>
          </w:tcPr>
          <w:p w14:paraId="266A9F84">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920" w:type="dxa"/>
            <w:vAlign w:val="center"/>
          </w:tcPr>
          <w:p w14:paraId="58ADF4A9">
            <w:pPr>
              <w:pStyle w:val="19"/>
              <w:spacing w:after="0" w:line="500" w:lineRule="exact"/>
              <w:ind w:firstLine="281"/>
              <w:rPr>
                <w:rFonts w:ascii="方正仿宋_GB2312" w:hAnsi="方正仿宋_GB2312" w:eastAsia="方正仿宋_GB2312" w:cs="方正仿宋_GB2312"/>
                <w:b/>
                <w:color w:val="auto"/>
                <w:kern w:val="0"/>
                <w:sz w:val="28"/>
                <w:shd w:val="clear" w:color="auto" w:fill="FFFFFF"/>
                <w:lang w:bidi="ar"/>
              </w:rPr>
            </w:pPr>
          </w:p>
        </w:tc>
      </w:tr>
      <w:tr w14:paraId="33D52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8910" w:type="dxa"/>
            <w:gridSpan w:val="6"/>
            <w:vAlign w:val="center"/>
          </w:tcPr>
          <w:p w14:paraId="4628EA60">
            <w:pPr>
              <w:widowControl/>
              <w:spacing w:line="500" w:lineRule="exact"/>
              <w:jc w:val="center"/>
              <w:rPr>
                <w:rStyle w:val="47"/>
                <w:rFonts w:ascii="方正仿宋_GB2312" w:hAnsi="方正仿宋_GB2312" w:eastAsia="方正仿宋_GB2312" w:cs="方正仿宋_GB2312"/>
                <w:color w:val="auto"/>
                <w:sz w:val="28"/>
                <w:szCs w:val="28"/>
              </w:rPr>
            </w:pPr>
            <w:r>
              <w:rPr>
                <w:rStyle w:val="47"/>
                <w:rFonts w:hint="eastAsia" w:ascii="方正仿宋_GB2312" w:hAnsi="方正仿宋_GB2312" w:eastAsia="方正仿宋_GB2312" w:cs="方正仿宋_GB2312"/>
                <w:color w:val="auto"/>
                <w:sz w:val="28"/>
                <w:szCs w:val="28"/>
              </w:rPr>
              <w:t>合计金额：大写：                             （小写：¥           元）</w:t>
            </w:r>
          </w:p>
        </w:tc>
      </w:tr>
      <w:tr w14:paraId="53D5F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910" w:type="dxa"/>
            <w:gridSpan w:val="6"/>
            <w:vAlign w:val="center"/>
          </w:tcPr>
          <w:p w14:paraId="488F62A1">
            <w:pPr>
              <w:pStyle w:val="20"/>
              <w:spacing w:line="500" w:lineRule="exact"/>
              <w:ind w:firstLine="0" w:firstLineChars="0"/>
              <w:jc w:val="center"/>
              <w:rPr>
                <w:rFonts w:ascii="方正仿宋_GB2312" w:hAnsi="方正仿宋_GB2312" w:eastAsia="方正仿宋_GB2312" w:cs="方正仿宋_GB2312"/>
                <w:color w:val="auto"/>
                <w:sz w:val="28"/>
                <w:szCs w:val="28"/>
              </w:rPr>
            </w:pPr>
            <w:r>
              <w:rPr>
                <w:rFonts w:hint="eastAsia" w:ascii="方正仿宋_GB2312" w:hAnsi="方正仿宋_GB2312" w:eastAsia="方正仿宋_GB2312" w:cs="方正仿宋_GB2312"/>
                <w:b/>
                <w:bCs/>
                <w:color w:val="auto"/>
                <w:sz w:val="28"/>
                <w:szCs w:val="28"/>
              </w:rPr>
              <w:t>商务条款</w:t>
            </w:r>
          </w:p>
        </w:tc>
      </w:tr>
      <w:tr w14:paraId="7B37F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atLeast"/>
          <w:jc w:val="center"/>
        </w:trPr>
        <w:tc>
          <w:tcPr>
            <w:tcW w:w="8910" w:type="dxa"/>
            <w:gridSpan w:val="6"/>
            <w:vAlign w:val="center"/>
          </w:tcPr>
          <w:p w14:paraId="2E3F24D4">
            <w:pPr>
              <w:pStyle w:val="20"/>
              <w:spacing w:line="500" w:lineRule="exact"/>
              <w:ind w:firstLine="0" w:firstLineChars="0"/>
              <w:rPr>
                <w:rFonts w:ascii="方正仿宋_GB2312" w:hAnsi="方正仿宋_GB2312" w:eastAsia="方正仿宋_GB2312" w:cs="方正仿宋_GB2312"/>
                <w:color w:val="auto"/>
                <w:sz w:val="28"/>
                <w:szCs w:val="28"/>
              </w:rPr>
            </w:pPr>
          </w:p>
        </w:tc>
      </w:tr>
    </w:tbl>
    <w:p w14:paraId="7519C2F8">
      <w:pPr>
        <w:snapToGrid w:val="0"/>
        <w:spacing w:line="300" w:lineRule="auto"/>
        <w:rPr>
          <w:rFonts w:ascii="宋体" w:hAnsi="宋体"/>
          <w:color w:val="auto"/>
          <w:sz w:val="24"/>
        </w:rPr>
      </w:pPr>
    </w:p>
    <w:p w14:paraId="7978FB3D">
      <w:pPr>
        <w:snapToGrid w:val="0"/>
        <w:spacing w:line="300" w:lineRule="auto"/>
        <w:rPr>
          <w:rFonts w:hint="eastAsia" w:ascii="仿宋_GB2312" w:hAnsi="仿宋_GB2312" w:eastAsia="仿宋_GB2312" w:cs="仿宋_GB2312"/>
          <w:color w:val="auto"/>
          <w:sz w:val="24"/>
        </w:rPr>
      </w:pPr>
      <w:r>
        <w:rPr>
          <w:rFonts w:hint="eastAsia" w:ascii="仿宋_GB2312" w:hAnsi="仿宋_GB2312" w:eastAsia="仿宋_GB2312" w:cs="仿宋_GB2312"/>
          <w:color w:val="auto"/>
          <w:sz w:val="24"/>
        </w:rPr>
        <w:t>说明：所有价格均用人民币表示，单位为元，精确到个位数。</w:t>
      </w:r>
    </w:p>
    <w:sectPr>
      <w:footerReference r:id="rId5" w:type="default"/>
      <w:pgSz w:w="11906" w:h="16838"/>
      <w:pgMar w:top="1134" w:right="1134" w:bottom="1134"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等线 Light">
    <w:altName w:val="Arial Unicode MS"/>
    <w:panose1 w:val="00000000000000000000"/>
    <w:charset w:val="86"/>
    <w:family w:val="auto"/>
    <w:pitch w:val="default"/>
    <w:sig w:usb0="00000000" w:usb1="00000000" w:usb2="00000016" w:usb3="00000000" w:csb0="0004000F" w:csb1="00000000"/>
  </w:font>
  <w:font w:name="方正仿宋_GBK">
    <w:altName w:val="Arial Unicode MS"/>
    <w:panose1 w:val="02000000000000000000"/>
    <w:charset w:val="86"/>
    <w:family w:val="script"/>
    <w:pitch w:val="default"/>
    <w:sig w:usb0="00000000" w:usb1="00000000" w:usb2="00082016" w:usb3="00000000" w:csb0="00040001" w:csb1="00000000"/>
  </w:font>
  <w:font w:name="方正公文小标宋">
    <w:altName w:val="宋体"/>
    <w:panose1 w:val="00000000000000000000"/>
    <w:charset w:val="86"/>
    <w:family w:val="auto"/>
    <w:pitch w:val="default"/>
    <w:sig w:usb0="00000000" w:usb1="00000000"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2312">
    <w:altName w:val="仿宋"/>
    <w:panose1 w:val="00000000000000000000"/>
    <w:charset w:val="86"/>
    <w:family w:val="auto"/>
    <w:pitch w:val="default"/>
    <w:sig w:usb0="00000000" w:usb1="00000000" w:usb2="00000012" w:usb3="00000000" w:csb0="00040001"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ED173">
    <w:pPr>
      <w:pStyle w:val="1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C53D46">
                          <w:pPr>
                            <w:pStyle w:val="15"/>
                          </w:pPr>
                          <w:r>
                            <w:t xml:space="preserve">第 </w:t>
                          </w:r>
                          <w:r>
                            <w:fldChar w:fldCharType="begin"/>
                          </w:r>
                          <w:r>
                            <w:instrText xml:space="preserve"> PAGE  \* MERGEFORMAT </w:instrText>
                          </w:r>
                          <w:r>
                            <w:fldChar w:fldCharType="separate"/>
                          </w:r>
                          <w:r>
                            <w:t>10</w:t>
                          </w:r>
                          <w:r>
                            <w:fldChar w:fldCharType="end"/>
                          </w:r>
                          <w:r>
                            <w:t xml:space="preserve"> 页 共 </w:t>
                          </w:r>
                          <w:r>
                            <w:fldChar w:fldCharType="begin"/>
                          </w:r>
                          <w:r>
                            <w:instrText xml:space="preserve"> NUMPAGES  \* MERGEFORMAT </w:instrText>
                          </w:r>
                          <w:r>
                            <w:fldChar w:fldCharType="separate"/>
                          </w:r>
                          <w:r>
                            <w:t>10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1C53D46">
                    <w:pPr>
                      <w:pStyle w:val="15"/>
                    </w:pPr>
                    <w:r>
                      <w:t xml:space="preserve">第 </w:t>
                    </w:r>
                    <w:r>
                      <w:fldChar w:fldCharType="begin"/>
                    </w:r>
                    <w:r>
                      <w:instrText xml:space="preserve"> PAGE  \* MERGEFORMAT </w:instrText>
                    </w:r>
                    <w:r>
                      <w:fldChar w:fldCharType="separate"/>
                    </w:r>
                    <w:r>
                      <w:t>10</w:t>
                    </w:r>
                    <w:r>
                      <w:fldChar w:fldCharType="end"/>
                    </w:r>
                    <w:r>
                      <w:t xml:space="preserve"> 页 共 </w:t>
                    </w:r>
                    <w:r>
                      <w:fldChar w:fldCharType="begin"/>
                    </w:r>
                    <w:r>
                      <w:instrText xml:space="preserve"> NUMPAGES  \* MERGEFORMAT </w:instrText>
                    </w:r>
                    <w:r>
                      <w:fldChar w:fldCharType="separate"/>
                    </w:r>
                    <w:r>
                      <w:t>10</w:t>
                    </w:r>
                    <w:r>
                      <w:fldChar w:fldCharType="end"/>
                    </w:r>
                    <w: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CE83E4"/>
    <w:multiLevelType w:val="singleLevel"/>
    <w:tmpl w:val="8CCE83E4"/>
    <w:lvl w:ilvl="0" w:tentative="0">
      <w:start w:val="1"/>
      <w:numFmt w:val="decimal"/>
      <w:suff w:val="nothing"/>
      <w:lvlText w:val="%1、"/>
      <w:lvlJc w:val="left"/>
    </w:lvl>
  </w:abstractNum>
  <w:abstractNum w:abstractNumId="1">
    <w:nsid w:val="62E96DE9"/>
    <w:multiLevelType w:val="singleLevel"/>
    <w:tmpl w:val="62E96DE9"/>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10B"/>
    <w:rsid w:val="00122BC9"/>
    <w:rsid w:val="001F4CE5"/>
    <w:rsid w:val="0053770F"/>
    <w:rsid w:val="00680535"/>
    <w:rsid w:val="006B5F65"/>
    <w:rsid w:val="006E6847"/>
    <w:rsid w:val="007207FB"/>
    <w:rsid w:val="00741595"/>
    <w:rsid w:val="008D010B"/>
    <w:rsid w:val="008F3A24"/>
    <w:rsid w:val="00910FD5"/>
    <w:rsid w:val="00953DE0"/>
    <w:rsid w:val="00966473"/>
    <w:rsid w:val="00A05A76"/>
    <w:rsid w:val="00AA2422"/>
    <w:rsid w:val="00AD7EA6"/>
    <w:rsid w:val="00AF7967"/>
    <w:rsid w:val="00B773AE"/>
    <w:rsid w:val="00BE6F39"/>
    <w:rsid w:val="00BF2484"/>
    <w:rsid w:val="00C1428D"/>
    <w:rsid w:val="00CE2579"/>
    <w:rsid w:val="00DD00C5"/>
    <w:rsid w:val="00DF08DC"/>
    <w:rsid w:val="00F66442"/>
    <w:rsid w:val="07CF2284"/>
    <w:rsid w:val="086E09CD"/>
    <w:rsid w:val="1253066B"/>
    <w:rsid w:val="12AD254F"/>
    <w:rsid w:val="29B93937"/>
    <w:rsid w:val="3B42764C"/>
    <w:rsid w:val="3EFD446C"/>
    <w:rsid w:val="4BD05E61"/>
    <w:rsid w:val="4F624B61"/>
    <w:rsid w:val="5C7637EA"/>
    <w:rsid w:val="5DB30DC5"/>
    <w:rsid w:val="5DED1661"/>
    <w:rsid w:val="6E6F15A7"/>
    <w:rsid w:val="731423A5"/>
    <w:rsid w:val="77CB7B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23"/>
    <w:qFormat/>
    <w:uiPriority w:val="9"/>
    <w:pPr>
      <w:keepNext/>
      <w:keepLines/>
      <w:spacing w:before="480" w:after="80"/>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4">
    <w:name w:val="heading 2"/>
    <w:basedOn w:val="1"/>
    <w:next w:val="1"/>
    <w:link w:val="24"/>
    <w:semiHidden/>
    <w:unhideWhenUsed/>
    <w:qFormat/>
    <w:uiPriority w:val="9"/>
    <w:pPr>
      <w:keepNext/>
      <w:keepLines/>
      <w:spacing w:before="160" w:after="80"/>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5">
    <w:name w:val="heading 3"/>
    <w:basedOn w:val="1"/>
    <w:next w:val="1"/>
    <w:link w:val="25"/>
    <w:semiHidden/>
    <w:unhideWhenUsed/>
    <w:qFormat/>
    <w:uiPriority w:val="9"/>
    <w:pPr>
      <w:keepNext/>
      <w:keepLines/>
      <w:spacing w:before="160" w:after="80"/>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6">
    <w:name w:val="heading 4"/>
    <w:basedOn w:val="1"/>
    <w:next w:val="1"/>
    <w:link w:val="26"/>
    <w:semiHidden/>
    <w:unhideWhenUsed/>
    <w:qFormat/>
    <w:uiPriority w:val="9"/>
    <w:pPr>
      <w:keepNext/>
      <w:keepLines/>
      <w:spacing w:before="80" w:after="40"/>
      <w:jc w:val="left"/>
      <w:outlineLvl w:val="3"/>
    </w:pPr>
    <w:rPr>
      <w:rFonts w:cstheme="majorBidi"/>
      <w:color w:val="104862" w:themeColor="accent1" w:themeShade="BF"/>
      <w:sz w:val="28"/>
      <w:szCs w:val="28"/>
      <w14:ligatures w14:val="standardContextual"/>
    </w:rPr>
  </w:style>
  <w:style w:type="paragraph" w:styleId="7">
    <w:name w:val="heading 5"/>
    <w:basedOn w:val="1"/>
    <w:next w:val="1"/>
    <w:link w:val="27"/>
    <w:semiHidden/>
    <w:unhideWhenUsed/>
    <w:qFormat/>
    <w:uiPriority w:val="9"/>
    <w:pPr>
      <w:keepNext/>
      <w:keepLines/>
      <w:spacing w:before="80" w:after="40"/>
      <w:jc w:val="left"/>
      <w:outlineLvl w:val="4"/>
    </w:pPr>
    <w:rPr>
      <w:rFonts w:cstheme="majorBidi"/>
      <w:color w:val="104862" w:themeColor="accent1" w:themeShade="BF"/>
      <w:sz w:val="24"/>
      <w14:ligatures w14:val="standardContextual"/>
    </w:rPr>
  </w:style>
  <w:style w:type="paragraph" w:styleId="8">
    <w:name w:val="heading 6"/>
    <w:basedOn w:val="1"/>
    <w:next w:val="1"/>
    <w:link w:val="28"/>
    <w:semiHidden/>
    <w:unhideWhenUsed/>
    <w:qFormat/>
    <w:uiPriority w:val="9"/>
    <w:pPr>
      <w:keepNext/>
      <w:keepLines/>
      <w:spacing w:before="40" w:after="0"/>
      <w:jc w:val="left"/>
      <w:outlineLvl w:val="5"/>
    </w:pPr>
    <w:rPr>
      <w:rFonts w:cstheme="majorBidi"/>
      <w:b/>
      <w:bCs/>
      <w:color w:val="104862" w:themeColor="accent1" w:themeShade="BF"/>
      <w:sz w:val="22"/>
      <w14:ligatures w14:val="standardContextual"/>
    </w:rPr>
  </w:style>
  <w:style w:type="paragraph" w:styleId="9">
    <w:name w:val="heading 7"/>
    <w:basedOn w:val="1"/>
    <w:next w:val="1"/>
    <w:link w:val="29"/>
    <w:semiHidden/>
    <w:unhideWhenUsed/>
    <w:qFormat/>
    <w:uiPriority w:val="9"/>
    <w:pPr>
      <w:keepNext/>
      <w:keepLines/>
      <w:spacing w:before="40" w:after="0"/>
      <w:jc w:val="left"/>
      <w:outlineLvl w:val="6"/>
    </w:pPr>
    <w:rPr>
      <w:rFonts w:cstheme="majorBidi"/>
      <w:b/>
      <w:bCs/>
      <w:color w:val="595959" w:themeColor="text1" w:themeTint="A6"/>
      <w:sz w:val="22"/>
      <w14:textFill>
        <w14:solidFill>
          <w14:schemeClr w14:val="tx1">
            <w14:lumMod w14:val="65000"/>
            <w14:lumOff w14:val="35000"/>
          </w14:schemeClr>
        </w14:solidFill>
      </w14:textFill>
      <w14:ligatures w14:val="standardContextual"/>
    </w:rPr>
  </w:style>
  <w:style w:type="paragraph" w:styleId="10">
    <w:name w:val="heading 8"/>
    <w:basedOn w:val="1"/>
    <w:next w:val="1"/>
    <w:link w:val="30"/>
    <w:semiHidden/>
    <w:unhideWhenUsed/>
    <w:qFormat/>
    <w:uiPriority w:val="9"/>
    <w:pPr>
      <w:keepNext/>
      <w:keepLines/>
      <w:spacing w:after="0"/>
      <w:jc w:val="left"/>
      <w:outlineLvl w:val="7"/>
    </w:pPr>
    <w:rPr>
      <w:rFonts w:cstheme="majorBidi"/>
      <w:color w:val="595959" w:themeColor="text1" w:themeTint="A6"/>
      <w:sz w:val="22"/>
      <w14:textFill>
        <w14:solidFill>
          <w14:schemeClr w14:val="tx1">
            <w14:lumMod w14:val="65000"/>
            <w14:lumOff w14:val="35000"/>
          </w14:schemeClr>
        </w14:solidFill>
      </w14:textFill>
      <w14:ligatures w14:val="standardContextual"/>
    </w:rPr>
  </w:style>
  <w:style w:type="paragraph" w:styleId="11">
    <w:name w:val="heading 9"/>
    <w:basedOn w:val="1"/>
    <w:next w:val="1"/>
    <w:link w:val="31"/>
    <w:semiHidden/>
    <w:unhideWhenUsed/>
    <w:qFormat/>
    <w:uiPriority w:val="9"/>
    <w:pPr>
      <w:keepNext/>
      <w:keepLines/>
      <w:spacing w:after="0"/>
      <w:jc w:val="left"/>
      <w:outlineLvl w:val="8"/>
    </w:pPr>
    <w:rPr>
      <w:rFonts w:eastAsiaTheme="maj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character" w:default="1" w:styleId="22">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after="160" w:line="278" w:lineRule="auto"/>
    </w:pPr>
    <w:rPr>
      <w:rFonts w:ascii="Times New Roman" w:hAnsi="Times New Roman" w:eastAsia="宋体" w:cs="Times New Roman"/>
      <w:color w:val="000000"/>
      <w:sz w:val="24"/>
      <w:szCs w:val="24"/>
      <w:lang w:val="en-US" w:eastAsia="zh-CN" w:bidi="ar-SA"/>
    </w:rPr>
  </w:style>
  <w:style w:type="paragraph" w:styleId="12">
    <w:name w:val="annotation text"/>
    <w:basedOn w:val="1"/>
    <w:semiHidden/>
    <w:unhideWhenUsed/>
    <w:qFormat/>
    <w:uiPriority w:val="99"/>
    <w:pPr>
      <w:jc w:val="left"/>
    </w:pPr>
  </w:style>
  <w:style w:type="paragraph" w:styleId="13">
    <w:name w:val="Body Text"/>
    <w:basedOn w:val="1"/>
    <w:link w:val="43"/>
    <w:semiHidden/>
    <w:unhideWhenUsed/>
    <w:qFormat/>
    <w:uiPriority w:val="99"/>
    <w:pPr>
      <w:spacing w:after="120"/>
    </w:pPr>
  </w:style>
  <w:style w:type="paragraph" w:styleId="14">
    <w:name w:val="Body Text Indent"/>
    <w:basedOn w:val="1"/>
    <w:link w:val="45"/>
    <w:semiHidden/>
    <w:unhideWhenUsed/>
    <w:qFormat/>
    <w:uiPriority w:val="99"/>
    <w:pPr>
      <w:spacing w:after="120"/>
      <w:ind w:left="420" w:leftChars="200"/>
    </w:pPr>
  </w:style>
  <w:style w:type="paragraph" w:styleId="15">
    <w:name w:val="footer"/>
    <w:basedOn w:val="1"/>
    <w:link w:val="42"/>
    <w:unhideWhenUsed/>
    <w:qFormat/>
    <w:uiPriority w:val="0"/>
    <w:pPr>
      <w:tabs>
        <w:tab w:val="center" w:pos="4153"/>
        <w:tab w:val="right" w:pos="8306"/>
      </w:tabs>
      <w:snapToGrid w:val="0"/>
      <w:spacing w:line="240" w:lineRule="auto"/>
      <w:jc w:val="left"/>
    </w:pPr>
    <w:rPr>
      <w:sz w:val="18"/>
      <w:szCs w:val="18"/>
      <w14:ligatures w14:val="standardContextual"/>
    </w:rPr>
  </w:style>
  <w:style w:type="paragraph" w:styleId="16">
    <w:name w:val="header"/>
    <w:basedOn w:val="1"/>
    <w:link w:val="41"/>
    <w:unhideWhenUsed/>
    <w:qFormat/>
    <w:uiPriority w:val="99"/>
    <w:pPr>
      <w:tabs>
        <w:tab w:val="center" w:pos="4153"/>
        <w:tab w:val="right" w:pos="8306"/>
      </w:tabs>
      <w:snapToGrid w:val="0"/>
      <w:spacing w:line="240" w:lineRule="auto"/>
      <w:jc w:val="center"/>
    </w:pPr>
    <w:rPr>
      <w:sz w:val="18"/>
      <w:szCs w:val="18"/>
      <w14:ligatures w14:val="standardContextual"/>
    </w:rPr>
  </w:style>
  <w:style w:type="paragraph" w:styleId="17">
    <w:name w:val="Subtitle"/>
    <w:basedOn w:val="1"/>
    <w:next w:val="1"/>
    <w:link w:val="33"/>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8">
    <w:name w:val="Title"/>
    <w:basedOn w:val="1"/>
    <w:next w:val="1"/>
    <w:link w:val="32"/>
    <w:qFormat/>
    <w:uiPriority w:val="10"/>
    <w:pPr>
      <w:spacing w:after="80" w:line="240" w:lineRule="auto"/>
      <w:contextualSpacing/>
      <w:jc w:val="center"/>
    </w:pPr>
    <w:rPr>
      <w:rFonts w:asciiTheme="majorHAnsi" w:hAnsiTheme="majorHAnsi" w:eastAsiaTheme="majorEastAsia" w:cstheme="majorBidi"/>
      <w:spacing w:val="-10"/>
      <w:kern w:val="28"/>
      <w:sz w:val="56"/>
      <w:szCs w:val="56"/>
      <w14:ligatures w14:val="standardContextual"/>
    </w:rPr>
  </w:style>
  <w:style w:type="paragraph" w:styleId="19">
    <w:name w:val="Body Text First Indent"/>
    <w:basedOn w:val="13"/>
    <w:link w:val="44"/>
    <w:qFormat/>
    <w:uiPriority w:val="0"/>
    <w:pPr>
      <w:autoSpaceDE w:val="0"/>
      <w:autoSpaceDN w:val="0"/>
      <w:snapToGrid w:val="0"/>
      <w:spacing w:line="360" w:lineRule="auto"/>
      <w:ind w:right="240" w:firstLine="420" w:firstLineChars="100"/>
      <w:jc w:val="left"/>
    </w:pPr>
    <w:rPr>
      <w:rFonts w:ascii="宋体" w:hAnsi="宋体" w:eastAsia="方正仿宋_GBK"/>
      <w:szCs w:val="28"/>
    </w:rPr>
  </w:style>
  <w:style w:type="paragraph" w:styleId="20">
    <w:name w:val="Body Text First Indent 2"/>
    <w:basedOn w:val="14"/>
    <w:next w:val="19"/>
    <w:link w:val="46"/>
    <w:qFormat/>
    <w:uiPriority w:val="0"/>
    <w:pPr>
      <w:spacing w:after="160" w:line="200" w:lineRule="exact"/>
      <w:ind w:left="0" w:leftChars="0" w:firstLine="420" w:firstLineChars="200"/>
    </w:pPr>
    <w:rPr>
      <w:rFonts w:ascii="宋体" w:hAnsi="Courier New"/>
      <w:spacing w:val="-4"/>
      <w:sz w:val="18"/>
      <w:szCs w:val="20"/>
    </w:rPr>
  </w:style>
  <w:style w:type="character" w:customStyle="1" w:styleId="23">
    <w:name w:val="标题 1 Char"/>
    <w:basedOn w:val="22"/>
    <w:link w:val="3"/>
    <w:qFormat/>
    <w:uiPriority w:val="9"/>
    <w:rPr>
      <w:rFonts w:asciiTheme="majorHAnsi" w:hAnsiTheme="majorHAnsi" w:eastAsiaTheme="majorEastAsia" w:cstheme="majorBidi"/>
      <w:color w:val="104862" w:themeColor="accent1" w:themeShade="BF"/>
      <w:sz w:val="48"/>
      <w:szCs w:val="48"/>
    </w:rPr>
  </w:style>
  <w:style w:type="character" w:customStyle="1" w:styleId="24">
    <w:name w:val="标题 2 Char"/>
    <w:basedOn w:val="22"/>
    <w:link w:val="4"/>
    <w:semiHidden/>
    <w:qFormat/>
    <w:uiPriority w:val="9"/>
    <w:rPr>
      <w:rFonts w:asciiTheme="majorHAnsi" w:hAnsiTheme="majorHAnsi" w:eastAsiaTheme="majorEastAsia" w:cstheme="majorBidi"/>
      <w:color w:val="104862" w:themeColor="accent1" w:themeShade="BF"/>
      <w:sz w:val="40"/>
      <w:szCs w:val="40"/>
    </w:rPr>
  </w:style>
  <w:style w:type="character" w:customStyle="1" w:styleId="25">
    <w:name w:val="标题 3 Char"/>
    <w:basedOn w:val="22"/>
    <w:link w:val="5"/>
    <w:semiHidden/>
    <w:qFormat/>
    <w:uiPriority w:val="9"/>
    <w:rPr>
      <w:rFonts w:asciiTheme="majorHAnsi" w:hAnsiTheme="majorHAnsi" w:eastAsiaTheme="majorEastAsia" w:cstheme="majorBidi"/>
      <w:color w:val="104862" w:themeColor="accent1" w:themeShade="BF"/>
      <w:sz w:val="32"/>
      <w:szCs w:val="32"/>
    </w:rPr>
  </w:style>
  <w:style w:type="character" w:customStyle="1" w:styleId="26">
    <w:name w:val="标题 4 Char"/>
    <w:basedOn w:val="22"/>
    <w:link w:val="6"/>
    <w:semiHidden/>
    <w:qFormat/>
    <w:uiPriority w:val="9"/>
    <w:rPr>
      <w:rFonts w:cstheme="majorBidi"/>
      <w:color w:val="104862" w:themeColor="accent1" w:themeShade="BF"/>
      <w:sz w:val="28"/>
      <w:szCs w:val="28"/>
    </w:rPr>
  </w:style>
  <w:style w:type="character" w:customStyle="1" w:styleId="27">
    <w:name w:val="标题 5 Char"/>
    <w:basedOn w:val="22"/>
    <w:link w:val="7"/>
    <w:semiHidden/>
    <w:qFormat/>
    <w:uiPriority w:val="9"/>
    <w:rPr>
      <w:rFonts w:cstheme="majorBidi"/>
      <w:color w:val="104862" w:themeColor="accent1" w:themeShade="BF"/>
      <w:sz w:val="24"/>
    </w:rPr>
  </w:style>
  <w:style w:type="character" w:customStyle="1" w:styleId="28">
    <w:name w:val="标题 6 Char"/>
    <w:basedOn w:val="22"/>
    <w:link w:val="8"/>
    <w:semiHidden/>
    <w:qFormat/>
    <w:uiPriority w:val="9"/>
    <w:rPr>
      <w:rFonts w:cstheme="majorBidi"/>
      <w:b/>
      <w:bCs/>
      <w:color w:val="104862" w:themeColor="accent1" w:themeShade="BF"/>
    </w:rPr>
  </w:style>
  <w:style w:type="character" w:customStyle="1" w:styleId="29">
    <w:name w:val="标题 7 Char"/>
    <w:basedOn w:val="22"/>
    <w:link w:val="9"/>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0">
    <w:name w:val="标题 8 Char"/>
    <w:basedOn w:val="22"/>
    <w:link w:val="10"/>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1">
    <w:name w:val="标题 9 Char"/>
    <w:basedOn w:val="22"/>
    <w:link w:val="11"/>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2">
    <w:name w:val="标题 Char"/>
    <w:basedOn w:val="22"/>
    <w:link w:val="18"/>
    <w:qFormat/>
    <w:uiPriority w:val="10"/>
    <w:rPr>
      <w:rFonts w:asciiTheme="majorHAnsi" w:hAnsiTheme="majorHAnsi" w:eastAsiaTheme="majorEastAsia" w:cstheme="majorBidi"/>
      <w:spacing w:val="-10"/>
      <w:kern w:val="28"/>
      <w:sz w:val="56"/>
      <w:szCs w:val="56"/>
    </w:rPr>
  </w:style>
  <w:style w:type="character" w:customStyle="1" w:styleId="33">
    <w:name w:val="副标题 Char"/>
    <w:basedOn w:val="22"/>
    <w:link w:val="17"/>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4">
    <w:name w:val="Quote"/>
    <w:basedOn w:val="1"/>
    <w:next w:val="1"/>
    <w:link w:val="35"/>
    <w:qFormat/>
    <w:uiPriority w:val="29"/>
    <w:pPr>
      <w:spacing w:before="160"/>
      <w:jc w:val="center"/>
    </w:pPr>
    <w:rPr>
      <w:i/>
      <w:iCs/>
      <w:color w:val="404040" w:themeColor="text1" w:themeTint="BF"/>
      <w:sz w:val="22"/>
      <w14:textFill>
        <w14:solidFill>
          <w14:schemeClr w14:val="tx1">
            <w14:lumMod w14:val="75000"/>
            <w14:lumOff w14:val="25000"/>
          </w14:schemeClr>
        </w14:solidFill>
      </w14:textFill>
      <w14:ligatures w14:val="standardContextual"/>
    </w:rPr>
  </w:style>
  <w:style w:type="character" w:customStyle="1" w:styleId="35">
    <w:name w:val="引用 Char"/>
    <w:basedOn w:val="22"/>
    <w:link w:val="34"/>
    <w:qFormat/>
    <w:uiPriority w:val="29"/>
    <w:rPr>
      <w:i/>
      <w:iCs/>
      <w:color w:val="404040" w:themeColor="text1" w:themeTint="BF"/>
      <w14:textFill>
        <w14:solidFill>
          <w14:schemeClr w14:val="tx1">
            <w14:lumMod w14:val="75000"/>
            <w14:lumOff w14:val="25000"/>
          </w14:schemeClr>
        </w14:solidFill>
      </w14:textFill>
    </w:rPr>
  </w:style>
  <w:style w:type="paragraph" w:styleId="36">
    <w:name w:val="List Paragraph"/>
    <w:basedOn w:val="1"/>
    <w:qFormat/>
    <w:uiPriority w:val="34"/>
    <w:pPr>
      <w:ind w:left="720"/>
      <w:contextualSpacing/>
      <w:jc w:val="left"/>
    </w:pPr>
    <w:rPr>
      <w:sz w:val="22"/>
      <w14:ligatures w14:val="standardContextual"/>
    </w:rPr>
  </w:style>
  <w:style w:type="character" w:customStyle="1" w:styleId="37">
    <w:name w:val="明显强调1"/>
    <w:basedOn w:val="22"/>
    <w:qFormat/>
    <w:uiPriority w:val="21"/>
    <w:rPr>
      <w:i/>
      <w:iCs/>
      <w:color w:val="104862" w:themeColor="accent1" w:themeShade="BF"/>
    </w:rPr>
  </w:style>
  <w:style w:type="paragraph" w:styleId="38">
    <w:name w:val="Intense Quote"/>
    <w:basedOn w:val="1"/>
    <w:next w:val="1"/>
    <w:link w:val="39"/>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sz w:val="22"/>
      <w14:ligatures w14:val="standardContextual"/>
    </w:rPr>
  </w:style>
  <w:style w:type="character" w:customStyle="1" w:styleId="39">
    <w:name w:val="明显引用 Char"/>
    <w:basedOn w:val="22"/>
    <w:link w:val="38"/>
    <w:qFormat/>
    <w:uiPriority w:val="30"/>
    <w:rPr>
      <w:i/>
      <w:iCs/>
      <w:color w:val="104862" w:themeColor="accent1" w:themeShade="BF"/>
    </w:rPr>
  </w:style>
  <w:style w:type="character" w:customStyle="1" w:styleId="40">
    <w:name w:val="明显参考1"/>
    <w:basedOn w:val="22"/>
    <w:qFormat/>
    <w:uiPriority w:val="32"/>
    <w:rPr>
      <w:b/>
      <w:bCs/>
      <w:smallCaps/>
      <w:color w:val="104862" w:themeColor="accent1" w:themeShade="BF"/>
      <w:spacing w:val="5"/>
    </w:rPr>
  </w:style>
  <w:style w:type="character" w:customStyle="1" w:styleId="41">
    <w:name w:val="页眉 Char"/>
    <w:basedOn w:val="22"/>
    <w:link w:val="16"/>
    <w:qFormat/>
    <w:uiPriority w:val="99"/>
    <w:rPr>
      <w:sz w:val="18"/>
      <w:szCs w:val="18"/>
    </w:rPr>
  </w:style>
  <w:style w:type="character" w:customStyle="1" w:styleId="42">
    <w:name w:val="页脚 Char"/>
    <w:basedOn w:val="22"/>
    <w:link w:val="15"/>
    <w:qFormat/>
    <w:uiPriority w:val="99"/>
    <w:rPr>
      <w:sz w:val="18"/>
      <w:szCs w:val="18"/>
    </w:rPr>
  </w:style>
  <w:style w:type="character" w:customStyle="1" w:styleId="43">
    <w:name w:val="正文文本 Char"/>
    <w:basedOn w:val="22"/>
    <w:link w:val="13"/>
    <w:semiHidden/>
    <w:qFormat/>
    <w:uiPriority w:val="99"/>
    <w:rPr>
      <w:sz w:val="21"/>
      <w14:ligatures w14:val="none"/>
    </w:rPr>
  </w:style>
  <w:style w:type="character" w:customStyle="1" w:styleId="44">
    <w:name w:val="正文首行缩进 Char"/>
    <w:basedOn w:val="43"/>
    <w:link w:val="19"/>
    <w:qFormat/>
    <w:uiPriority w:val="0"/>
    <w:rPr>
      <w:rFonts w:ascii="宋体" w:hAnsi="宋体" w:eastAsia="方正仿宋_GBK"/>
      <w:sz w:val="21"/>
      <w:szCs w:val="28"/>
      <w14:ligatures w14:val="none"/>
    </w:rPr>
  </w:style>
  <w:style w:type="character" w:customStyle="1" w:styleId="45">
    <w:name w:val="正文文本缩进 Char"/>
    <w:basedOn w:val="22"/>
    <w:link w:val="14"/>
    <w:semiHidden/>
    <w:qFormat/>
    <w:uiPriority w:val="99"/>
    <w:rPr>
      <w:sz w:val="21"/>
      <w14:ligatures w14:val="none"/>
    </w:rPr>
  </w:style>
  <w:style w:type="character" w:customStyle="1" w:styleId="46">
    <w:name w:val="正文首行缩进 2 Char"/>
    <w:basedOn w:val="45"/>
    <w:link w:val="20"/>
    <w:qFormat/>
    <w:uiPriority w:val="0"/>
    <w:rPr>
      <w:rFonts w:ascii="宋体" w:hAnsi="Courier New"/>
      <w:spacing w:val="-4"/>
      <w:sz w:val="18"/>
      <w:szCs w:val="20"/>
      <w14:ligatures w14:val="none"/>
    </w:rPr>
  </w:style>
  <w:style w:type="character" w:customStyle="1" w:styleId="47">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11</Pages>
  <Words>2945</Words>
  <Characters>3593</Characters>
  <Lines>42</Lines>
  <Paragraphs>12</Paragraphs>
  <TotalTime>43</TotalTime>
  <ScaleCrop>false</ScaleCrop>
  <LinksUpToDate>false</LinksUpToDate>
  <CharactersWithSpaces>3699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2026-05-14T01:57:00Z</dcterms:created>
  <dc:creator>8618607719145</dc:creator>
  <cp:lastModifiedBy>龍猫圈圈</cp:lastModifiedBy>
  <dcterms:modified xsi:type="dcterms:W3CDTF">2026-06-08T03:46:52Z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eyJoZGlkIjoiZDJiN2I3Y2NlNDkyOWVkYWI4MjYzY2IyNmQ5MzQ2YjIiLCJ1c2VySWQiOiIzNjIyMTYyOTgifQ==</vt:lpwstr>
  </property>
  <property fmtid="{D5CDD505-2E9C-101B-9397-08002B2CF9AE}" pid="3" name="KSOProductBuildVer">
    <vt:lpwstr>2052-12.1.0.26895</vt:lpwstr>
  </property>
  <property fmtid="{D5CDD505-2E9C-101B-9397-08002B2CF9AE}" pid="4" name="ICV">
    <vt:lpwstr>D63EA64E4EF94C3495EBA6D34EBDEA50_13</vt:lpwstr>
  </property>
</Properties>
</file>