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E5B90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公文小标宋" w:hAnsi="方正公文小标宋" w:eastAsia="方正公文小标宋" w:cs="方正公文小标宋"/>
          <w:b/>
          <w:bCs/>
          <w:sz w:val="36"/>
          <w:szCs w:val="36"/>
        </w:rPr>
      </w:pPr>
      <w:r>
        <w:rPr>
          <w:rFonts w:hint="eastAsia" w:ascii="方正公文小标宋" w:hAnsi="方正公文小标宋" w:eastAsia="方正公文小标宋" w:cs="方正公文小标宋"/>
          <w:b/>
          <w:bCs/>
          <w:sz w:val="36"/>
          <w:szCs w:val="36"/>
          <w:lang w:eastAsia="zh-CN"/>
        </w:rPr>
        <w:t>南宁市卫生学校关</w:t>
      </w:r>
      <w:r>
        <w:rPr>
          <w:rFonts w:hint="eastAsia" w:ascii="方正公文小标宋" w:hAnsi="方正公文小标宋" w:eastAsia="方正公文小标宋" w:cs="方正公文小标宋"/>
          <w:b/>
          <w:bCs/>
          <w:sz w:val="36"/>
          <w:szCs w:val="36"/>
          <w:lang w:val="en-US" w:eastAsia="zh-CN"/>
        </w:rPr>
        <w:t>于</w:t>
      </w:r>
      <w:r>
        <w:rPr>
          <w:rFonts w:hint="eastAsia" w:ascii="方正公文小标宋" w:hAnsi="方正公文小标宋" w:eastAsia="方正公文小标宋" w:cs="方正公文小标宋"/>
          <w:b/>
          <w:bCs/>
          <w:sz w:val="36"/>
          <w:szCs w:val="36"/>
          <w:u w:val="single"/>
          <w:lang w:val="en-US" w:eastAsia="zh-CN"/>
        </w:rPr>
        <w:t>预算项目设计及预算编制服务</w:t>
      </w:r>
      <w:r>
        <w:rPr>
          <w:rFonts w:hint="eastAsia" w:ascii="方正公文小标宋" w:hAnsi="方正公文小标宋" w:eastAsia="方正公文小标宋" w:cs="方正公文小标宋"/>
          <w:b/>
          <w:bCs/>
          <w:sz w:val="36"/>
          <w:szCs w:val="36"/>
        </w:rPr>
        <w:t>项目</w:t>
      </w:r>
      <w:r>
        <w:rPr>
          <w:rFonts w:hint="eastAsia" w:ascii="方正公文小标宋" w:hAnsi="方正公文小标宋" w:eastAsia="方正公文小标宋" w:cs="方正公文小标宋"/>
          <w:b/>
          <w:bCs/>
          <w:sz w:val="36"/>
          <w:szCs w:val="36"/>
          <w:lang w:val="en-US" w:eastAsia="zh-CN"/>
        </w:rPr>
        <w:t>参数、价格及服务方案公开征集</w:t>
      </w:r>
      <w:r>
        <w:rPr>
          <w:rFonts w:hint="eastAsia" w:ascii="方正公文小标宋" w:hAnsi="方正公文小标宋" w:eastAsia="方正公文小标宋" w:cs="方正公文小标宋"/>
          <w:b/>
          <w:bCs/>
          <w:sz w:val="36"/>
          <w:szCs w:val="36"/>
        </w:rPr>
        <w:t>公告</w:t>
      </w:r>
    </w:p>
    <w:p w14:paraId="49B0FA2C">
      <w:pPr>
        <w:pStyle w:val="2"/>
        <w:jc w:val="center"/>
        <w:rPr>
          <w:rFonts w:hint="eastAsia" w:ascii="仿宋" w:hAnsi="仿宋" w:eastAsia="仿宋" w:cs="仿宋"/>
          <w:b/>
          <w:bCs/>
          <w:color w:val="auto"/>
          <w:kern w:val="2"/>
          <w:sz w:val="30"/>
          <w:szCs w:val="30"/>
          <w:lang w:val="en-US" w:eastAsia="zh-CN" w:bidi="ar-SA"/>
        </w:rPr>
      </w:pPr>
      <w:r>
        <w:rPr>
          <w:rFonts w:hint="eastAsia" w:ascii="仿宋" w:hAnsi="仿宋" w:eastAsia="仿宋" w:cs="仿宋"/>
          <w:b/>
          <w:bCs/>
          <w:color w:val="auto"/>
          <w:kern w:val="2"/>
          <w:sz w:val="30"/>
          <w:szCs w:val="30"/>
          <w:lang w:val="en-US" w:eastAsia="zh-CN" w:bidi="ar-SA"/>
        </w:rPr>
        <w:t>（服务类）</w:t>
      </w:r>
    </w:p>
    <w:p w14:paraId="2B9AB32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07CEB1B0">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rPr>
      </w:pPr>
      <w:r>
        <w:rPr>
          <w:rFonts w:hint="eastAsia" w:ascii="仿宋" w:hAnsi="仿宋" w:eastAsia="仿宋" w:cs="仿宋"/>
          <w:sz w:val="30"/>
          <w:szCs w:val="30"/>
          <w:lang w:eastAsia="zh-CN"/>
        </w:rPr>
        <w:t>根据学校</w:t>
      </w:r>
      <w:r>
        <w:rPr>
          <w:rFonts w:hint="eastAsia" w:ascii="仿宋" w:hAnsi="仿宋" w:eastAsia="仿宋" w:cs="仿宋"/>
          <w:sz w:val="30"/>
          <w:szCs w:val="30"/>
          <w:u w:val="single"/>
          <w:lang w:val="en-US" w:eastAsia="zh-CN"/>
        </w:rPr>
        <w:t>预算项目设计及预算编制服务</w:t>
      </w:r>
      <w:r>
        <w:rPr>
          <w:rFonts w:hint="eastAsia" w:ascii="仿宋" w:hAnsi="仿宋" w:eastAsia="仿宋" w:cs="仿宋"/>
          <w:sz w:val="30"/>
          <w:szCs w:val="30"/>
          <w:lang w:val="en-US" w:eastAsia="zh-CN"/>
        </w:rPr>
        <w:t>项目采购工作需要</w:t>
      </w:r>
      <w:r>
        <w:rPr>
          <w:rFonts w:hint="eastAsia" w:ascii="仿宋" w:hAnsi="仿宋" w:eastAsia="仿宋" w:cs="仿宋"/>
          <w:sz w:val="30"/>
          <w:szCs w:val="30"/>
        </w:rPr>
        <w:t>，现拟对</w:t>
      </w:r>
      <w:r>
        <w:rPr>
          <w:rFonts w:hint="eastAsia" w:ascii="仿宋" w:hAnsi="仿宋" w:eastAsia="仿宋" w:cs="仿宋"/>
          <w:sz w:val="30"/>
          <w:szCs w:val="30"/>
          <w:u w:val="single"/>
          <w:lang w:val="en-US" w:eastAsia="zh-CN"/>
        </w:rPr>
        <w:t>预算目设计及预算编制服务</w:t>
      </w:r>
      <w:r>
        <w:rPr>
          <w:rFonts w:hint="eastAsia" w:ascii="仿宋" w:hAnsi="仿宋" w:eastAsia="仿宋" w:cs="仿宋"/>
          <w:sz w:val="30"/>
          <w:szCs w:val="30"/>
        </w:rPr>
        <w:t>项目</w:t>
      </w:r>
      <w:r>
        <w:rPr>
          <w:rFonts w:hint="eastAsia" w:ascii="仿宋" w:hAnsi="仿宋" w:eastAsia="仿宋" w:cs="仿宋"/>
          <w:sz w:val="30"/>
          <w:szCs w:val="30"/>
          <w:lang w:val="en-US" w:eastAsia="zh-CN"/>
        </w:rPr>
        <w:t>公开</w:t>
      </w:r>
      <w:r>
        <w:rPr>
          <w:rFonts w:hint="eastAsia" w:ascii="仿宋" w:hAnsi="仿宋" w:eastAsia="仿宋" w:cs="仿宋"/>
          <w:sz w:val="30"/>
          <w:szCs w:val="30"/>
        </w:rPr>
        <w:t>进行</w:t>
      </w:r>
      <w:r>
        <w:rPr>
          <w:rFonts w:hint="eastAsia" w:ascii="仿宋" w:hAnsi="仿宋" w:eastAsia="仿宋" w:cs="仿宋"/>
          <w:sz w:val="30"/>
          <w:szCs w:val="30"/>
          <w:lang w:val="en-US" w:eastAsia="zh-CN"/>
        </w:rPr>
        <w:t>参数、价格及服务方案的</w:t>
      </w:r>
      <w:r>
        <w:rPr>
          <w:rFonts w:hint="eastAsia" w:ascii="仿宋" w:hAnsi="仿宋" w:eastAsia="仿宋" w:cs="仿宋"/>
          <w:sz w:val="30"/>
          <w:szCs w:val="30"/>
          <w:lang w:eastAsia="zh-CN"/>
        </w:rPr>
        <w:t>征集</w:t>
      </w:r>
      <w:r>
        <w:rPr>
          <w:rFonts w:hint="eastAsia" w:ascii="仿宋" w:hAnsi="仿宋" w:eastAsia="仿宋" w:cs="仿宋"/>
          <w:sz w:val="30"/>
          <w:szCs w:val="30"/>
        </w:rPr>
        <w:t>。诚邀具备相关资质和经验服务机构参与，为</w:t>
      </w:r>
      <w:r>
        <w:rPr>
          <w:rFonts w:hint="eastAsia" w:ascii="仿宋" w:hAnsi="仿宋" w:eastAsia="仿宋" w:cs="仿宋"/>
          <w:sz w:val="30"/>
          <w:szCs w:val="30"/>
          <w:lang w:eastAsia="zh-CN"/>
        </w:rPr>
        <w:t>我校</w:t>
      </w:r>
      <w:r>
        <w:rPr>
          <w:rFonts w:hint="eastAsia" w:ascii="仿宋" w:hAnsi="仿宋" w:eastAsia="仿宋" w:cs="仿宋"/>
          <w:sz w:val="30"/>
          <w:szCs w:val="30"/>
        </w:rPr>
        <w:t>提供宝贵的市场信息和建议。</w:t>
      </w:r>
    </w:p>
    <w:p w14:paraId="273C456D">
      <w:pPr>
        <w:keepNext w:val="0"/>
        <w:keepLines w:val="0"/>
        <w:pageBreakBefore w:val="0"/>
        <w:widowControl w:val="0"/>
        <w:kinsoku/>
        <w:wordWrap/>
        <w:overflowPunct/>
        <w:topLinePunct w:val="0"/>
        <w:autoSpaceDE/>
        <w:autoSpaceDN/>
        <w:bidi w:val="0"/>
        <w:adjustRightInd/>
        <w:snapToGrid/>
        <w:spacing w:line="560" w:lineRule="exact"/>
        <w:ind w:firstLine="602" w:firstLineChars="200"/>
        <w:jc w:val="both"/>
        <w:textAlignment w:val="auto"/>
        <w:rPr>
          <w:rFonts w:hint="eastAsia" w:ascii="仿宋" w:hAnsi="仿宋" w:eastAsia="仿宋" w:cs="仿宋"/>
          <w:b/>
          <w:bCs/>
          <w:sz w:val="30"/>
          <w:szCs w:val="30"/>
        </w:rPr>
      </w:pPr>
      <w:r>
        <w:rPr>
          <w:rFonts w:hint="eastAsia" w:ascii="仿宋" w:hAnsi="仿宋" w:eastAsia="仿宋" w:cs="仿宋"/>
          <w:b/>
          <w:bCs/>
          <w:sz w:val="30"/>
          <w:szCs w:val="30"/>
        </w:rPr>
        <w:t>一、项目背景与目的</w:t>
      </w:r>
    </w:p>
    <w:p w14:paraId="22E0A79C">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为</w:t>
      </w:r>
      <w:r>
        <w:rPr>
          <w:rFonts w:hint="eastAsia" w:ascii="仿宋" w:hAnsi="仿宋" w:eastAsia="仿宋" w:cs="仿宋"/>
          <w:sz w:val="30"/>
          <w:szCs w:val="30"/>
          <w:u w:val="single"/>
          <w:lang w:val="en-US" w:eastAsia="zh-CN"/>
        </w:rPr>
        <w:t>保障学校年度预算内各类小型基建、修缮及改造项目规范推进，强化项目前期设计及造价管控，合理控制投资成本、提高资金使用效益</w:t>
      </w:r>
      <w:r>
        <w:rPr>
          <w:rFonts w:hint="eastAsia" w:ascii="仿宋" w:hAnsi="仿宋" w:eastAsia="仿宋" w:cs="仿宋"/>
          <w:sz w:val="30"/>
          <w:szCs w:val="30"/>
        </w:rPr>
        <w:t>。本次</w:t>
      </w:r>
      <w:r>
        <w:rPr>
          <w:rFonts w:hint="eastAsia" w:ascii="仿宋" w:hAnsi="仿宋" w:eastAsia="仿宋" w:cs="仿宋"/>
          <w:sz w:val="30"/>
          <w:szCs w:val="30"/>
          <w:lang w:eastAsia="zh-CN"/>
        </w:rPr>
        <w:t>公开征集</w:t>
      </w:r>
      <w:r>
        <w:rPr>
          <w:rFonts w:hint="eastAsia" w:ascii="仿宋" w:hAnsi="仿宋" w:eastAsia="仿宋" w:cs="仿宋"/>
          <w:sz w:val="30"/>
          <w:szCs w:val="30"/>
        </w:rPr>
        <w:t>旨在全面了解当前</w:t>
      </w:r>
      <w:r>
        <w:rPr>
          <w:rFonts w:hint="eastAsia" w:ascii="仿宋" w:hAnsi="仿宋" w:eastAsia="仿宋" w:cs="仿宋"/>
          <w:sz w:val="30"/>
          <w:szCs w:val="30"/>
          <w:u w:val="none"/>
          <w:lang w:val="en-US" w:eastAsia="zh-CN"/>
        </w:rPr>
        <w:t>____设计___</w:t>
      </w:r>
      <w:r>
        <w:rPr>
          <w:rFonts w:hint="eastAsia" w:ascii="仿宋" w:hAnsi="仿宋" w:eastAsia="仿宋" w:cs="仿宋"/>
          <w:sz w:val="30"/>
          <w:szCs w:val="30"/>
        </w:rPr>
        <w:t>服务的市场状况、技术标准、服务模式及价格水平，为我</w:t>
      </w:r>
      <w:r>
        <w:rPr>
          <w:rFonts w:hint="eastAsia" w:ascii="仿宋" w:hAnsi="仿宋" w:eastAsia="仿宋" w:cs="仿宋"/>
          <w:sz w:val="30"/>
          <w:szCs w:val="30"/>
          <w:lang w:eastAsia="zh-CN"/>
        </w:rPr>
        <w:t>校</w:t>
      </w:r>
      <w:r>
        <w:rPr>
          <w:rFonts w:hint="eastAsia" w:ascii="仿宋" w:hAnsi="仿宋" w:eastAsia="仿宋" w:cs="仿宋"/>
          <w:sz w:val="30"/>
          <w:szCs w:val="30"/>
        </w:rPr>
        <w:t>后续科学、合理地制定采购需求提供决策依据。    </w:t>
      </w:r>
    </w:p>
    <w:p w14:paraId="256A6AF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02" w:firstLineChars="200"/>
        <w:jc w:val="both"/>
        <w:textAlignment w:val="auto"/>
        <w:rPr>
          <w:rFonts w:hint="eastAsia" w:ascii="仿宋" w:hAnsi="仿宋" w:eastAsia="仿宋" w:cs="仿宋"/>
          <w:b/>
          <w:bCs/>
          <w:sz w:val="30"/>
          <w:szCs w:val="30"/>
          <w:lang w:eastAsia="zh-CN"/>
        </w:rPr>
      </w:pPr>
      <w:r>
        <w:rPr>
          <w:rFonts w:hint="eastAsia" w:ascii="仿宋" w:hAnsi="仿宋" w:eastAsia="仿宋" w:cs="仿宋"/>
          <w:b/>
          <w:bCs/>
          <w:sz w:val="30"/>
          <w:szCs w:val="30"/>
          <w:lang w:eastAsia="zh-CN"/>
        </w:rPr>
        <w:t>二、项目服务内容及控制价</w:t>
      </w:r>
    </w:p>
    <w:tbl>
      <w:tblPr>
        <w:tblStyle w:val="13"/>
        <w:tblW w:w="96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6"/>
        <w:gridCol w:w="1943"/>
        <w:gridCol w:w="1795"/>
        <w:gridCol w:w="1219"/>
        <w:gridCol w:w="1219"/>
        <w:gridCol w:w="2446"/>
      </w:tblGrid>
      <w:tr w14:paraId="0BBB0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0" w:hRule="atLeast"/>
          <w:jc w:val="center"/>
        </w:trPr>
        <w:tc>
          <w:tcPr>
            <w:tcW w:w="1016" w:type="dxa"/>
            <w:tcBorders>
              <w:top w:val="single" w:color="auto" w:sz="4" w:space="0"/>
              <w:left w:val="single" w:color="auto" w:sz="4" w:space="0"/>
              <w:bottom w:val="single" w:color="auto" w:sz="4" w:space="0"/>
              <w:right w:val="single" w:color="auto" w:sz="4" w:space="0"/>
            </w:tcBorders>
            <w:vAlign w:val="center"/>
          </w:tcPr>
          <w:p w14:paraId="19F7542A">
            <w:pPr>
              <w:spacing w:line="440" w:lineRule="exact"/>
              <w:jc w:val="center"/>
              <w:rPr>
                <w:rFonts w:hint="eastAsia" w:ascii="仿宋" w:hAnsi="仿宋" w:eastAsia="仿宋" w:cs="仿宋"/>
                <w:color w:val="auto"/>
                <w:sz w:val="30"/>
                <w:szCs w:val="30"/>
                <w:highlight w:val="none"/>
              </w:rPr>
            </w:pPr>
            <w:r>
              <w:rPr>
                <w:rFonts w:hint="eastAsia" w:ascii="仿宋" w:hAnsi="仿宋" w:eastAsia="仿宋" w:cs="仿宋"/>
                <w:color w:val="auto"/>
                <w:sz w:val="30"/>
                <w:szCs w:val="30"/>
                <w:highlight w:val="none"/>
              </w:rPr>
              <w:t>序号</w:t>
            </w:r>
          </w:p>
        </w:tc>
        <w:tc>
          <w:tcPr>
            <w:tcW w:w="1943" w:type="dxa"/>
            <w:tcBorders>
              <w:top w:val="single" w:color="auto" w:sz="4" w:space="0"/>
              <w:left w:val="single" w:color="auto" w:sz="4" w:space="0"/>
              <w:bottom w:val="single" w:color="auto" w:sz="4" w:space="0"/>
              <w:right w:val="single" w:color="auto" w:sz="4" w:space="0"/>
            </w:tcBorders>
            <w:vAlign w:val="center"/>
          </w:tcPr>
          <w:p w14:paraId="378F58C1">
            <w:pPr>
              <w:spacing w:line="440" w:lineRule="exact"/>
              <w:jc w:val="center"/>
              <w:rPr>
                <w:rFonts w:hint="eastAsia" w:ascii="仿宋" w:hAnsi="仿宋" w:eastAsia="仿宋" w:cs="仿宋"/>
                <w:color w:val="auto"/>
                <w:sz w:val="30"/>
                <w:szCs w:val="30"/>
                <w:highlight w:val="none"/>
                <w:lang w:eastAsia="zh-CN"/>
              </w:rPr>
            </w:pPr>
            <w:r>
              <w:rPr>
                <w:rFonts w:hint="eastAsia" w:ascii="仿宋" w:hAnsi="仿宋" w:eastAsia="仿宋" w:cs="仿宋"/>
                <w:color w:val="auto"/>
                <w:sz w:val="30"/>
                <w:szCs w:val="30"/>
                <w:highlight w:val="none"/>
                <w:lang w:eastAsia="zh-CN"/>
              </w:rPr>
              <w:t>服务名称</w:t>
            </w:r>
          </w:p>
        </w:tc>
        <w:tc>
          <w:tcPr>
            <w:tcW w:w="1795" w:type="dxa"/>
            <w:tcBorders>
              <w:top w:val="single" w:color="auto" w:sz="4" w:space="0"/>
              <w:left w:val="single" w:color="auto" w:sz="4" w:space="0"/>
              <w:bottom w:val="single" w:color="auto" w:sz="4" w:space="0"/>
              <w:right w:val="single" w:color="auto" w:sz="4" w:space="0"/>
            </w:tcBorders>
            <w:vAlign w:val="center"/>
          </w:tcPr>
          <w:p w14:paraId="49D8CDFD">
            <w:pPr>
              <w:spacing w:line="440" w:lineRule="exact"/>
              <w:jc w:val="center"/>
              <w:rPr>
                <w:rFonts w:hint="eastAsia" w:ascii="仿宋" w:hAnsi="仿宋" w:eastAsia="仿宋" w:cs="仿宋"/>
                <w:color w:val="auto"/>
                <w:sz w:val="30"/>
                <w:szCs w:val="30"/>
                <w:highlight w:val="none"/>
              </w:rPr>
            </w:pPr>
            <w:r>
              <w:rPr>
                <w:rFonts w:hint="eastAsia" w:ascii="仿宋" w:hAnsi="仿宋" w:eastAsia="仿宋" w:cs="仿宋"/>
                <w:color w:val="auto"/>
                <w:sz w:val="30"/>
                <w:szCs w:val="30"/>
                <w:highlight w:val="none"/>
              </w:rPr>
              <w:t>服务内容</w:t>
            </w:r>
          </w:p>
        </w:tc>
        <w:tc>
          <w:tcPr>
            <w:tcW w:w="1219" w:type="dxa"/>
            <w:tcBorders>
              <w:top w:val="single" w:color="auto" w:sz="4" w:space="0"/>
              <w:left w:val="single" w:color="auto" w:sz="4" w:space="0"/>
              <w:bottom w:val="single" w:color="auto" w:sz="4" w:space="0"/>
              <w:right w:val="single" w:color="auto" w:sz="4" w:space="0"/>
            </w:tcBorders>
            <w:vAlign w:val="center"/>
          </w:tcPr>
          <w:p w14:paraId="26F91254">
            <w:pPr>
              <w:spacing w:line="440" w:lineRule="exact"/>
              <w:jc w:val="center"/>
              <w:rPr>
                <w:rFonts w:hint="eastAsia" w:ascii="仿宋" w:hAnsi="仿宋" w:eastAsia="仿宋" w:cs="仿宋"/>
                <w:color w:val="auto"/>
                <w:sz w:val="30"/>
                <w:szCs w:val="30"/>
                <w:highlight w:val="none"/>
                <w:lang w:eastAsia="zh-CN"/>
              </w:rPr>
            </w:pPr>
            <w:r>
              <w:rPr>
                <w:rFonts w:hint="eastAsia" w:ascii="仿宋" w:hAnsi="仿宋" w:eastAsia="仿宋" w:cs="仿宋"/>
                <w:color w:val="auto"/>
                <w:sz w:val="30"/>
                <w:szCs w:val="30"/>
                <w:highlight w:val="none"/>
                <w:lang w:eastAsia="zh-CN"/>
              </w:rPr>
              <w:t>单位</w:t>
            </w:r>
          </w:p>
        </w:tc>
        <w:tc>
          <w:tcPr>
            <w:tcW w:w="1219" w:type="dxa"/>
            <w:tcBorders>
              <w:top w:val="single" w:color="auto" w:sz="4" w:space="0"/>
              <w:left w:val="single" w:color="auto" w:sz="4" w:space="0"/>
              <w:bottom w:val="single" w:color="auto" w:sz="4" w:space="0"/>
              <w:right w:val="single" w:color="auto" w:sz="4" w:space="0"/>
            </w:tcBorders>
            <w:vAlign w:val="center"/>
          </w:tcPr>
          <w:p w14:paraId="2BAA326B">
            <w:pPr>
              <w:spacing w:line="440" w:lineRule="exact"/>
              <w:jc w:val="center"/>
              <w:rPr>
                <w:rFonts w:hint="eastAsia" w:ascii="仿宋" w:hAnsi="仿宋" w:eastAsia="仿宋" w:cs="仿宋"/>
                <w:color w:val="auto"/>
                <w:sz w:val="30"/>
                <w:szCs w:val="30"/>
                <w:highlight w:val="none"/>
              </w:rPr>
            </w:pPr>
            <w:r>
              <w:rPr>
                <w:rFonts w:hint="eastAsia" w:ascii="仿宋" w:hAnsi="仿宋" w:eastAsia="仿宋" w:cs="仿宋"/>
                <w:color w:val="auto"/>
                <w:sz w:val="30"/>
                <w:szCs w:val="30"/>
                <w:highlight w:val="none"/>
                <w:lang w:eastAsia="zh-CN"/>
              </w:rPr>
              <w:t>数量</w:t>
            </w:r>
          </w:p>
        </w:tc>
        <w:tc>
          <w:tcPr>
            <w:tcW w:w="2446" w:type="dxa"/>
            <w:tcBorders>
              <w:top w:val="single" w:color="auto" w:sz="4" w:space="0"/>
              <w:left w:val="single" w:color="auto" w:sz="4" w:space="0"/>
              <w:bottom w:val="single" w:color="auto" w:sz="4" w:space="0"/>
              <w:right w:val="single" w:color="auto" w:sz="4" w:space="0"/>
            </w:tcBorders>
            <w:vAlign w:val="center"/>
          </w:tcPr>
          <w:p w14:paraId="083230A1">
            <w:pPr>
              <w:spacing w:line="440" w:lineRule="exact"/>
              <w:jc w:val="center"/>
              <w:rPr>
                <w:rFonts w:hint="eastAsia" w:ascii="仿宋" w:hAnsi="仿宋" w:eastAsia="仿宋" w:cs="仿宋"/>
                <w:color w:val="auto"/>
                <w:sz w:val="30"/>
                <w:szCs w:val="30"/>
                <w:highlight w:val="none"/>
                <w:lang w:eastAsia="zh-CN"/>
              </w:rPr>
            </w:pPr>
            <w:r>
              <w:rPr>
                <w:rFonts w:hint="eastAsia" w:ascii="仿宋" w:hAnsi="仿宋" w:eastAsia="仿宋" w:cs="仿宋"/>
                <w:color w:val="auto"/>
                <w:sz w:val="30"/>
                <w:szCs w:val="30"/>
                <w:highlight w:val="none"/>
                <w:lang w:eastAsia="zh-CN"/>
              </w:rPr>
              <w:t>控制</w:t>
            </w:r>
            <w:r>
              <w:rPr>
                <w:rFonts w:hint="eastAsia" w:ascii="仿宋" w:hAnsi="仿宋" w:eastAsia="仿宋" w:cs="仿宋"/>
                <w:color w:val="auto"/>
                <w:sz w:val="30"/>
                <w:szCs w:val="30"/>
                <w:highlight w:val="none"/>
              </w:rPr>
              <w:t>单价（元）</w:t>
            </w:r>
          </w:p>
        </w:tc>
      </w:tr>
      <w:tr w14:paraId="55C2F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0" w:hRule="atLeast"/>
          <w:jc w:val="center"/>
        </w:trPr>
        <w:tc>
          <w:tcPr>
            <w:tcW w:w="1016" w:type="dxa"/>
            <w:tcBorders>
              <w:top w:val="single" w:color="auto" w:sz="4" w:space="0"/>
              <w:left w:val="single" w:color="auto" w:sz="4" w:space="0"/>
              <w:bottom w:val="single" w:color="auto" w:sz="4" w:space="0"/>
              <w:right w:val="single" w:color="auto" w:sz="4" w:space="0"/>
            </w:tcBorders>
            <w:vAlign w:val="center"/>
          </w:tcPr>
          <w:p w14:paraId="54E29C70">
            <w:pPr>
              <w:spacing w:line="440" w:lineRule="exact"/>
              <w:jc w:val="center"/>
              <w:rPr>
                <w:rFonts w:hint="eastAsia" w:ascii="仿宋" w:hAnsi="仿宋" w:eastAsia="仿宋" w:cs="仿宋"/>
                <w:color w:val="auto"/>
                <w:sz w:val="30"/>
                <w:szCs w:val="30"/>
                <w:highlight w:val="none"/>
              </w:rPr>
            </w:pPr>
            <w:r>
              <w:rPr>
                <w:rFonts w:hint="eastAsia" w:ascii="仿宋" w:hAnsi="仿宋" w:eastAsia="仿宋" w:cs="仿宋"/>
                <w:color w:val="auto"/>
                <w:sz w:val="30"/>
                <w:szCs w:val="30"/>
                <w:highlight w:val="none"/>
              </w:rPr>
              <w:t>1</w:t>
            </w:r>
          </w:p>
        </w:tc>
        <w:tc>
          <w:tcPr>
            <w:tcW w:w="1943" w:type="dxa"/>
            <w:tcBorders>
              <w:top w:val="single" w:color="auto" w:sz="4" w:space="0"/>
              <w:left w:val="single" w:color="auto" w:sz="4" w:space="0"/>
              <w:bottom w:val="single" w:color="auto" w:sz="4" w:space="0"/>
              <w:right w:val="single" w:color="auto" w:sz="4" w:space="0"/>
            </w:tcBorders>
            <w:vAlign w:val="center"/>
          </w:tcPr>
          <w:p w14:paraId="59F205DB">
            <w:pPr>
              <w:spacing w:line="440" w:lineRule="exact"/>
              <w:jc w:val="center"/>
              <w:rPr>
                <w:rFonts w:hint="default"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工程设计服务</w:t>
            </w:r>
          </w:p>
        </w:tc>
        <w:tc>
          <w:tcPr>
            <w:tcW w:w="1795" w:type="dxa"/>
            <w:tcBorders>
              <w:top w:val="single" w:color="auto" w:sz="4" w:space="0"/>
              <w:left w:val="single" w:color="auto" w:sz="4" w:space="0"/>
              <w:bottom w:val="single" w:color="auto" w:sz="4" w:space="0"/>
              <w:right w:val="single" w:color="auto" w:sz="4" w:space="0"/>
            </w:tcBorders>
            <w:vAlign w:val="center"/>
          </w:tcPr>
          <w:p w14:paraId="6F29D47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 w:hAnsi="仿宋" w:eastAsia="仿宋" w:cs="仿宋"/>
                <w:color w:val="auto"/>
                <w:sz w:val="30"/>
                <w:szCs w:val="30"/>
                <w:highlight w:val="none"/>
              </w:rPr>
            </w:pPr>
            <w:r>
              <w:rPr>
                <w:rFonts w:hint="eastAsia" w:ascii="仿宋" w:hAnsi="仿宋" w:eastAsia="仿宋" w:cs="仿宋"/>
                <w:color w:val="auto"/>
                <w:sz w:val="30"/>
                <w:szCs w:val="30"/>
                <w:highlight w:val="none"/>
              </w:rPr>
              <w:t>负责学校年度预算内小型基建、修缮及改造项目的方案设计、施工图设计，配合完成设计交底、现场技术服务及设计变更等工作，确保设计成果符合规范要求及项目实际需求。</w:t>
            </w:r>
          </w:p>
        </w:tc>
        <w:tc>
          <w:tcPr>
            <w:tcW w:w="1219" w:type="dxa"/>
            <w:tcBorders>
              <w:top w:val="single" w:color="auto" w:sz="4" w:space="0"/>
              <w:left w:val="single" w:color="auto" w:sz="4" w:space="0"/>
              <w:bottom w:val="single" w:color="auto" w:sz="4" w:space="0"/>
              <w:right w:val="single" w:color="auto" w:sz="4" w:space="0"/>
            </w:tcBorders>
            <w:vAlign w:val="center"/>
          </w:tcPr>
          <w:p w14:paraId="3A6C6406">
            <w:pPr>
              <w:spacing w:line="440" w:lineRule="exact"/>
              <w:jc w:val="center"/>
              <w:rPr>
                <w:rFonts w:hint="eastAsia"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项</w:t>
            </w:r>
          </w:p>
        </w:tc>
        <w:tc>
          <w:tcPr>
            <w:tcW w:w="1219" w:type="dxa"/>
            <w:tcBorders>
              <w:top w:val="single" w:color="auto" w:sz="4" w:space="0"/>
              <w:left w:val="single" w:color="auto" w:sz="4" w:space="0"/>
              <w:bottom w:val="single" w:color="auto" w:sz="4" w:space="0"/>
              <w:right w:val="single" w:color="auto" w:sz="4" w:space="0"/>
            </w:tcBorders>
            <w:vAlign w:val="center"/>
          </w:tcPr>
          <w:p w14:paraId="0CF945DB">
            <w:pPr>
              <w:spacing w:line="440" w:lineRule="exact"/>
              <w:jc w:val="center"/>
              <w:rPr>
                <w:rFonts w:hint="default"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1</w:t>
            </w:r>
          </w:p>
        </w:tc>
        <w:tc>
          <w:tcPr>
            <w:tcW w:w="2446" w:type="dxa"/>
            <w:tcBorders>
              <w:top w:val="single" w:color="auto" w:sz="4" w:space="0"/>
              <w:left w:val="single" w:color="auto" w:sz="4" w:space="0"/>
              <w:bottom w:val="single" w:color="auto" w:sz="4" w:space="0"/>
              <w:right w:val="single" w:color="auto" w:sz="4" w:space="0"/>
            </w:tcBorders>
            <w:vAlign w:val="center"/>
          </w:tcPr>
          <w:p w14:paraId="31F2F3EE">
            <w:pPr>
              <w:spacing w:line="440" w:lineRule="exact"/>
              <w:jc w:val="center"/>
              <w:rPr>
                <w:rFonts w:hint="default"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下浮系数0%（参照《广西壮族自治区工程建设其他费用定额》（2018年版）取费）</w:t>
            </w:r>
          </w:p>
        </w:tc>
      </w:tr>
      <w:tr w14:paraId="181E9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0" w:hRule="atLeast"/>
          <w:jc w:val="center"/>
        </w:trPr>
        <w:tc>
          <w:tcPr>
            <w:tcW w:w="1016" w:type="dxa"/>
            <w:tcBorders>
              <w:top w:val="single" w:color="auto" w:sz="4" w:space="0"/>
              <w:left w:val="single" w:color="auto" w:sz="4" w:space="0"/>
              <w:bottom w:val="single" w:color="auto" w:sz="4" w:space="0"/>
              <w:right w:val="single" w:color="auto" w:sz="4" w:space="0"/>
            </w:tcBorders>
            <w:vAlign w:val="center"/>
          </w:tcPr>
          <w:p w14:paraId="7B5A4481">
            <w:pPr>
              <w:spacing w:line="440" w:lineRule="exact"/>
              <w:jc w:val="center"/>
              <w:rPr>
                <w:rFonts w:hint="eastAsia" w:ascii="仿宋" w:hAnsi="仿宋" w:eastAsia="仿宋" w:cs="仿宋"/>
                <w:color w:val="auto"/>
                <w:sz w:val="30"/>
                <w:szCs w:val="30"/>
                <w:highlight w:val="none"/>
              </w:rPr>
            </w:pPr>
            <w:r>
              <w:rPr>
                <w:rFonts w:hint="eastAsia" w:ascii="仿宋" w:hAnsi="仿宋" w:eastAsia="仿宋" w:cs="仿宋"/>
                <w:color w:val="auto"/>
                <w:sz w:val="30"/>
                <w:szCs w:val="30"/>
                <w:highlight w:val="none"/>
              </w:rPr>
              <w:t>2</w:t>
            </w:r>
          </w:p>
        </w:tc>
        <w:tc>
          <w:tcPr>
            <w:tcW w:w="1943" w:type="dxa"/>
            <w:tcBorders>
              <w:top w:val="single" w:color="auto" w:sz="4" w:space="0"/>
              <w:left w:val="single" w:color="auto" w:sz="4" w:space="0"/>
              <w:bottom w:val="single" w:color="auto" w:sz="4" w:space="0"/>
              <w:right w:val="single" w:color="auto" w:sz="4" w:space="0"/>
            </w:tcBorders>
            <w:vAlign w:val="center"/>
          </w:tcPr>
          <w:p w14:paraId="2017C0EC">
            <w:pPr>
              <w:spacing w:line="440" w:lineRule="exact"/>
              <w:jc w:val="center"/>
              <w:rPr>
                <w:rFonts w:hint="default"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工程预算编制服务</w:t>
            </w:r>
          </w:p>
        </w:tc>
        <w:tc>
          <w:tcPr>
            <w:tcW w:w="1795" w:type="dxa"/>
            <w:tcBorders>
              <w:top w:val="single" w:color="auto" w:sz="4" w:space="0"/>
              <w:left w:val="single" w:color="auto" w:sz="4" w:space="0"/>
              <w:bottom w:val="single" w:color="auto" w:sz="4" w:space="0"/>
              <w:right w:val="single" w:color="auto" w:sz="4" w:space="0"/>
            </w:tcBorders>
            <w:vAlign w:val="center"/>
          </w:tcPr>
          <w:p w14:paraId="660FB57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auto"/>
                <w:sz w:val="30"/>
                <w:szCs w:val="30"/>
                <w:highlight w:val="none"/>
              </w:rPr>
            </w:pPr>
            <w:r>
              <w:rPr>
                <w:rFonts w:hint="eastAsia" w:ascii="仿宋" w:hAnsi="仿宋" w:eastAsia="仿宋" w:cs="仿宋"/>
                <w:color w:val="auto"/>
                <w:sz w:val="30"/>
                <w:szCs w:val="30"/>
                <w:highlight w:val="none"/>
              </w:rPr>
              <w:t>负责根据施工图纸及相关资料，编制项目工程量清单、施工图预算，对成果的准确性、合规性负责，配合完成造价答疑及相关解释工作。</w:t>
            </w:r>
          </w:p>
        </w:tc>
        <w:tc>
          <w:tcPr>
            <w:tcW w:w="1219" w:type="dxa"/>
            <w:tcBorders>
              <w:top w:val="single" w:color="auto" w:sz="4" w:space="0"/>
              <w:left w:val="single" w:color="auto" w:sz="4" w:space="0"/>
              <w:bottom w:val="single" w:color="auto" w:sz="4" w:space="0"/>
              <w:right w:val="single" w:color="auto" w:sz="4" w:space="0"/>
            </w:tcBorders>
            <w:vAlign w:val="center"/>
          </w:tcPr>
          <w:p w14:paraId="732527DC">
            <w:pPr>
              <w:spacing w:line="440" w:lineRule="exact"/>
              <w:jc w:val="center"/>
              <w:rPr>
                <w:rFonts w:hint="eastAsia"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项</w:t>
            </w:r>
          </w:p>
        </w:tc>
        <w:tc>
          <w:tcPr>
            <w:tcW w:w="1219" w:type="dxa"/>
            <w:tcBorders>
              <w:top w:val="single" w:color="auto" w:sz="4" w:space="0"/>
              <w:left w:val="single" w:color="auto" w:sz="4" w:space="0"/>
              <w:bottom w:val="single" w:color="auto" w:sz="4" w:space="0"/>
              <w:right w:val="single" w:color="auto" w:sz="4" w:space="0"/>
            </w:tcBorders>
            <w:vAlign w:val="center"/>
          </w:tcPr>
          <w:p w14:paraId="462858A3">
            <w:pPr>
              <w:spacing w:line="440" w:lineRule="exact"/>
              <w:jc w:val="center"/>
              <w:rPr>
                <w:rFonts w:hint="default"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1</w:t>
            </w:r>
          </w:p>
        </w:tc>
        <w:tc>
          <w:tcPr>
            <w:tcW w:w="2446" w:type="dxa"/>
            <w:tcBorders>
              <w:top w:val="single" w:color="auto" w:sz="4" w:space="0"/>
              <w:left w:val="single" w:color="auto" w:sz="4" w:space="0"/>
              <w:bottom w:val="single" w:color="auto" w:sz="4" w:space="0"/>
              <w:right w:val="single" w:color="auto" w:sz="4" w:space="0"/>
            </w:tcBorders>
            <w:vAlign w:val="center"/>
          </w:tcPr>
          <w:p w14:paraId="60B70594">
            <w:pPr>
              <w:spacing w:line="440" w:lineRule="exact"/>
              <w:jc w:val="center"/>
              <w:rPr>
                <w:rFonts w:hint="eastAsia"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下浮系数0%（参照《广西壮族自治区工程建设其他费用定额》（2018年版）取费）</w:t>
            </w:r>
          </w:p>
        </w:tc>
      </w:tr>
      <w:tr w14:paraId="64A7A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8" w:hRule="atLeast"/>
          <w:jc w:val="center"/>
        </w:trPr>
        <w:tc>
          <w:tcPr>
            <w:tcW w:w="9638" w:type="dxa"/>
            <w:gridSpan w:val="6"/>
            <w:tcBorders>
              <w:top w:val="single" w:color="auto" w:sz="4" w:space="0"/>
              <w:left w:val="single" w:color="auto" w:sz="4" w:space="0"/>
              <w:bottom w:val="single" w:color="auto" w:sz="4" w:space="0"/>
              <w:right w:val="single" w:color="auto" w:sz="4" w:space="0"/>
            </w:tcBorders>
            <w:vAlign w:val="center"/>
          </w:tcPr>
          <w:p w14:paraId="3BE93A1F">
            <w:pPr>
              <w:spacing w:line="440" w:lineRule="exact"/>
              <w:rPr>
                <w:rFonts w:hint="eastAsia" w:ascii="仿宋" w:hAnsi="仿宋" w:eastAsia="仿宋" w:cs="仿宋"/>
                <w:color w:val="auto"/>
                <w:sz w:val="30"/>
                <w:szCs w:val="30"/>
                <w:highlight w:val="none"/>
              </w:rPr>
            </w:pPr>
            <w:r>
              <w:rPr>
                <w:rFonts w:hint="eastAsia" w:ascii="仿宋" w:hAnsi="仿宋" w:eastAsia="仿宋" w:cs="仿宋"/>
                <w:color w:val="auto"/>
                <w:sz w:val="30"/>
                <w:szCs w:val="30"/>
                <w:highlight w:val="none"/>
                <w:lang w:eastAsia="zh-CN"/>
              </w:rPr>
              <w:t>控制总价</w:t>
            </w:r>
            <w:r>
              <w:rPr>
                <w:rFonts w:hint="eastAsia" w:ascii="仿宋" w:hAnsi="仿宋" w:eastAsia="仿宋" w:cs="仿宋"/>
                <w:color w:val="auto"/>
                <w:sz w:val="30"/>
                <w:szCs w:val="30"/>
                <w:highlight w:val="none"/>
              </w:rPr>
              <w:t>（大写）：</w:t>
            </w:r>
            <w:r>
              <w:rPr>
                <w:rFonts w:hint="eastAsia" w:ascii="仿宋" w:hAnsi="仿宋" w:eastAsia="仿宋" w:cs="仿宋"/>
                <w:color w:val="auto"/>
                <w:sz w:val="30"/>
                <w:szCs w:val="30"/>
                <w:highlight w:val="none"/>
                <w:u w:val="single"/>
                <w:lang w:val="en-US" w:eastAsia="zh-CN"/>
              </w:rPr>
              <w:t>下浮系数0%（</w:t>
            </w:r>
            <w:r>
              <w:rPr>
                <w:rFonts w:hint="eastAsia" w:ascii="仿宋" w:hAnsi="仿宋" w:eastAsia="仿宋" w:cs="仿宋"/>
                <w:color w:val="auto"/>
                <w:sz w:val="30"/>
                <w:szCs w:val="30"/>
                <w:highlight w:val="none"/>
                <w:lang w:val="en-US" w:eastAsia="zh-CN"/>
              </w:rPr>
              <w:t>参照《广西壮族自治区工程建设其他费用定额》（2018年版）取费</w:t>
            </w:r>
            <w:r>
              <w:rPr>
                <w:rFonts w:hint="eastAsia" w:ascii="仿宋" w:hAnsi="仿宋" w:eastAsia="仿宋" w:cs="仿宋"/>
                <w:color w:val="auto"/>
                <w:sz w:val="30"/>
                <w:szCs w:val="30"/>
                <w:highlight w:val="none"/>
                <w:u w:val="single"/>
                <w:lang w:val="en-US" w:eastAsia="zh-CN"/>
              </w:rPr>
              <w:t>）</w:t>
            </w:r>
            <w:r>
              <w:rPr>
                <w:rFonts w:hint="eastAsia" w:ascii="仿宋" w:hAnsi="仿宋" w:eastAsia="仿宋" w:cs="仿宋"/>
                <w:color w:val="auto"/>
                <w:sz w:val="30"/>
                <w:szCs w:val="30"/>
                <w:highlight w:val="none"/>
              </w:rPr>
              <w:t>（</w:t>
            </w:r>
            <w:r>
              <w:rPr>
                <w:rFonts w:hint="eastAsia" w:ascii="仿宋" w:hAnsi="仿宋" w:eastAsia="仿宋" w:cs="仿宋"/>
                <w:color w:val="auto"/>
                <w:sz w:val="30"/>
                <w:szCs w:val="30"/>
                <w:highlight w:val="none"/>
                <w:lang w:eastAsia="zh-CN"/>
              </w:rPr>
              <w:t>小写：</w:t>
            </w:r>
            <w:r>
              <w:rPr>
                <w:rFonts w:hint="eastAsia" w:ascii="仿宋" w:hAnsi="仿宋" w:eastAsia="仿宋" w:cs="仿宋"/>
                <w:color w:val="auto"/>
                <w:sz w:val="30"/>
                <w:szCs w:val="30"/>
                <w:highlight w:val="none"/>
              </w:rPr>
              <w:t>¥</w:t>
            </w:r>
            <w:r>
              <w:rPr>
                <w:rFonts w:hint="eastAsia" w:ascii="仿宋" w:hAnsi="仿宋" w:eastAsia="仿宋" w:cs="仿宋"/>
                <w:color w:val="auto"/>
                <w:sz w:val="30"/>
                <w:szCs w:val="30"/>
                <w:highlight w:val="none"/>
                <w:lang w:val="en-US" w:eastAsia="zh-CN"/>
              </w:rPr>
              <w:t>_____/____</w:t>
            </w:r>
            <w:r>
              <w:rPr>
                <w:rFonts w:hint="eastAsia" w:ascii="仿宋" w:hAnsi="仿宋" w:eastAsia="仿宋" w:cs="仿宋"/>
                <w:color w:val="auto"/>
                <w:sz w:val="30"/>
                <w:szCs w:val="30"/>
                <w:highlight w:val="none"/>
              </w:rPr>
              <w:t xml:space="preserve">）      </w:t>
            </w:r>
          </w:p>
        </w:tc>
      </w:tr>
    </w:tbl>
    <w:p w14:paraId="5F95D6C3">
      <w:pPr>
        <w:keepNext w:val="0"/>
        <w:keepLines w:val="0"/>
        <w:pageBreakBefore w:val="0"/>
        <w:widowControl w:val="0"/>
        <w:kinsoku/>
        <w:wordWrap/>
        <w:overflowPunct/>
        <w:topLinePunct w:val="0"/>
        <w:autoSpaceDE/>
        <w:autoSpaceDN/>
        <w:bidi w:val="0"/>
        <w:adjustRightInd/>
        <w:snapToGrid/>
        <w:spacing w:line="560" w:lineRule="exact"/>
        <w:ind w:firstLine="602" w:firstLineChars="200"/>
        <w:jc w:val="both"/>
        <w:textAlignment w:val="auto"/>
        <w:rPr>
          <w:rFonts w:hint="eastAsia" w:ascii="仿宋" w:hAnsi="仿宋" w:eastAsia="仿宋" w:cs="仿宋"/>
          <w:b/>
          <w:bCs/>
          <w:sz w:val="30"/>
          <w:szCs w:val="30"/>
          <w:lang w:eastAsia="zh-CN"/>
        </w:rPr>
      </w:pPr>
      <w:r>
        <w:rPr>
          <w:rFonts w:hint="eastAsia" w:ascii="仿宋" w:hAnsi="仿宋" w:eastAsia="仿宋" w:cs="仿宋"/>
          <w:b/>
          <w:bCs/>
          <w:sz w:val="30"/>
          <w:szCs w:val="30"/>
          <w:lang w:eastAsia="zh-CN"/>
        </w:rPr>
        <w:t>三、</w:t>
      </w:r>
      <w:r>
        <w:rPr>
          <w:rFonts w:hint="eastAsia" w:ascii="仿宋" w:hAnsi="仿宋" w:eastAsia="仿宋" w:cs="仿宋"/>
          <w:b/>
          <w:bCs/>
          <w:sz w:val="30"/>
          <w:szCs w:val="30"/>
        </w:rPr>
        <w:t>需提交的</w:t>
      </w:r>
      <w:r>
        <w:rPr>
          <w:rFonts w:hint="eastAsia" w:ascii="仿宋" w:hAnsi="仿宋" w:eastAsia="仿宋" w:cs="仿宋"/>
          <w:b/>
          <w:bCs/>
          <w:sz w:val="30"/>
          <w:szCs w:val="30"/>
          <w:lang w:eastAsia="zh-CN"/>
        </w:rPr>
        <w:t>征集</w:t>
      </w:r>
      <w:r>
        <w:rPr>
          <w:rFonts w:hint="eastAsia" w:ascii="仿宋" w:hAnsi="仿宋" w:eastAsia="仿宋" w:cs="仿宋"/>
          <w:b/>
          <w:bCs/>
          <w:sz w:val="30"/>
          <w:szCs w:val="30"/>
        </w:rPr>
        <w:t>材料</w:t>
      </w:r>
      <w:r>
        <w:rPr>
          <w:rFonts w:hint="eastAsia" w:ascii="仿宋" w:hAnsi="仿宋" w:eastAsia="仿宋" w:cs="仿宋"/>
          <w:b/>
          <w:bCs/>
          <w:sz w:val="30"/>
          <w:szCs w:val="30"/>
          <w:lang w:eastAsia="zh-CN"/>
        </w:rPr>
        <w:t>及要求</w:t>
      </w:r>
    </w:p>
    <w:p w14:paraId="51A1C4C4">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rPr>
      </w:pPr>
      <w:r>
        <w:rPr>
          <w:rFonts w:hint="eastAsia" w:ascii="仿宋" w:hAnsi="仿宋" w:eastAsia="仿宋" w:cs="仿宋"/>
          <w:sz w:val="30"/>
          <w:szCs w:val="30"/>
        </w:rPr>
        <w:t>参与</w:t>
      </w:r>
      <w:r>
        <w:rPr>
          <w:rFonts w:hint="eastAsia" w:ascii="仿宋" w:hAnsi="仿宋" w:eastAsia="仿宋" w:cs="仿宋"/>
          <w:sz w:val="30"/>
          <w:szCs w:val="30"/>
          <w:lang w:eastAsia="zh-CN"/>
        </w:rPr>
        <w:t>征集</w:t>
      </w:r>
      <w:r>
        <w:rPr>
          <w:rFonts w:hint="eastAsia" w:ascii="仿宋" w:hAnsi="仿宋" w:eastAsia="仿宋" w:cs="仿宋"/>
          <w:sz w:val="30"/>
          <w:szCs w:val="30"/>
        </w:rPr>
        <w:t>的供应商需按以下顺序准备并提交材料（</w:t>
      </w:r>
      <w:r>
        <w:rPr>
          <w:rFonts w:hint="eastAsia" w:ascii="仿宋" w:hAnsi="仿宋" w:eastAsia="仿宋" w:cs="仿宋"/>
          <w:sz w:val="30"/>
          <w:szCs w:val="30"/>
          <w:lang w:eastAsia="zh-CN"/>
        </w:rPr>
        <w:t>格式自拟</w:t>
      </w:r>
      <w:r>
        <w:rPr>
          <w:rFonts w:hint="eastAsia" w:ascii="仿宋" w:hAnsi="仿宋" w:eastAsia="仿宋" w:cs="仿宋"/>
          <w:sz w:val="30"/>
          <w:szCs w:val="30"/>
        </w:rPr>
        <w:t>）</w:t>
      </w:r>
      <w:r>
        <w:rPr>
          <w:rFonts w:hint="eastAsia" w:ascii="仿宋" w:hAnsi="仿宋" w:eastAsia="仿宋" w:cs="仿宋"/>
          <w:sz w:val="30"/>
          <w:szCs w:val="30"/>
          <w:lang w:eastAsia="zh-CN"/>
        </w:rPr>
        <w:t>：</w:t>
      </w:r>
    </w:p>
    <w:p w14:paraId="3BE220E4">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eastAsia="zh-CN"/>
        </w:rPr>
      </w:pPr>
      <w:r>
        <w:rPr>
          <w:rFonts w:hint="eastAsia" w:ascii="仿宋" w:hAnsi="仿宋" w:eastAsia="仿宋" w:cs="仿宋"/>
          <w:sz w:val="30"/>
          <w:szCs w:val="30"/>
        </w:rPr>
        <w:t>1.有效的营业执照复印件</w:t>
      </w:r>
      <w:r>
        <w:rPr>
          <w:rFonts w:hint="eastAsia" w:ascii="仿宋" w:hAnsi="仿宋" w:eastAsia="仿宋" w:cs="仿宋"/>
          <w:sz w:val="30"/>
          <w:szCs w:val="30"/>
          <w:lang w:eastAsia="zh-CN"/>
        </w:rPr>
        <w:t>（需加盖公章）。</w:t>
      </w:r>
    </w:p>
    <w:p w14:paraId="3598522D">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w:t>
      </w:r>
      <w:r>
        <w:rPr>
          <w:rFonts w:hint="eastAsia" w:ascii="仿宋" w:hAnsi="仿宋" w:eastAsia="仿宋" w:cs="仿宋"/>
          <w:sz w:val="30"/>
          <w:szCs w:val="30"/>
        </w:rPr>
        <w:t>.</w:t>
      </w:r>
      <w:r>
        <w:rPr>
          <w:rFonts w:hint="eastAsia" w:ascii="仿宋" w:hAnsi="仿宋" w:eastAsia="仿宋" w:cs="仿宋"/>
          <w:sz w:val="30"/>
          <w:szCs w:val="30"/>
          <w:lang w:val="en-US" w:eastAsia="zh-CN"/>
        </w:rPr>
        <w:t>___工程设计建筑行业__</w:t>
      </w:r>
      <w:r>
        <w:rPr>
          <w:rFonts w:hint="eastAsia" w:ascii="仿宋" w:hAnsi="仿宋" w:eastAsia="仿宋" w:cs="仿宋"/>
          <w:sz w:val="30"/>
          <w:szCs w:val="30"/>
        </w:rPr>
        <w:t>相关资质证书复印件</w:t>
      </w:r>
      <w:r>
        <w:rPr>
          <w:rFonts w:hint="eastAsia" w:ascii="仿宋" w:hAnsi="仿宋" w:eastAsia="仿宋" w:cs="仿宋"/>
          <w:sz w:val="30"/>
          <w:szCs w:val="30"/>
          <w:lang w:eastAsia="zh-CN"/>
        </w:rPr>
        <w:t>（需加盖公章）</w:t>
      </w:r>
      <w:r>
        <w:rPr>
          <w:rFonts w:hint="eastAsia" w:ascii="仿宋" w:hAnsi="仿宋" w:eastAsia="仿宋" w:cs="仿宋"/>
          <w:sz w:val="30"/>
          <w:szCs w:val="30"/>
          <w:lang w:val="en-US" w:eastAsia="zh-CN"/>
        </w:rPr>
        <w:t>。</w:t>
      </w:r>
    </w:p>
    <w:p w14:paraId="30FD278C">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3.项目服务需求及报价方案</w:t>
      </w:r>
      <w:r>
        <w:rPr>
          <w:rFonts w:hint="eastAsia" w:ascii="仿宋" w:hAnsi="仿宋" w:eastAsia="仿宋" w:cs="仿宋"/>
          <w:color w:val="auto"/>
          <w:sz w:val="30"/>
          <w:szCs w:val="30"/>
          <w:lang w:val="en-US" w:eastAsia="zh-CN"/>
        </w:rPr>
        <w:t>（详见附件，单项</w:t>
      </w:r>
      <w:r>
        <w:rPr>
          <w:rFonts w:hint="eastAsia" w:ascii="仿宋" w:hAnsi="仿宋" w:eastAsia="仿宋" w:cs="仿宋"/>
          <w:sz w:val="30"/>
          <w:szCs w:val="30"/>
          <w:lang w:val="en-US" w:eastAsia="zh-CN"/>
        </w:rPr>
        <w:t>报价不能超过项目控制单价，总价不能超过项目控制总价）。</w:t>
      </w:r>
    </w:p>
    <w:p w14:paraId="564420C2">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4.</w:t>
      </w:r>
      <w:r>
        <w:rPr>
          <w:rFonts w:hint="eastAsia" w:ascii="仿宋" w:hAnsi="仿宋" w:eastAsia="仿宋" w:cs="仿宋"/>
          <w:sz w:val="30"/>
          <w:szCs w:val="30"/>
        </w:rPr>
        <w:t>其他建议：针对</w:t>
      </w:r>
      <w:r>
        <w:rPr>
          <w:rFonts w:hint="eastAsia" w:ascii="仿宋" w:hAnsi="仿宋" w:eastAsia="仿宋" w:cs="仿宋"/>
          <w:sz w:val="30"/>
          <w:szCs w:val="30"/>
          <w:lang w:eastAsia="zh-CN"/>
        </w:rPr>
        <w:t>学校</w:t>
      </w:r>
      <w:r>
        <w:rPr>
          <w:rFonts w:hint="eastAsia" w:ascii="仿宋" w:hAnsi="仿宋" w:eastAsia="仿宋" w:cs="仿宋"/>
          <w:sz w:val="30"/>
          <w:szCs w:val="30"/>
        </w:rPr>
        <w:t>的</w:t>
      </w:r>
      <w:r>
        <w:rPr>
          <w:rFonts w:hint="eastAsia" w:ascii="仿宋" w:hAnsi="仿宋" w:eastAsia="仿宋" w:cs="仿宋"/>
          <w:sz w:val="30"/>
          <w:szCs w:val="30"/>
          <w:lang w:eastAsia="zh-CN"/>
        </w:rPr>
        <w:t>服务</w:t>
      </w:r>
      <w:r>
        <w:rPr>
          <w:rFonts w:hint="eastAsia" w:ascii="仿宋" w:hAnsi="仿宋" w:eastAsia="仿宋" w:cs="仿宋"/>
          <w:sz w:val="30"/>
          <w:szCs w:val="30"/>
        </w:rPr>
        <w:t>建议，以及对本项目采购需求的任何意见建议。</w:t>
      </w:r>
    </w:p>
    <w:p w14:paraId="3665AA3A">
      <w:pPr>
        <w:keepNext w:val="0"/>
        <w:keepLines w:val="0"/>
        <w:pageBreakBefore w:val="0"/>
        <w:widowControl w:val="0"/>
        <w:kinsoku/>
        <w:wordWrap/>
        <w:overflowPunct/>
        <w:topLinePunct w:val="0"/>
        <w:autoSpaceDE/>
        <w:autoSpaceDN/>
        <w:bidi w:val="0"/>
        <w:adjustRightInd/>
        <w:snapToGrid/>
        <w:spacing w:line="560" w:lineRule="exact"/>
        <w:ind w:firstLine="602" w:firstLineChars="200"/>
        <w:jc w:val="both"/>
        <w:textAlignment w:val="auto"/>
        <w:rPr>
          <w:rFonts w:hint="eastAsia" w:ascii="仿宋" w:hAnsi="仿宋" w:eastAsia="仿宋" w:cs="仿宋"/>
          <w:b/>
          <w:bCs/>
          <w:sz w:val="30"/>
          <w:szCs w:val="30"/>
        </w:rPr>
      </w:pPr>
      <w:r>
        <w:rPr>
          <w:rFonts w:hint="eastAsia" w:ascii="仿宋" w:hAnsi="仿宋" w:eastAsia="仿宋" w:cs="仿宋"/>
          <w:b/>
          <w:bCs/>
          <w:sz w:val="30"/>
          <w:szCs w:val="30"/>
          <w:lang w:eastAsia="zh-CN"/>
        </w:rPr>
        <w:t>四</w:t>
      </w:r>
      <w:r>
        <w:rPr>
          <w:rFonts w:hint="eastAsia" w:ascii="仿宋" w:hAnsi="仿宋" w:eastAsia="仿宋" w:cs="仿宋"/>
          <w:b/>
          <w:bCs/>
          <w:sz w:val="30"/>
          <w:szCs w:val="30"/>
        </w:rPr>
        <w:t>、参与</w:t>
      </w:r>
      <w:r>
        <w:rPr>
          <w:rFonts w:hint="eastAsia" w:ascii="仿宋" w:hAnsi="仿宋" w:eastAsia="仿宋" w:cs="仿宋"/>
          <w:b/>
          <w:bCs/>
          <w:sz w:val="30"/>
          <w:szCs w:val="30"/>
          <w:lang w:eastAsia="zh-CN"/>
        </w:rPr>
        <w:t>征集</w:t>
      </w:r>
      <w:r>
        <w:rPr>
          <w:rFonts w:hint="eastAsia" w:ascii="仿宋" w:hAnsi="仿宋" w:eastAsia="仿宋" w:cs="仿宋"/>
          <w:b/>
          <w:bCs/>
          <w:sz w:val="30"/>
          <w:szCs w:val="30"/>
        </w:rPr>
        <w:t>单位资格要求</w:t>
      </w:r>
    </w:p>
    <w:p w14:paraId="4640BFFA">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1.国内注册（指按国家有关规定要求注册的），依法能提供本次项目服务的供应商。</w:t>
      </w:r>
    </w:p>
    <w:p w14:paraId="5063C924">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2.本项目资格要求：满足《中华人民共和国政府采购法》第二十二条规定。</w:t>
      </w:r>
    </w:p>
    <w:p w14:paraId="5E2502C8">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3.特定资格条件：</w:t>
      </w:r>
      <w:r>
        <w:rPr>
          <w:rFonts w:hint="eastAsia" w:ascii="仿宋" w:hAnsi="仿宋" w:eastAsia="仿宋" w:cs="仿宋"/>
          <w:sz w:val="30"/>
          <w:szCs w:val="30"/>
          <w:u w:val="single"/>
          <w:lang w:val="en-US" w:eastAsia="zh-CN"/>
        </w:rPr>
        <w:t>建筑设计甲级资质</w:t>
      </w:r>
      <w:r>
        <w:rPr>
          <w:rFonts w:hint="eastAsia" w:ascii="仿宋" w:hAnsi="仿宋" w:eastAsia="仿宋" w:cs="仿宋"/>
          <w:sz w:val="30"/>
          <w:szCs w:val="30"/>
          <w:lang w:val="en-US" w:eastAsia="zh-CN"/>
        </w:rPr>
        <w:t>。</w:t>
      </w:r>
    </w:p>
    <w:p w14:paraId="24C38A53">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4.不接受联合体提交材料。</w:t>
      </w:r>
    </w:p>
    <w:p w14:paraId="1E02C239">
      <w:pPr>
        <w:keepNext w:val="0"/>
        <w:keepLines w:val="0"/>
        <w:pageBreakBefore w:val="0"/>
        <w:widowControl w:val="0"/>
        <w:kinsoku/>
        <w:wordWrap/>
        <w:overflowPunct/>
        <w:topLinePunct w:val="0"/>
        <w:autoSpaceDE/>
        <w:autoSpaceDN/>
        <w:bidi w:val="0"/>
        <w:adjustRightInd/>
        <w:snapToGrid/>
        <w:spacing w:line="560" w:lineRule="exact"/>
        <w:ind w:firstLine="602" w:firstLineChars="200"/>
        <w:jc w:val="both"/>
        <w:textAlignment w:val="auto"/>
        <w:rPr>
          <w:rFonts w:hint="eastAsia" w:ascii="仿宋" w:hAnsi="仿宋" w:eastAsia="仿宋" w:cs="仿宋"/>
          <w:b/>
          <w:bCs/>
          <w:sz w:val="30"/>
          <w:szCs w:val="30"/>
        </w:rPr>
      </w:pPr>
      <w:r>
        <w:rPr>
          <w:rFonts w:hint="eastAsia" w:ascii="仿宋" w:hAnsi="仿宋" w:eastAsia="仿宋" w:cs="仿宋"/>
          <w:b/>
          <w:bCs/>
          <w:sz w:val="30"/>
          <w:szCs w:val="30"/>
          <w:lang w:eastAsia="zh-CN"/>
        </w:rPr>
        <w:t>五</w:t>
      </w:r>
      <w:r>
        <w:rPr>
          <w:rFonts w:hint="eastAsia" w:ascii="仿宋" w:hAnsi="仿宋" w:eastAsia="仿宋" w:cs="仿宋"/>
          <w:b/>
          <w:bCs/>
          <w:sz w:val="30"/>
          <w:szCs w:val="30"/>
        </w:rPr>
        <w:t>、公告时间及提交方式</w:t>
      </w:r>
    </w:p>
    <w:p w14:paraId="445F29F2">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default" w:ascii="仿宋" w:hAnsi="仿宋" w:eastAsia="仿宋" w:cs="仿宋"/>
          <w:color w:val="auto"/>
          <w:sz w:val="30"/>
          <w:szCs w:val="30"/>
          <w:lang w:val="en-US" w:eastAsia="zh-CN"/>
        </w:rPr>
      </w:pPr>
      <w:r>
        <w:rPr>
          <w:rFonts w:hint="eastAsia" w:ascii="仿宋" w:hAnsi="仿宋" w:eastAsia="仿宋" w:cs="仿宋"/>
          <w:sz w:val="30"/>
          <w:szCs w:val="30"/>
        </w:rPr>
        <w:t>公告期限为本公告发布之日起</w:t>
      </w:r>
      <w:r>
        <w:rPr>
          <w:rFonts w:hint="eastAsia" w:ascii="仿宋" w:hAnsi="仿宋" w:eastAsia="仿宋" w:cs="仿宋"/>
          <w:sz w:val="30"/>
          <w:szCs w:val="30"/>
          <w:lang w:val="en-US" w:eastAsia="zh-CN"/>
        </w:rPr>
        <w:t>_5__</w:t>
      </w:r>
      <w:r>
        <w:rPr>
          <w:rFonts w:hint="eastAsia" w:ascii="仿宋" w:hAnsi="仿宋" w:eastAsia="仿宋" w:cs="仿宋"/>
          <w:sz w:val="30"/>
          <w:szCs w:val="30"/>
        </w:rPr>
        <w:t>个工作日。请意向单位于</w:t>
      </w:r>
      <w:r>
        <w:rPr>
          <w:rFonts w:hint="eastAsia" w:ascii="仿宋" w:hAnsi="仿宋" w:eastAsia="仿宋" w:cs="仿宋"/>
          <w:sz w:val="30"/>
          <w:szCs w:val="30"/>
          <w:lang w:val="en-US" w:eastAsia="zh-CN"/>
        </w:rPr>
        <w:t>__2026___</w:t>
      </w:r>
      <w:r>
        <w:rPr>
          <w:rFonts w:hint="eastAsia" w:ascii="仿宋" w:hAnsi="仿宋" w:eastAsia="仿宋" w:cs="仿宋"/>
          <w:sz w:val="30"/>
          <w:szCs w:val="30"/>
        </w:rPr>
        <w:t>年</w:t>
      </w:r>
      <w:r>
        <w:rPr>
          <w:rFonts w:hint="eastAsia" w:ascii="仿宋" w:hAnsi="仿宋" w:eastAsia="仿宋" w:cs="仿宋"/>
          <w:sz w:val="30"/>
          <w:szCs w:val="30"/>
          <w:lang w:val="en-US" w:eastAsia="zh-CN"/>
        </w:rPr>
        <w:t>___6___</w:t>
      </w:r>
      <w:r>
        <w:rPr>
          <w:rFonts w:hint="eastAsia" w:ascii="仿宋" w:hAnsi="仿宋" w:eastAsia="仿宋" w:cs="仿宋"/>
          <w:sz w:val="30"/>
          <w:szCs w:val="30"/>
        </w:rPr>
        <w:t>月</w:t>
      </w:r>
      <w:r>
        <w:rPr>
          <w:rFonts w:hint="eastAsia" w:ascii="仿宋" w:hAnsi="仿宋" w:eastAsia="仿宋" w:cs="仿宋"/>
          <w:sz w:val="30"/>
          <w:szCs w:val="30"/>
          <w:lang w:val="en-US" w:eastAsia="zh-CN"/>
        </w:rPr>
        <w:t>___12____</w:t>
      </w:r>
      <w:r>
        <w:rPr>
          <w:rFonts w:hint="eastAsia" w:ascii="仿宋" w:hAnsi="仿宋" w:eastAsia="仿宋" w:cs="仿宋"/>
          <w:sz w:val="30"/>
          <w:szCs w:val="30"/>
        </w:rPr>
        <w:t>日前将</w:t>
      </w:r>
      <w:r>
        <w:rPr>
          <w:rFonts w:hint="eastAsia" w:ascii="仿宋" w:hAnsi="仿宋" w:eastAsia="仿宋" w:cs="仿宋"/>
          <w:sz w:val="30"/>
          <w:szCs w:val="30"/>
          <w:lang w:eastAsia="zh-CN"/>
        </w:rPr>
        <w:t>所需提供的征集材料一式</w:t>
      </w:r>
      <w:r>
        <w:rPr>
          <w:rFonts w:hint="eastAsia" w:ascii="仿宋" w:hAnsi="仿宋" w:eastAsia="仿宋" w:cs="仿宋"/>
          <w:sz w:val="30"/>
          <w:szCs w:val="30"/>
          <w:lang w:val="en-US" w:eastAsia="zh-CN"/>
        </w:rPr>
        <w:t>__3___</w:t>
      </w:r>
      <w:r>
        <w:rPr>
          <w:rFonts w:hint="eastAsia" w:ascii="仿宋" w:hAnsi="仿宋" w:eastAsia="仿宋" w:cs="仿宋"/>
          <w:sz w:val="30"/>
          <w:szCs w:val="30"/>
          <w:lang w:eastAsia="zh-CN"/>
        </w:rPr>
        <w:t>份装入档案袋封密，并在密封袋四周盖章，档案袋上注明项目名称、报名单位、联系人、联系方式并加盖单位公章，</w:t>
      </w:r>
      <w:r>
        <w:rPr>
          <w:rFonts w:hint="eastAsia" w:ascii="仿宋" w:hAnsi="仿宋" w:eastAsia="仿宋" w:cs="仿宋"/>
          <w:sz w:val="30"/>
          <w:szCs w:val="30"/>
        </w:rPr>
        <w:t>报送至南宁市西乡塘区</w:t>
      </w:r>
      <w:r>
        <w:rPr>
          <w:rFonts w:hint="eastAsia" w:ascii="仿宋" w:hAnsi="仿宋" w:eastAsia="仿宋" w:cs="仿宋"/>
          <w:sz w:val="30"/>
          <w:szCs w:val="30"/>
          <w:lang w:eastAsia="zh-CN"/>
        </w:rPr>
        <w:t>罗文大道</w:t>
      </w:r>
      <w:r>
        <w:rPr>
          <w:rFonts w:hint="eastAsia" w:ascii="仿宋" w:hAnsi="仿宋" w:eastAsia="仿宋" w:cs="仿宋"/>
          <w:sz w:val="30"/>
          <w:szCs w:val="30"/>
          <w:lang w:val="en-US" w:eastAsia="zh-CN"/>
        </w:rPr>
        <w:t>16号南宁市卫生学校，如邮寄请</w:t>
      </w:r>
      <w:r>
        <w:rPr>
          <w:rFonts w:hint="eastAsia" w:ascii="仿宋" w:hAnsi="仿宋" w:eastAsia="仿宋" w:cs="仿宋"/>
          <w:color w:val="auto"/>
          <w:sz w:val="30"/>
          <w:szCs w:val="30"/>
          <w:lang w:val="en-US" w:eastAsia="zh-CN"/>
        </w:rPr>
        <w:t>联系项目归口管理部门联系人。</w:t>
      </w:r>
      <w:r>
        <w:rPr>
          <w:rFonts w:hint="eastAsia" w:ascii="仿宋" w:hAnsi="仿宋" w:eastAsia="仿宋" w:cs="仿宋"/>
          <w:sz w:val="30"/>
          <w:szCs w:val="30"/>
          <w:lang w:val="en-US" w:eastAsia="zh-CN"/>
        </w:rPr>
        <w:t>同时于截止期限前将服务响应及报价方案可编辑版本发送至电子邮箱：</w:t>
      </w:r>
      <w:r>
        <w:rPr>
          <w:rFonts w:hint="eastAsia" w:ascii="仿宋" w:hAnsi="仿宋" w:eastAsia="仿宋" w:cs="仿宋"/>
          <w:color w:val="auto"/>
          <w:sz w:val="30"/>
          <w:szCs w:val="30"/>
          <w:lang w:val="en-US" w:eastAsia="zh-CN"/>
        </w:rPr>
        <w:t>991590995@qq.com</w:t>
      </w:r>
    </w:p>
    <w:p w14:paraId="2EB4451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0"/>
          <w:szCs w:val="30"/>
          <w:lang w:val="en-US" w:eastAsia="zh-CN"/>
        </w:rPr>
      </w:pPr>
    </w:p>
    <w:p w14:paraId="2DF043DA">
      <w:pPr>
        <w:keepNext w:val="0"/>
        <w:keepLines w:val="0"/>
        <w:pageBreakBefore w:val="0"/>
        <w:widowControl w:val="0"/>
        <w:kinsoku/>
        <w:wordWrap/>
        <w:overflowPunct/>
        <w:topLinePunct w:val="0"/>
        <w:autoSpaceDE/>
        <w:autoSpaceDN/>
        <w:bidi w:val="0"/>
        <w:adjustRightInd/>
        <w:snapToGrid/>
        <w:spacing w:line="560" w:lineRule="exact"/>
        <w:ind w:firstLine="602" w:firstLineChars="200"/>
        <w:jc w:val="both"/>
        <w:textAlignment w:val="auto"/>
        <w:rPr>
          <w:rFonts w:hint="eastAsia" w:ascii="仿宋" w:hAnsi="仿宋" w:eastAsia="仿宋" w:cs="仿宋"/>
          <w:b/>
          <w:bCs/>
          <w:sz w:val="30"/>
          <w:szCs w:val="30"/>
          <w:lang w:eastAsia="zh-CN"/>
        </w:rPr>
      </w:pPr>
      <w:r>
        <w:rPr>
          <w:rFonts w:hint="eastAsia" w:ascii="仿宋" w:hAnsi="仿宋" w:eastAsia="仿宋" w:cs="仿宋"/>
          <w:b/>
          <w:bCs/>
          <w:sz w:val="30"/>
          <w:szCs w:val="30"/>
          <w:lang w:eastAsia="zh-CN"/>
        </w:rPr>
        <w:t>备注：除营业执照复印件、相关资质证书复印件外，其它所提供的材料，如：报价方案、服务方案等不能出现报名公司及货物品牌名称，否则作无效处理。</w:t>
      </w:r>
    </w:p>
    <w:p w14:paraId="5D647AA0">
      <w:pPr>
        <w:keepNext w:val="0"/>
        <w:keepLines w:val="0"/>
        <w:pageBreakBefore w:val="0"/>
        <w:widowControl w:val="0"/>
        <w:kinsoku/>
        <w:wordWrap/>
        <w:overflowPunct/>
        <w:topLinePunct w:val="0"/>
        <w:autoSpaceDE/>
        <w:autoSpaceDN/>
        <w:bidi w:val="0"/>
        <w:adjustRightInd/>
        <w:snapToGrid/>
        <w:spacing w:line="560" w:lineRule="exact"/>
        <w:ind w:firstLine="602" w:firstLineChars="200"/>
        <w:jc w:val="both"/>
        <w:textAlignment w:val="auto"/>
        <w:rPr>
          <w:rFonts w:hint="eastAsia" w:ascii="仿宋" w:hAnsi="仿宋" w:eastAsia="仿宋" w:cs="仿宋"/>
          <w:b/>
          <w:bCs/>
          <w:sz w:val="30"/>
          <w:szCs w:val="30"/>
        </w:rPr>
      </w:pPr>
      <w:r>
        <w:rPr>
          <w:rFonts w:hint="eastAsia" w:ascii="仿宋" w:hAnsi="仿宋" w:eastAsia="仿宋" w:cs="仿宋"/>
          <w:b/>
          <w:bCs/>
          <w:sz w:val="30"/>
          <w:szCs w:val="30"/>
          <w:lang w:eastAsia="zh-CN"/>
        </w:rPr>
        <w:t>六</w:t>
      </w:r>
      <w:r>
        <w:rPr>
          <w:rFonts w:hint="eastAsia" w:ascii="仿宋" w:hAnsi="仿宋" w:eastAsia="仿宋" w:cs="仿宋"/>
          <w:b/>
          <w:bCs/>
          <w:sz w:val="30"/>
          <w:szCs w:val="30"/>
        </w:rPr>
        <w:t>、其他说明</w:t>
      </w:r>
    </w:p>
    <w:p w14:paraId="340FD471">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rPr>
      </w:pPr>
      <w:r>
        <w:rPr>
          <w:rFonts w:hint="eastAsia" w:ascii="仿宋" w:hAnsi="仿宋" w:eastAsia="仿宋" w:cs="仿宋"/>
          <w:sz w:val="30"/>
          <w:szCs w:val="30"/>
        </w:rPr>
        <w:t>1.本次</w:t>
      </w:r>
      <w:r>
        <w:rPr>
          <w:rFonts w:hint="eastAsia" w:ascii="仿宋" w:hAnsi="仿宋" w:eastAsia="仿宋" w:cs="仿宋"/>
          <w:sz w:val="30"/>
          <w:szCs w:val="30"/>
          <w:lang w:eastAsia="zh-CN"/>
        </w:rPr>
        <w:t>公开征集</w:t>
      </w:r>
      <w:r>
        <w:rPr>
          <w:rFonts w:hint="eastAsia" w:ascii="仿宋" w:hAnsi="仿宋" w:eastAsia="仿宋" w:cs="仿宋"/>
          <w:sz w:val="30"/>
          <w:szCs w:val="30"/>
        </w:rPr>
        <w:t>仅为</w:t>
      </w:r>
      <w:r>
        <w:rPr>
          <w:rFonts w:hint="eastAsia" w:ascii="仿宋" w:hAnsi="仿宋" w:eastAsia="仿宋" w:cs="仿宋"/>
          <w:sz w:val="30"/>
          <w:szCs w:val="30"/>
          <w:lang w:eastAsia="zh-CN"/>
        </w:rPr>
        <w:t>我校</w:t>
      </w:r>
      <w:r>
        <w:rPr>
          <w:rFonts w:hint="eastAsia" w:ascii="仿宋" w:hAnsi="仿宋" w:eastAsia="仿宋" w:cs="仿宋"/>
          <w:sz w:val="30"/>
          <w:szCs w:val="30"/>
        </w:rPr>
        <w:t>了解市场情况、收集信息之用，不构成任何采购承诺</w:t>
      </w:r>
      <w:r>
        <w:rPr>
          <w:rFonts w:hint="eastAsia" w:ascii="仿宋" w:hAnsi="仿宋" w:eastAsia="仿宋" w:cs="仿宋"/>
          <w:sz w:val="30"/>
          <w:szCs w:val="30"/>
          <w:lang w:eastAsia="zh-CN"/>
        </w:rPr>
        <w:t>，</w:t>
      </w:r>
      <w:r>
        <w:rPr>
          <w:rFonts w:hint="eastAsia" w:ascii="仿宋" w:hAnsi="仿宋" w:eastAsia="仿宋" w:cs="仿宋"/>
          <w:sz w:val="30"/>
          <w:szCs w:val="30"/>
        </w:rPr>
        <w:t>不作为后续招标、谈判或询价的唯一依据。</w:t>
      </w:r>
      <w:r>
        <w:rPr>
          <w:rFonts w:hint="eastAsia" w:ascii="仿宋" w:hAnsi="仿宋" w:eastAsia="仿宋" w:cs="仿宋"/>
          <w:sz w:val="30"/>
          <w:szCs w:val="30"/>
          <w:lang w:eastAsia="zh-CN"/>
        </w:rPr>
        <w:t>我校</w:t>
      </w:r>
      <w:r>
        <w:rPr>
          <w:rFonts w:hint="eastAsia" w:ascii="仿宋" w:hAnsi="仿宋" w:eastAsia="仿宋" w:cs="仿宋"/>
          <w:sz w:val="30"/>
          <w:szCs w:val="30"/>
        </w:rPr>
        <w:t>无需对所有提交材料的供应商作出回应。  </w:t>
      </w:r>
    </w:p>
    <w:p w14:paraId="2681965D">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rPr>
      </w:pPr>
      <w:r>
        <w:rPr>
          <w:rFonts w:hint="eastAsia" w:ascii="仿宋" w:hAnsi="仿宋" w:eastAsia="仿宋" w:cs="仿宋"/>
          <w:sz w:val="30"/>
          <w:szCs w:val="30"/>
        </w:rPr>
        <w:t>2.</w:t>
      </w:r>
      <w:r>
        <w:rPr>
          <w:rFonts w:hint="eastAsia" w:ascii="仿宋" w:hAnsi="仿宋" w:eastAsia="仿宋" w:cs="仿宋"/>
          <w:sz w:val="30"/>
          <w:szCs w:val="30"/>
          <w:lang w:eastAsia="zh-CN"/>
        </w:rPr>
        <w:t>所</w:t>
      </w:r>
      <w:r>
        <w:rPr>
          <w:rFonts w:hint="eastAsia" w:ascii="仿宋" w:hAnsi="仿宋" w:eastAsia="仿宋" w:cs="仿宋"/>
          <w:sz w:val="30"/>
          <w:szCs w:val="30"/>
        </w:rPr>
        <w:t>提交材料恕不退还，</w:t>
      </w:r>
      <w:r>
        <w:rPr>
          <w:rFonts w:hint="eastAsia" w:ascii="仿宋" w:hAnsi="仿宋" w:eastAsia="仿宋" w:cs="仿宋"/>
          <w:sz w:val="30"/>
          <w:szCs w:val="30"/>
          <w:lang w:eastAsia="zh-CN"/>
        </w:rPr>
        <w:t>我校</w:t>
      </w:r>
      <w:r>
        <w:rPr>
          <w:rFonts w:hint="eastAsia" w:ascii="仿宋" w:hAnsi="仿宋" w:eastAsia="仿宋" w:cs="仿宋"/>
          <w:sz w:val="30"/>
          <w:szCs w:val="30"/>
        </w:rPr>
        <w:t>承诺对商业信息</w:t>
      </w:r>
      <w:r>
        <w:rPr>
          <w:rFonts w:hint="eastAsia" w:ascii="仿宋" w:hAnsi="仿宋" w:eastAsia="仿宋" w:cs="仿宋"/>
          <w:sz w:val="30"/>
          <w:szCs w:val="30"/>
          <w:lang w:eastAsia="zh-CN"/>
        </w:rPr>
        <w:t>予以</w:t>
      </w:r>
      <w:r>
        <w:rPr>
          <w:rFonts w:hint="eastAsia" w:ascii="仿宋" w:hAnsi="仿宋" w:eastAsia="仿宋" w:cs="仿宋"/>
          <w:sz w:val="30"/>
          <w:szCs w:val="30"/>
        </w:rPr>
        <w:t>保密。  </w:t>
      </w:r>
    </w:p>
    <w:p w14:paraId="1F1F5AC5">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rPr>
      </w:pPr>
      <w:r>
        <w:rPr>
          <w:rFonts w:hint="eastAsia" w:ascii="仿宋" w:hAnsi="仿宋" w:eastAsia="仿宋" w:cs="仿宋"/>
          <w:sz w:val="30"/>
          <w:szCs w:val="30"/>
        </w:rPr>
        <w:t>3.供应商应对所提供资料的真实性、合法性承担法律责任。如发现虚假信息，将取消其参与资格。</w:t>
      </w:r>
    </w:p>
    <w:p w14:paraId="6DF7D90C">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w:t>
      </w:r>
      <w:r>
        <w:rPr>
          <w:rFonts w:hint="eastAsia" w:ascii="仿宋" w:hAnsi="仿宋" w:eastAsia="仿宋" w:cs="仿宋"/>
          <w:color w:val="0000FF"/>
          <w:sz w:val="30"/>
          <w:szCs w:val="30"/>
          <w:lang w:val="en-US" w:eastAsia="zh-CN"/>
        </w:rPr>
        <w:t>在征集期间，我校可能根据项目需要要求供应商进行补充说明，敬请配合。</w:t>
      </w:r>
    </w:p>
    <w:p w14:paraId="553D68EC">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5.</w:t>
      </w:r>
      <w:r>
        <w:rPr>
          <w:rFonts w:hint="eastAsia" w:ascii="仿宋" w:hAnsi="仿宋" w:eastAsia="仿宋" w:cs="仿宋"/>
          <w:sz w:val="30"/>
          <w:szCs w:val="30"/>
        </w:rPr>
        <w:t>未按要求提交资料或超期者视为自动放弃。</w:t>
      </w:r>
    </w:p>
    <w:p w14:paraId="5460E7F1">
      <w:pPr>
        <w:keepNext w:val="0"/>
        <w:keepLines w:val="0"/>
        <w:pageBreakBefore w:val="0"/>
        <w:widowControl w:val="0"/>
        <w:kinsoku/>
        <w:wordWrap/>
        <w:overflowPunct/>
        <w:topLinePunct w:val="0"/>
        <w:autoSpaceDE/>
        <w:autoSpaceDN/>
        <w:bidi w:val="0"/>
        <w:adjustRightInd/>
        <w:snapToGrid/>
        <w:spacing w:line="560" w:lineRule="exact"/>
        <w:ind w:firstLine="602" w:firstLineChars="200"/>
        <w:jc w:val="both"/>
        <w:textAlignment w:val="auto"/>
        <w:rPr>
          <w:rFonts w:hint="eastAsia" w:ascii="仿宋" w:hAnsi="仿宋" w:eastAsia="仿宋" w:cs="仿宋"/>
          <w:sz w:val="30"/>
          <w:szCs w:val="30"/>
        </w:rPr>
      </w:pPr>
      <w:r>
        <w:rPr>
          <w:rFonts w:hint="eastAsia" w:ascii="仿宋" w:hAnsi="仿宋" w:eastAsia="仿宋" w:cs="仿宋"/>
          <w:b/>
          <w:bCs/>
          <w:sz w:val="30"/>
          <w:szCs w:val="30"/>
        </w:rPr>
        <w:t>六、对本次公告提出询问，请按以下方式联系:</w:t>
      </w:r>
      <w:r>
        <w:rPr>
          <w:rFonts w:hint="eastAsia" w:ascii="仿宋" w:hAnsi="仿宋" w:eastAsia="仿宋" w:cs="仿宋"/>
          <w:sz w:val="30"/>
          <w:szCs w:val="30"/>
        </w:rPr>
        <w:t>　　　　　　　　　</w:t>
      </w:r>
    </w:p>
    <w:p w14:paraId="3C3B0CF4">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color w:val="auto"/>
          <w:sz w:val="30"/>
          <w:szCs w:val="30"/>
          <w:lang w:val="en-US" w:eastAsia="zh-CN"/>
        </w:rPr>
      </w:pPr>
      <w:r>
        <w:rPr>
          <w:rFonts w:hint="eastAsia" w:ascii="仿宋" w:hAnsi="仿宋" w:eastAsia="仿宋" w:cs="仿宋"/>
          <w:color w:val="auto"/>
          <w:sz w:val="30"/>
          <w:szCs w:val="30"/>
        </w:rPr>
        <w:t>项目</w:t>
      </w:r>
      <w:r>
        <w:rPr>
          <w:rFonts w:hint="eastAsia" w:ascii="仿宋" w:hAnsi="仿宋" w:eastAsia="仿宋" w:cs="仿宋"/>
          <w:color w:val="auto"/>
          <w:sz w:val="30"/>
          <w:szCs w:val="30"/>
          <w:lang w:val="en-US" w:eastAsia="zh-CN"/>
        </w:rPr>
        <w:t>归口管理</w:t>
      </w:r>
      <w:r>
        <w:rPr>
          <w:rFonts w:hint="eastAsia" w:ascii="仿宋" w:hAnsi="仿宋" w:eastAsia="仿宋" w:cs="仿宋"/>
          <w:color w:val="auto"/>
          <w:sz w:val="30"/>
          <w:szCs w:val="30"/>
        </w:rPr>
        <w:t>部门</w:t>
      </w:r>
      <w:r>
        <w:rPr>
          <w:rFonts w:hint="eastAsia" w:ascii="仿宋" w:hAnsi="仿宋" w:eastAsia="仿宋" w:cs="仿宋"/>
          <w:color w:val="auto"/>
          <w:sz w:val="30"/>
          <w:szCs w:val="30"/>
          <w:lang w:val="en-US" w:eastAsia="zh-CN"/>
        </w:rPr>
        <w:t>_后勤保障科（安全保卫科），</w:t>
      </w:r>
      <w:r>
        <w:rPr>
          <w:rFonts w:hint="eastAsia" w:ascii="仿宋" w:hAnsi="仿宋" w:eastAsia="仿宋" w:cs="仿宋"/>
          <w:color w:val="auto"/>
          <w:sz w:val="30"/>
          <w:szCs w:val="30"/>
        </w:rPr>
        <w:t>联系人：</w:t>
      </w:r>
      <w:r>
        <w:rPr>
          <w:rFonts w:hint="eastAsia" w:ascii="仿宋" w:hAnsi="仿宋" w:eastAsia="仿宋" w:cs="仿宋"/>
          <w:color w:val="auto"/>
          <w:sz w:val="30"/>
          <w:szCs w:val="30"/>
          <w:lang w:val="en-US" w:eastAsia="zh-CN"/>
        </w:rPr>
        <w:t>徐越，联系电话：18172426941</w:t>
      </w:r>
    </w:p>
    <w:p w14:paraId="29760F5D">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rPr>
        <w:t>联系地址：</w:t>
      </w:r>
      <w:r>
        <w:rPr>
          <w:rFonts w:hint="eastAsia" w:ascii="仿宋" w:hAnsi="仿宋" w:eastAsia="仿宋" w:cs="仿宋"/>
          <w:sz w:val="30"/>
          <w:szCs w:val="30"/>
          <w:lang w:eastAsia="zh-CN"/>
        </w:rPr>
        <w:t>南宁市西乡塘区罗文大道</w:t>
      </w:r>
      <w:r>
        <w:rPr>
          <w:rFonts w:hint="eastAsia" w:ascii="仿宋" w:hAnsi="仿宋" w:eastAsia="仿宋" w:cs="仿宋"/>
          <w:sz w:val="30"/>
          <w:szCs w:val="30"/>
          <w:lang w:val="en-US" w:eastAsia="zh-CN"/>
        </w:rPr>
        <w:t>16号南宁市卫生学校</w:t>
      </w:r>
    </w:p>
    <w:p w14:paraId="1FD21C2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sz w:val="30"/>
          <w:szCs w:val="30"/>
        </w:rPr>
      </w:pPr>
    </w:p>
    <w:p w14:paraId="4199534E">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eastAsia="zh-CN"/>
        </w:rPr>
        <w:t>附件</w:t>
      </w:r>
      <w:r>
        <w:rPr>
          <w:rFonts w:hint="eastAsia" w:ascii="仿宋" w:hAnsi="仿宋" w:eastAsia="仿宋" w:cs="仿宋"/>
          <w:sz w:val="30"/>
          <w:szCs w:val="30"/>
          <w:lang w:val="en-US" w:eastAsia="zh-CN"/>
        </w:rPr>
        <w:t>：南宁市卫生学校</w:t>
      </w:r>
      <w:r>
        <w:rPr>
          <w:rFonts w:hint="eastAsia" w:ascii="仿宋" w:hAnsi="仿宋" w:eastAsia="仿宋" w:cs="仿宋"/>
          <w:sz w:val="30"/>
          <w:szCs w:val="30"/>
          <w:u w:val="single"/>
          <w:lang w:val="en-US" w:eastAsia="zh-CN"/>
        </w:rPr>
        <w:t>预算项目设计及预算编制服务</w:t>
      </w:r>
      <w:r>
        <w:rPr>
          <w:rFonts w:hint="eastAsia" w:ascii="仿宋" w:hAnsi="仿宋" w:eastAsia="仿宋" w:cs="仿宋"/>
          <w:sz w:val="30"/>
          <w:szCs w:val="30"/>
          <w:lang w:val="en-US" w:eastAsia="zh-CN"/>
        </w:rPr>
        <w:t>项目</w:t>
      </w:r>
      <w:r>
        <w:rPr>
          <w:rFonts w:hint="eastAsia" w:ascii="仿宋" w:hAnsi="仿宋" w:eastAsia="仿宋" w:cs="仿宋"/>
          <w:color w:val="FF0000"/>
          <w:sz w:val="30"/>
          <w:szCs w:val="30"/>
          <w:lang w:val="en-US" w:eastAsia="zh-CN"/>
        </w:rPr>
        <w:t>服务响应</w:t>
      </w:r>
      <w:r>
        <w:rPr>
          <w:rFonts w:hint="eastAsia" w:ascii="仿宋" w:hAnsi="仿宋" w:eastAsia="仿宋" w:cs="仿宋"/>
          <w:sz w:val="30"/>
          <w:szCs w:val="30"/>
          <w:lang w:val="en-US" w:eastAsia="zh-CN"/>
        </w:rPr>
        <w:t>及报价方案</w:t>
      </w:r>
    </w:p>
    <w:p w14:paraId="626C159C">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30"/>
          <w:szCs w:val="30"/>
          <w:lang w:eastAsia="zh-CN"/>
        </w:rPr>
      </w:pP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本页无正文。</w:t>
      </w:r>
      <w:r>
        <w:rPr>
          <w:rFonts w:hint="eastAsia" w:ascii="仿宋" w:hAnsi="仿宋" w:eastAsia="仿宋" w:cs="仿宋"/>
          <w:sz w:val="30"/>
          <w:szCs w:val="30"/>
          <w:lang w:eastAsia="zh-CN"/>
        </w:rPr>
        <w:t>）</w:t>
      </w:r>
    </w:p>
    <w:p w14:paraId="3D955F23">
      <w:pPr>
        <w:keepNext w:val="0"/>
        <w:keepLines w:val="0"/>
        <w:pageBreakBefore w:val="0"/>
        <w:widowControl w:val="0"/>
        <w:kinsoku/>
        <w:wordWrap/>
        <w:overflowPunct/>
        <w:topLinePunct w:val="0"/>
        <w:autoSpaceDE/>
        <w:autoSpaceDN/>
        <w:bidi w:val="0"/>
        <w:adjustRightInd/>
        <w:snapToGrid/>
        <w:spacing w:line="560" w:lineRule="exact"/>
        <w:ind w:firstLine="5100" w:firstLineChars="1700"/>
        <w:jc w:val="both"/>
        <w:textAlignment w:val="auto"/>
        <w:rPr>
          <w:rFonts w:hint="eastAsia" w:ascii="仿宋" w:hAnsi="仿宋" w:eastAsia="仿宋" w:cs="仿宋"/>
          <w:sz w:val="30"/>
          <w:szCs w:val="30"/>
        </w:rPr>
      </w:pPr>
    </w:p>
    <w:p w14:paraId="26412B43">
      <w:pPr>
        <w:keepNext w:val="0"/>
        <w:keepLines w:val="0"/>
        <w:pageBreakBefore w:val="0"/>
        <w:widowControl w:val="0"/>
        <w:kinsoku/>
        <w:wordWrap/>
        <w:overflowPunct/>
        <w:topLinePunct w:val="0"/>
        <w:autoSpaceDE/>
        <w:autoSpaceDN/>
        <w:bidi w:val="0"/>
        <w:adjustRightInd/>
        <w:snapToGrid/>
        <w:spacing w:line="560" w:lineRule="exact"/>
        <w:ind w:firstLine="6000" w:firstLineChars="2000"/>
        <w:jc w:val="both"/>
        <w:textAlignment w:val="auto"/>
        <w:rPr>
          <w:rFonts w:hint="eastAsia" w:ascii="仿宋" w:hAnsi="仿宋" w:eastAsia="仿宋" w:cs="仿宋"/>
          <w:sz w:val="30"/>
          <w:szCs w:val="30"/>
          <w:lang w:eastAsia="zh-CN"/>
        </w:rPr>
      </w:pPr>
      <w:bookmarkStart w:id="0" w:name="_GoBack"/>
      <w:bookmarkEnd w:id="0"/>
      <w:r>
        <w:rPr>
          <w:rFonts w:hint="eastAsia" w:ascii="仿宋" w:hAnsi="仿宋" w:eastAsia="仿宋" w:cs="仿宋"/>
          <w:sz w:val="30"/>
          <w:szCs w:val="30"/>
        </w:rPr>
        <w:t>南宁市</w:t>
      </w:r>
      <w:r>
        <w:rPr>
          <w:rFonts w:hint="eastAsia" w:ascii="仿宋" w:hAnsi="仿宋" w:eastAsia="仿宋" w:cs="仿宋"/>
          <w:sz w:val="30"/>
          <w:szCs w:val="30"/>
          <w:lang w:eastAsia="zh-CN"/>
        </w:rPr>
        <w:t>卫生学校</w:t>
      </w:r>
    </w:p>
    <w:p w14:paraId="6E38FCA4">
      <w:pPr>
        <w:keepNext w:val="0"/>
        <w:keepLines w:val="0"/>
        <w:pageBreakBefore w:val="0"/>
        <w:widowControl w:val="0"/>
        <w:kinsoku/>
        <w:wordWrap/>
        <w:overflowPunct/>
        <w:topLinePunct w:val="0"/>
        <w:autoSpaceDE/>
        <w:autoSpaceDN/>
        <w:bidi w:val="0"/>
        <w:adjustRightInd/>
        <w:snapToGrid/>
        <w:spacing w:line="560" w:lineRule="exact"/>
        <w:ind w:left="5760" w:hanging="5400" w:hangingChars="1800"/>
        <w:jc w:val="both"/>
        <w:textAlignment w:val="auto"/>
        <w:rPr>
          <w:rFonts w:hint="eastAsia" w:ascii="仿宋" w:hAnsi="仿宋" w:eastAsia="仿宋" w:cs="仿宋"/>
          <w:sz w:val="30"/>
          <w:szCs w:val="30"/>
        </w:rPr>
      </w:pPr>
      <w:r>
        <w:rPr>
          <w:rFonts w:hint="eastAsia" w:ascii="仿宋" w:hAnsi="仿宋" w:eastAsia="仿宋" w:cs="仿宋"/>
          <w:sz w:val="30"/>
          <w:szCs w:val="30"/>
        </w:rPr>
        <w:t>                               </w:t>
      </w:r>
      <w:r>
        <w:rPr>
          <w:rFonts w:hint="eastAsia" w:ascii="仿宋" w:hAnsi="仿宋" w:eastAsia="仿宋" w:cs="仿宋"/>
          <w:sz w:val="30"/>
          <w:szCs w:val="30"/>
          <w:lang w:val="en-US" w:eastAsia="zh-CN"/>
        </w:rPr>
        <w:t xml:space="preserve">            </w:t>
      </w:r>
      <w:r>
        <w:rPr>
          <w:rFonts w:hint="eastAsia" w:ascii="仿宋" w:hAnsi="仿宋" w:eastAsia="仿宋" w:cs="仿宋"/>
          <w:sz w:val="30"/>
          <w:szCs w:val="30"/>
        </w:rPr>
        <w:t xml:space="preserve"> </w:t>
      </w:r>
      <w:r>
        <w:rPr>
          <w:rFonts w:hint="eastAsia" w:ascii="仿宋" w:hAnsi="仿宋" w:eastAsia="仿宋" w:cs="仿宋"/>
          <w:sz w:val="30"/>
          <w:szCs w:val="30"/>
          <w:lang w:val="en-US" w:eastAsia="zh-CN"/>
        </w:rPr>
        <w:t>2026</w:t>
      </w:r>
      <w:r>
        <w:rPr>
          <w:rFonts w:hint="eastAsia" w:ascii="仿宋" w:hAnsi="仿宋" w:eastAsia="仿宋" w:cs="仿宋"/>
          <w:sz w:val="30"/>
          <w:szCs w:val="30"/>
        </w:rPr>
        <w:t>年</w:t>
      </w:r>
      <w:r>
        <w:rPr>
          <w:rFonts w:hint="eastAsia" w:ascii="仿宋" w:hAnsi="仿宋" w:eastAsia="仿宋" w:cs="仿宋"/>
          <w:sz w:val="30"/>
          <w:szCs w:val="30"/>
          <w:lang w:val="en-US" w:eastAsia="zh-CN"/>
        </w:rPr>
        <w:t>6</w:t>
      </w:r>
      <w:r>
        <w:rPr>
          <w:rFonts w:hint="eastAsia" w:ascii="仿宋" w:hAnsi="仿宋" w:eastAsia="仿宋" w:cs="仿宋"/>
          <w:sz w:val="30"/>
          <w:szCs w:val="30"/>
        </w:rPr>
        <w:t>月</w:t>
      </w:r>
      <w:r>
        <w:rPr>
          <w:rFonts w:hint="eastAsia" w:ascii="仿宋" w:hAnsi="仿宋" w:eastAsia="仿宋" w:cs="仿宋"/>
          <w:sz w:val="30"/>
          <w:szCs w:val="30"/>
          <w:lang w:val="en-US" w:eastAsia="zh-CN"/>
        </w:rPr>
        <w:t>4</w:t>
      </w:r>
      <w:r>
        <w:rPr>
          <w:rFonts w:hint="eastAsia" w:ascii="仿宋" w:hAnsi="仿宋" w:eastAsia="仿宋" w:cs="仿宋"/>
          <w:sz w:val="30"/>
          <w:szCs w:val="30"/>
        </w:rPr>
        <w:t>日</w:t>
      </w:r>
    </w:p>
    <w:p w14:paraId="2A3B0602">
      <w:pPr>
        <w:keepNext w:val="0"/>
        <w:keepLines w:val="0"/>
        <w:pageBreakBefore w:val="0"/>
        <w:widowControl w:val="0"/>
        <w:kinsoku/>
        <w:wordWrap/>
        <w:overflowPunct/>
        <w:topLinePunct w:val="0"/>
        <w:autoSpaceDE/>
        <w:autoSpaceDN/>
        <w:bidi w:val="0"/>
        <w:adjustRightInd/>
        <w:snapToGrid/>
        <w:spacing w:line="560" w:lineRule="exact"/>
        <w:ind w:left="5760" w:hanging="5400" w:hangingChars="1800"/>
        <w:jc w:val="both"/>
        <w:textAlignment w:val="auto"/>
        <w:rPr>
          <w:rFonts w:hint="eastAsia" w:ascii="仿宋" w:hAnsi="仿宋" w:eastAsia="仿宋" w:cs="仿宋"/>
          <w:sz w:val="30"/>
          <w:szCs w:val="30"/>
        </w:rPr>
      </w:pPr>
    </w:p>
    <w:p w14:paraId="682A11DD">
      <w:pPr>
        <w:keepNext w:val="0"/>
        <w:keepLines w:val="0"/>
        <w:pageBreakBefore w:val="0"/>
        <w:widowControl w:val="0"/>
        <w:kinsoku/>
        <w:wordWrap/>
        <w:overflowPunct/>
        <w:topLinePunct w:val="0"/>
        <w:autoSpaceDE/>
        <w:autoSpaceDN/>
        <w:bidi w:val="0"/>
        <w:adjustRightInd/>
        <w:snapToGrid/>
        <w:spacing w:line="560" w:lineRule="exact"/>
        <w:ind w:left="5760" w:hanging="5400" w:hangingChars="1800"/>
        <w:jc w:val="both"/>
        <w:textAlignment w:val="auto"/>
        <w:rPr>
          <w:rFonts w:hint="eastAsia" w:ascii="仿宋" w:hAnsi="仿宋" w:eastAsia="仿宋" w:cs="仿宋"/>
          <w:sz w:val="30"/>
          <w:szCs w:val="30"/>
        </w:rPr>
      </w:pPr>
    </w:p>
    <w:p w14:paraId="737232C7">
      <w:pPr>
        <w:pStyle w:val="2"/>
        <w:rPr>
          <w:rFonts w:hint="eastAsia" w:ascii="仿宋" w:hAnsi="仿宋" w:eastAsia="仿宋" w:cs="仿宋"/>
          <w:sz w:val="30"/>
          <w:szCs w:val="30"/>
        </w:rPr>
      </w:pPr>
    </w:p>
    <w:p w14:paraId="2EC97F8D">
      <w:pPr>
        <w:pStyle w:val="2"/>
        <w:rPr>
          <w:rFonts w:hint="eastAsia" w:ascii="仿宋" w:hAnsi="仿宋" w:eastAsia="仿宋" w:cs="仿宋"/>
          <w:sz w:val="30"/>
          <w:szCs w:val="30"/>
        </w:rPr>
      </w:pPr>
    </w:p>
    <w:p w14:paraId="2E1A5936">
      <w:pPr>
        <w:spacing w:line="400" w:lineRule="exact"/>
        <w:rPr>
          <w:rFonts w:hint="eastAsia" w:ascii="仿宋_GB2312" w:hAnsi="仿宋_GB2312" w:eastAsia="仿宋_GB2312" w:cs="仿宋_GB2312"/>
          <w:b/>
          <w:color w:val="000000"/>
          <w:sz w:val="30"/>
          <w:szCs w:val="30"/>
          <w:lang w:eastAsia="zh-CN"/>
        </w:rPr>
      </w:pPr>
    </w:p>
    <w:p w14:paraId="7A0F7A08">
      <w:pPr>
        <w:pStyle w:val="2"/>
        <w:rPr>
          <w:rFonts w:hint="eastAsia" w:ascii="仿宋_GB2312" w:hAnsi="仿宋_GB2312" w:eastAsia="仿宋_GB2312" w:cs="仿宋_GB2312"/>
          <w:b/>
          <w:color w:val="000000"/>
          <w:sz w:val="30"/>
          <w:szCs w:val="30"/>
          <w:lang w:eastAsia="zh-CN"/>
        </w:rPr>
      </w:pPr>
    </w:p>
    <w:p w14:paraId="3E592A2A">
      <w:pPr>
        <w:pStyle w:val="2"/>
        <w:rPr>
          <w:rFonts w:hint="eastAsia" w:ascii="仿宋_GB2312" w:hAnsi="仿宋_GB2312" w:eastAsia="仿宋_GB2312" w:cs="仿宋_GB2312"/>
          <w:b/>
          <w:color w:val="000000"/>
          <w:sz w:val="30"/>
          <w:szCs w:val="30"/>
          <w:lang w:eastAsia="zh-CN"/>
        </w:rPr>
      </w:pPr>
    </w:p>
    <w:p w14:paraId="3B2FB00E">
      <w:pPr>
        <w:pStyle w:val="2"/>
        <w:rPr>
          <w:rFonts w:hint="eastAsia" w:ascii="仿宋_GB2312" w:hAnsi="仿宋_GB2312" w:eastAsia="仿宋_GB2312" w:cs="仿宋_GB2312"/>
          <w:b/>
          <w:color w:val="000000"/>
          <w:sz w:val="30"/>
          <w:szCs w:val="30"/>
          <w:lang w:eastAsia="zh-CN"/>
        </w:rPr>
      </w:pPr>
    </w:p>
    <w:p w14:paraId="31983851">
      <w:pPr>
        <w:pStyle w:val="2"/>
        <w:rPr>
          <w:rFonts w:hint="eastAsia" w:ascii="仿宋_GB2312" w:hAnsi="仿宋_GB2312" w:eastAsia="仿宋_GB2312" w:cs="仿宋_GB2312"/>
          <w:b/>
          <w:color w:val="000000"/>
          <w:sz w:val="30"/>
          <w:szCs w:val="30"/>
          <w:lang w:eastAsia="zh-CN"/>
        </w:rPr>
      </w:pPr>
    </w:p>
    <w:p w14:paraId="375CE6D9">
      <w:pPr>
        <w:pStyle w:val="2"/>
        <w:rPr>
          <w:rFonts w:hint="eastAsia" w:ascii="仿宋_GB2312" w:hAnsi="仿宋_GB2312" w:eastAsia="仿宋_GB2312" w:cs="仿宋_GB2312"/>
          <w:b/>
          <w:color w:val="000000"/>
          <w:sz w:val="30"/>
          <w:szCs w:val="30"/>
          <w:lang w:eastAsia="zh-CN"/>
        </w:rPr>
      </w:pPr>
    </w:p>
    <w:p w14:paraId="71DC5AC3">
      <w:pPr>
        <w:pStyle w:val="2"/>
        <w:rPr>
          <w:rFonts w:hint="eastAsia" w:ascii="仿宋_GB2312" w:hAnsi="仿宋_GB2312" w:eastAsia="仿宋_GB2312" w:cs="仿宋_GB2312"/>
          <w:b/>
          <w:color w:val="000000"/>
          <w:sz w:val="30"/>
          <w:szCs w:val="30"/>
          <w:lang w:eastAsia="zh-CN"/>
        </w:rPr>
      </w:pPr>
    </w:p>
    <w:p w14:paraId="69C3C78A">
      <w:pPr>
        <w:pStyle w:val="2"/>
        <w:rPr>
          <w:rFonts w:hint="eastAsia" w:ascii="仿宋_GB2312" w:hAnsi="仿宋_GB2312" w:eastAsia="仿宋_GB2312" w:cs="仿宋_GB2312"/>
          <w:b/>
          <w:color w:val="000000"/>
          <w:sz w:val="30"/>
          <w:szCs w:val="30"/>
          <w:lang w:eastAsia="zh-CN"/>
        </w:rPr>
      </w:pPr>
    </w:p>
    <w:p w14:paraId="061DAFC2">
      <w:pPr>
        <w:pStyle w:val="2"/>
        <w:rPr>
          <w:rFonts w:hint="eastAsia" w:ascii="仿宋_GB2312" w:hAnsi="仿宋_GB2312" w:eastAsia="仿宋_GB2312" w:cs="仿宋_GB2312"/>
          <w:b/>
          <w:color w:val="000000"/>
          <w:sz w:val="30"/>
          <w:szCs w:val="30"/>
          <w:lang w:eastAsia="zh-CN"/>
        </w:rPr>
      </w:pPr>
    </w:p>
    <w:p w14:paraId="7AB9399D">
      <w:pPr>
        <w:pStyle w:val="2"/>
        <w:rPr>
          <w:rFonts w:hint="eastAsia" w:ascii="仿宋_GB2312" w:hAnsi="仿宋_GB2312" w:eastAsia="仿宋_GB2312" w:cs="仿宋_GB2312"/>
          <w:b/>
          <w:color w:val="000000"/>
          <w:sz w:val="30"/>
          <w:szCs w:val="30"/>
          <w:lang w:eastAsia="zh-CN"/>
        </w:rPr>
      </w:pPr>
    </w:p>
    <w:p w14:paraId="4B4C51B6">
      <w:pPr>
        <w:pStyle w:val="2"/>
        <w:rPr>
          <w:rFonts w:hint="eastAsia" w:ascii="仿宋_GB2312" w:hAnsi="仿宋_GB2312" w:eastAsia="仿宋_GB2312" w:cs="仿宋_GB2312"/>
          <w:b/>
          <w:color w:val="000000"/>
          <w:sz w:val="30"/>
          <w:szCs w:val="30"/>
          <w:lang w:eastAsia="zh-CN"/>
        </w:rPr>
      </w:pPr>
    </w:p>
    <w:p w14:paraId="509B903B">
      <w:pPr>
        <w:pStyle w:val="2"/>
        <w:rPr>
          <w:rFonts w:hint="eastAsia" w:ascii="仿宋_GB2312" w:hAnsi="仿宋_GB2312" w:eastAsia="仿宋_GB2312" w:cs="仿宋_GB2312"/>
          <w:b/>
          <w:color w:val="000000"/>
          <w:sz w:val="30"/>
          <w:szCs w:val="30"/>
          <w:lang w:eastAsia="zh-CN"/>
        </w:rPr>
      </w:pPr>
    </w:p>
    <w:p w14:paraId="6AD8E66D">
      <w:pPr>
        <w:pStyle w:val="2"/>
        <w:rPr>
          <w:rFonts w:hint="eastAsia" w:ascii="仿宋_GB2312" w:hAnsi="仿宋_GB2312" w:eastAsia="仿宋_GB2312" w:cs="仿宋_GB2312"/>
          <w:b/>
          <w:color w:val="000000"/>
          <w:sz w:val="30"/>
          <w:szCs w:val="30"/>
          <w:lang w:eastAsia="zh-CN"/>
        </w:rPr>
      </w:pPr>
    </w:p>
    <w:p w14:paraId="70C6D5BA">
      <w:pPr>
        <w:pStyle w:val="2"/>
        <w:rPr>
          <w:rFonts w:hint="eastAsia" w:ascii="仿宋_GB2312" w:hAnsi="仿宋_GB2312" w:eastAsia="仿宋_GB2312" w:cs="仿宋_GB2312"/>
          <w:b/>
          <w:color w:val="000000"/>
          <w:sz w:val="30"/>
          <w:szCs w:val="30"/>
          <w:lang w:eastAsia="zh-CN"/>
        </w:rPr>
      </w:pPr>
    </w:p>
    <w:p w14:paraId="217EF479">
      <w:pPr>
        <w:pStyle w:val="2"/>
        <w:rPr>
          <w:rFonts w:hint="eastAsia" w:ascii="仿宋_GB2312" w:hAnsi="仿宋_GB2312" w:eastAsia="仿宋_GB2312" w:cs="仿宋_GB2312"/>
          <w:b/>
          <w:color w:val="000000"/>
          <w:sz w:val="30"/>
          <w:szCs w:val="30"/>
          <w:lang w:eastAsia="zh-CN"/>
        </w:rPr>
      </w:pPr>
    </w:p>
    <w:p w14:paraId="17A52947">
      <w:pPr>
        <w:pStyle w:val="2"/>
        <w:rPr>
          <w:rFonts w:hint="eastAsia" w:ascii="仿宋_GB2312" w:hAnsi="仿宋_GB2312" w:eastAsia="仿宋_GB2312" w:cs="仿宋_GB2312"/>
          <w:b/>
          <w:color w:val="000000"/>
          <w:sz w:val="30"/>
          <w:szCs w:val="30"/>
          <w:lang w:eastAsia="zh-CN"/>
        </w:rPr>
      </w:pPr>
    </w:p>
    <w:p w14:paraId="6F7091EE">
      <w:pPr>
        <w:pStyle w:val="2"/>
        <w:rPr>
          <w:rFonts w:hint="eastAsia"/>
          <w:lang w:eastAsia="zh-CN"/>
        </w:rPr>
      </w:pPr>
    </w:p>
    <w:p w14:paraId="34F2C0C2">
      <w:pPr>
        <w:spacing w:line="400" w:lineRule="exact"/>
        <w:rPr>
          <w:rFonts w:hint="eastAsia" w:ascii="仿宋_GB2312" w:hAnsi="仿宋_GB2312" w:eastAsia="仿宋_GB2312" w:cs="仿宋_GB2312"/>
          <w:sz w:val="30"/>
          <w:szCs w:val="30"/>
        </w:rPr>
      </w:pPr>
      <w:r>
        <w:rPr>
          <w:rFonts w:hint="eastAsia" w:ascii="仿宋_GB2312" w:hAnsi="仿宋_GB2312" w:eastAsia="仿宋_GB2312" w:cs="仿宋_GB2312"/>
          <w:b/>
          <w:color w:val="000000"/>
          <w:sz w:val="30"/>
          <w:szCs w:val="30"/>
          <w:lang w:eastAsia="zh-CN"/>
        </w:rPr>
        <w:t>附件：</w:t>
      </w:r>
    </w:p>
    <w:p w14:paraId="18C77C90">
      <w:pPr>
        <w:pStyle w:val="11"/>
        <w:keepNext w:val="0"/>
        <w:keepLines w:val="0"/>
        <w:pageBreakBefore w:val="0"/>
        <w:widowControl w:val="0"/>
        <w:kinsoku/>
        <w:wordWrap/>
        <w:overflowPunct/>
        <w:topLinePunct w:val="0"/>
        <w:autoSpaceDE w:val="0"/>
        <w:autoSpaceDN w:val="0"/>
        <w:bidi w:val="0"/>
        <w:adjustRightInd/>
        <w:snapToGrid w:val="0"/>
        <w:spacing w:after="0" w:line="500" w:lineRule="exact"/>
        <w:ind w:left="0" w:leftChars="0" w:right="0" w:firstLine="0" w:firstLineChars="0"/>
        <w:jc w:val="center"/>
        <w:textAlignment w:val="auto"/>
        <w:rPr>
          <w:rFonts w:hint="eastAsia" w:ascii="仿宋_GB2312" w:hAnsi="仿宋_GB2312" w:eastAsia="仿宋_GB2312" w:cs="仿宋_GB2312"/>
          <w:sz w:val="32"/>
          <w:szCs w:val="32"/>
        </w:rPr>
      </w:pPr>
    </w:p>
    <w:p w14:paraId="5CD62A75">
      <w:pPr>
        <w:pStyle w:val="11"/>
        <w:keepNext w:val="0"/>
        <w:keepLines w:val="0"/>
        <w:pageBreakBefore w:val="0"/>
        <w:widowControl w:val="0"/>
        <w:kinsoku/>
        <w:wordWrap/>
        <w:overflowPunct/>
        <w:topLinePunct w:val="0"/>
        <w:autoSpaceDE w:val="0"/>
        <w:autoSpaceDN w:val="0"/>
        <w:bidi w:val="0"/>
        <w:adjustRightInd/>
        <w:snapToGrid w:val="0"/>
        <w:spacing w:after="0" w:line="500" w:lineRule="exact"/>
        <w:ind w:left="0" w:leftChars="0" w:right="0" w:firstLine="0" w:firstLineChars="0"/>
        <w:jc w:val="center"/>
        <w:textAlignment w:val="auto"/>
        <w:rPr>
          <w:rFonts w:hint="eastAsia" w:ascii="仿宋_GB2312" w:hAnsi="仿宋_GB2312" w:eastAsia="仿宋_GB2312" w:cs="仿宋_GB2312"/>
          <w:sz w:val="32"/>
          <w:szCs w:val="32"/>
          <w:lang w:eastAsia="zh-CN"/>
        </w:rPr>
      </w:pPr>
      <w:r>
        <w:rPr>
          <w:rFonts w:hint="eastAsia" w:ascii="方正公文小标宋" w:hAnsi="方正公文小标宋" w:eastAsia="方正公文小标宋" w:cs="方正公文小标宋"/>
          <w:sz w:val="32"/>
          <w:szCs w:val="32"/>
        </w:rPr>
        <w:t>南宁市卫生学校</w:t>
      </w:r>
      <w:r>
        <w:rPr>
          <w:rFonts w:hint="eastAsia" w:ascii="方正公文小标宋" w:hAnsi="方正公文小标宋" w:eastAsia="方正公文小标宋" w:cs="方正公文小标宋"/>
          <w:sz w:val="32"/>
          <w:szCs w:val="32"/>
          <w:lang w:val="en-US" w:eastAsia="zh-CN"/>
        </w:rPr>
        <w:t>______预算项目设计及预算编制服务______</w:t>
      </w:r>
      <w:r>
        <w:rPr>
          <w:rFonts w:hint="eastAsia" w:ascii="方正公文小标宋" w:hAnsi="方正公文小标宋" w:eastAsia="方正公文小标宋" w:cs="方正公文小标宋"/>
          <w:sz w:val="32"/>
          <w:szCs w:val="32"/>
        </w:rPr>
        <w:t>项目</w:t>
      </w:r>
      <w:r>
        <w:rPr>
          <w:rFonts w:hint="eastAsia" w:ascii="方正公文小标宋" w:hAnsi="方正公文小标宋" w:eastAsia="方正公文小标宋" w:cs="方正公文小标宋"/>
          <w:sz w:val="32"/>
          <w:szCs w:val="32"/>
          <w:lang w:eastAsia="zh-CN"/>
        </w:rPr>
        <w:t>服务响应及报价方案</w:t>
      </w:r>
    </w:p>
    <w:p w14:paraId="5068477D">
      <w:pPr>
        <w:pStyle w:val="11"/>
        <w:keepNext w:val="0"/>
        <w:keepLines w:val="0"/>
        <w:pageBreakBefore w:val="0"/>
        <w:widowControl w:val="0"/>
        <w:kinsoku/>
        <w:wordWrap/>
        <w:overflowPunct/>
        <w:topLinePunct w:val="0"/>
        <w:autoSpaceDE w:val="0"/>
        <w:autoSpaceDN w:val="0"/>
        <w:bidi w:val="0"/>
        <w:adjustRightInd/>
        <w:snapToGrid w:val="0"/>
        <w:spacing w:after="0" w:line="500" w:lineRule="exact"/>
        <w:ind w:left="0" w:leftChars="0" w:right="0" w:firstLine="0" w:firstLineChars="0"/>
        <w:jc w:val="center"/>
        <w:textAlignment w:val="auto"/>
        <w:rPr>
          <w:rFonts w:hint="default" w:ascii="仿宋_GB2312" w:hAnsi="仿宋_GB2312" w:eastAsia="仿宋_GB2312" w:cs="仿宋_GB2312"/>
          <w:sz w:val="32"/>
          <w:szCs w:val="32"/>
          <w:lang w:val="en-US" w:eastAsia="zh-CN"/>
        </w:rPr>
      </w:pPr>
    </w:p>
    <w:tbl>
      <w:tblPr>
        <w:tblStyle w:val="13"/>
        <w:tblW w:w="96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1"/>
        <w:gridCol w:w="1641"/>
        <w:gridCol w:w="2245"/>
        <w:gridCol w:w="1449"/>
        <w:gridCol w:w="1605"/>
        <w:gridCol w:w="2077"/>
      </w:tblGrid>
      <w:tr w14:paraId="206CA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574" w:type="dxa"/>
            <w:vAlign w:val="center"/>
          </w:tcPr>
          <w:p w14:paraId="52A47B60">
            <w:pPr>
              <w:keepNext w:val="0"/>
              <w:keepLines w:val="0"/>
              <w:pageBreakBefore w:val="0"/>
              <w:kinsoku/>
              <w:wordWrap/>
              <w:overflowPunct/>
              <w:topLinePunct w:val="0"/>
              <w:bidi w:val="0"/>
              <w:adjustRightInd/>
              <w:spacing w:line="500" w:lineRule="exact"/>
              <w:jc w:val="center"/>
              <w:textAlignment w:val="auto"/>
              <w:rPr>
                <w:rFonts w:hint="eastAsia" w:ascii="方正仿宋_GB2312" w:hAnsi="方正仿宋_GB2312" w:eastAsia="方正仿宋_GB2312" w:cs="方正仿宋_GB2312"/>
                <w:b/>
                <w:bCs/>
                <w:color w:val="000000"/>
                <w:sz w:val="28"/>
                <w:szCs w:val="28"/>
              </w:rPr>
            </w:pPr>
            <w:r>
              <w:rPr>
                <w:rFonts w:hint="eastAsia" w:ascii="方正仿宋_GB2312" w:hAnsi="方正仿宋_GB2312" w:eastAsia="方正仿宋_GB2312" w:cs="方正仿宋_GB2312"/>
                <w:b/>
                <w:bCs/>
                <w:color w:val="000000"/>
                <w:sz w:val="28"/>
                <w:szCs w:val="28"/>
              </w:rPr>
              <w:t>序号</w:t>
            </w:r>
          </w:p>
        </w:tc>
        <w:tc>
          <w:tcPr>
            <w:tcW w:w="1517" w:type="dxa"/>
            <w:vAlign w:val="center"/>
          </w:tcPr>
          <w:p w14:paraId="54003EFB">
            <w:pPr>
              <w:keepNext w:val="0"/>
              <w:keepLines w:val="0"/>
              <w:pageBreakBefore w:val="0"/>
              <w:kinsoku/>
              <w:wordWrap/>
              <w:overflowPunct/>
              <w:topLinePunct w:val="0"/>
              <w:bidi w:val="0"/>
              <w:adjustRightInd/>
              <w:spacing w:line="500" w:lineRule="exact"/>
              <w:jc w:val="center"/>
              <w:textAlignment w:val="auto"/>
              <w:rPr>
                <w:rFonts w:hint="eastAsia" w:ascii="方正仿宋_GB2312" w:hAnsi="方正仿宋_GB2312" w:eastAsia="方正仿宋_GB2312" w:cs="方正仿宋_GB2312"/>
                <w:b/>
                <w:bCs/>
                <w:sz w:val="28"/>
                <w:szCs w:val="28"/>
                <w:lang w:eastAsia="zh-CN"/>
              </w:rPr>
            </w:pPr>
            <w:r>
              <w:rPr>
                <w:rFonts w:hint="eastAsia" w:ascii="方正仿宋_GB2312" w:hAnsi="方正仿宋_GB2312" w:eastAsia="方正仿宋_GB2312" w:cs="方正仿宋_GB2312"/>
                <w:b/>
                <w:bCs/>
                <w:sz w:val="28"/>
                <w:szCs w:val="28"/>
                <w:lang w:eastAsia="zh-CN"/>
              </w:rPr>
              <w:t>服务名称</w:t>
            </w:r>
          </w:p>
        </w:tc>
        <w:tc>
          <w:tcPr>
            <w:tcW w:w="2075" w:type="dxa"/>
            <w:vAlign w:val="center"/>
          </w:tcPr>
          <w:p w14:paraId="07621BE3">
            <w:pPr>
              <w:keepNext w:val="0"/>
              <w:keepLines w:val="0"/>
              <w:pageBreakBefore w:val="0"/>
              <w:kinsoku/>
              <w:wordWrap/>
              <w:overflowPunct/>
              <w:topLinePunct w:val="0"/>
              <w:bidi w:val="0"/>
              <w:adjustRightInd/>
              <w:spacing w:line="500" w:lineRule="exact"/>
              <w:jc w:val="center"/>
              <w:textAlignment w:val="auto"/>
              <w:rPr>
                <w:rFonts w:hint="eastAsia" w:ascii="方正仿宋_GB2312" w:hAnsi="方正仿宋_GB2312" w:eastAsia="方正仿宋_GB2312" w:cs="方正仿宋_GB2312"/>
                <w:b/>
                <w:bCs/>
                <w:color w:val="000000"/>
                <w:sz w:val="28"/>
                <w:szCs w:val="28"/>
                <w:lang w:eastAsia="zh-CN"/>
              </w:rPr>
            </w:pPr>
            <w:r>
              <w:rPr>
                <w:rFonts w:hint="eastAsia" w:ascii="方正仿宋_GB2312" w:hAnsi="方正仿宋_GB2312" w:eastAsia="方正仿宋_GB2312" w:cs="方正仿宋_GB2312"/>
                <w:b/>
                <w:bCs/>
                <w:color w:val="FF0000"/>
                <w:sz w:val="28"/>
                <w:szCs w:val="28"/>
                <w:lang w:val="en-US" w:eastAsia="zh-CN"/>
              </w:rPr>
              <w:t>服务响应</w:t>
            </w:r>
          </w:p>
        </w:tc>
        <w:tc>
          <w:tcPr>
            <w:tcW w:w="1340" w:type="dxa"/>
            <w:vAlign w:val="center"/>
          </w:tcPr>
          <w:p w14:paraId="00AE62C6">
            <w:pPr>
              <w:keepNext w:val="0"/>
              <w:keepLines w:val="0"/>
              <w:pageBreakBefore w:val="0"/>
              <w:kinsoku/>
              <w:wordWrap/>
              <w:overflowPunct/>
              <w:topLinePunct w:val="0"/>
              <w:bidi w:val="0"/>
              <w:adjustRightInd/>
              <w:spacing w:line="500" w:lineRule="exact"/>
              <w:jc w:val="center"/>
              <w:textAlignment w:val="auto"/>
              <w:rPr>
                <w:rFonts w:hint="eastAsia" w:ascii="方正仿宋_GB2312" w:hAnsi="方正仿宋_GB2312" w:eastAsia="方正仿宋_GB2312" w:cs="方正仿宋_GB2312"/>
                <w:b/>
                <w:bCs/>
                <w:color w:val="000000"/>
                <w:sz w:val="28"/>
                <w:szCs w:val="28"/>
                <w:lang w:eastAsia="zh-CN"/>
              </w:rPr>
            </w:pPr>
            <w:r>
              <w:rPr>
                <w:rFonts w:hint="eastAsia" w:ascii="方正仿宋_GB2312" w:hAnsi="方正仿宋_GB2312" w:eastAsia="方正仿宋_GB2312" w:cs="方正仿宋_GB2312"/>
                <w:b/>
                <w:bCs/>
                <w:color w:val="000000"/>
                <w:sz w:val="28"/>
                <w:szCs w:val="28"/>
                <w:lang w:eastAsia="zh-CN"/>
              </w:rPr>
              <w:t>单位</w:t>
            </w:r>
          </w:p>
        </w:tc>
        <w:tc>
          <w:tcPr>
            <w:tcW w:w="1484" w:type="dxa"/>
            <w:vAlign w:val="center"/>
          </w:tcPr>
          <w:p w14:paraId="2EF36EB0">
            <w:pPr>
              <w:keepNext w:val="0"/>
              <w:keepLines w:val="0"/>
              <w:pageBreakBefore w:val="0"/>
              <w:kinsoku/>
              <w:wordWrap/>
              <w:overflowPunct/>
              <w:topLinePunct w:val="0"/>
              <w:bidi w:val="0"/>
              <w:adjustRightInd/>
              <w:spacing w:line="500" w:lineRule="exact"/>
              <w:jc w:val="center"/>
              <w:textAlignment w:val="auto"/>
              <w:rPr>
                <w:rFonts w:hint="eastAsia" w:ascii="方正仿宋_GB2312" w:hAnsi="方正仿宋_GB2312" w:eastAsia="方正仿宋_GB2312" w:cs="方正仿宋_GB2312"/>
                <w:b/>
                <w:bCs/>
                <w:color w:val="000000"/>
                <w:sz w:val="28"/>
                <w:szCs w:val="28"/>
              </w:rPr>
            </w:pPr>
            <w:r>
              <w:rPr>
                <w:rFonts w:hint="eastAsia" w:ascii="方正仿宋_GB2312" w:hAnsi="方正仿宋_GB2312" w:eastAsia="方正仿宋_GB2312" w:cs="方正仿宋_GB2312"/>
                <w:b/>
                <w:bCs/>
                <w:color w:val="000000"/>
                <w:sz w:val="28"/>
                <w:szCs w:val="28"/>
              </w:rPr>
              <w:t>数量</w:t>
            </w:r>
          </w:p>
        </w:tc>
        <w:tc>
          <w:tcPr>
            <w:tcW w:w="1920" w:type="dxa"/>
            <w:vAlign w:val="center"/>
          </w:tcPr>
          <w:p w14:paraId="31711525">
            <w:pPr>
              <w:keepNext w:val="0"/>
              <w:keepLines w:val="0"/>
              <w:pageBreakBefore w:val="0"/>
              <w:kinsoku/>
              <w:wordWrap/>
              <w:overflowPunct/>
              <w:topLinePunct w:val="0"/>
              <w:bidi w:val="0"/>
              <w:adjustRightInd/>
              <w:spacing w:line="500" w:lineRule="exact"/>
              <w:jc w:val="center"/>
              <w:textAlignment w:val="auto"/>
              <w:rPr>
                <w:rFonts w:hint="eastAsia" w:ascii="方正仿宋_GB2312" w:hAnsi="方正仿宋_GB2312" w:eastAsia="方正仿宋_GB2312" w:cs="方正仿宋_GB2312"/>
                <w:b/>
                <w:bCs/>
                <w:color w:val="000000"/>
                <w:sz w:val="28"/>
                <w:szCs w:val="28"/>
                <w:lang w:eastAsia="zh-CN"/>
              </w:rPr>
            </w:pPr>
            <w:r>
              <w:rPr>
                <w:rFonts w:hint="eastAsia" w:ascii="方正仿宋_GB2312" w:hAnsi="方正仿宋_GB2312" w:eastAsia="方正仿宋_GB2312" w:cs="方正仿宋_GB2312"/>
                <w:b/>
                <w:bCs/>
                <w:color w:val="000000"/>
                <w:sz w:val="28"/>
                <w:szCs w:val="28"/>
                <w:lang w:eastAsia="zh-CN"/>
              </w:rPr>
              <w:t>单项报价</w:t>
            </w:r>
            <w:r>
              <w:rPr>
                <w:rFonts w:hint="eastAsia" w:ascii="方正仿宋_GB2312" w:hAnsi="方正仿宋_GB2312" w:eastAsia="方正仿宋_GB2312" w:cs="方正仿宋_GB2312"/>
                <w:b/>
                <w:bCs/>
                <w:color w:val="000000"/>
                <w:sz w:val="28"/>
                <w:szCs w:val="28"/>
              </w:rPr>
              <w:t>（元）</w:t>
            </w:r>
          </w:p>
        </w:tc>
      </w:tr>
      <w:tr w14:paraId="66084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574" w:type="dxa"/>
            <w:vAlign w:val="center"/>
          </w:tcPr>
          <w:p w14:paraId="5C82F59F">
            <w:pPr>
              <w:keepNext w:val="0"/>
              <w:keepLines w:val="0"/>
              <w:pageBreakBefore w:val="0"/>
              <w:kinsoku/>
              <w:wordWrap/>
              <w:overflowPunct/>
              <w:topLinePunct w:val="0"/>
              <w:bidi w:val="0"/>
              <w:adjustRightInd/>
              <w:snapToGrid w:val="0"/>
              <w:spacing w:line="500" w:lineRule="exact"/>
              <w:jc w:val="center"/>
              <w:textAlignment w:val="auto"/>
              <w:rPr>
                <w:rFonts w:hint="eastAsia" w:ascii="方正仿宋_GB2312" w:hAnsi="方正仿宋_GB2312" w:eastAsia="方正仿宋_GB2312" w:cs="方正仿宋_GB2312"/>
                <w:color w:val="000000"/>
                <w:sz w:val="28"/>
                <w:szCs w:val="28"/>
              </w:rPr>
            </w:pPr>
            <w:r>
              <w:rPr>
                <w:rFonts w:hint="eastAsia" w:ascii="方正仿宋_GB2312" w:hAnsi="方正仿宋_GB2312" w:eastAsia="方正仿宋_GB2312" w:cs="方正仿宋_GB2312"/>
                <w:color w:val="000000"/>
                <w:sz w:val="28"/>
                <w:szCs w:val="28"/>
              </w:rPr>
              <w:t>1</w:t>
            </w:r>
          </w:p>
        </w:tc>
        <w:tc>
          <w:tcPr>
            <w:tcW w:w="1517" w:type="dxa"/>
            <w:vAlign w:val="center"/>
          </w:tcPr>
          <w:p w14:paraId="04D4C1CC">
            <w:pPr>
              <w:keepNext w:val="0"/>
              <w:keepLines w:val="0"/>
              <w:pageBreakBefore w:val="0"/>
              <w:kinsoku/>
              <w:wordWrap/>
              <w:overflowPunct/>
              <w:topLinePunct w:val="0"/>
              <w:bidi w:val="0"/>
              <w:adjustRightInd/>
              <w:spacing w:line="500" w:lineRule="exact"/>
              <w:contextualSpacing/>
              <w:textAlignment w:val="auto"/>
              <w:rPr>
                <w:rFonts w:hint="eastAsia" w:ascii="方正仿宋_GB2312" w:hAnsi="方正仿宋_GB2312" w:eastAsia="方正仿宋_GB2312" w:cs="方正仿宋_GB2312"/>
                <w:sz w:val="28"/>
                <w:szCs w:val="28"/>
              </w:rPr>
            </w:pPr>
          </w:p>
        </w:tc>
        <w:tc>
          <w:tcPr>
            <w:tcW w:w="2075" w:type="dxa"/>
            <w:vAlign w:val="center"/>
          </w:tcPr>
          <w:p w14:paraId="34614D74">
            <w:pPr>
              <w:keepNext w:val="0"/>
              <w:keepLines w:val="0"/>
              <w:pageBreakBefore w:val="0"/>
              <w:kinsoku/>
              <w:wordWrap/>
              <w:overflowPunct/>
              <w:topLinePunct w:val="0"/>
              <w:bidi w:val="0"/>
              <w:adjustRightInd/>
              <w:spacing w:line="500" w:lineRule="exact"/>
              <w:contextualSpacing/>
              <w:textAlignment w:val="auto"/>
              <w:rPr>
                <w:rFonts w:hint="eastAsia" w:ascii="方正仿宋_GB2312" w:hAnsi="方正仿宋_GB2312" w:eastAsia="方正仿宋_GB2312" w:cs="方正仿宋_GB2312"/>
                <w:sz w:val="28"/>
                <w:szCs w:val="28"/>
              </w:rPr>
            </w:pPr>
          </w:p>
        </w:tc>
        <w:tc>
          <w:tcPr>
            <w:tcW w:w="1340" w:type="dxa"/>
            <w:vAlign w:val="center"/>
          </w:tcPr>
          <w:p w14:paraId="60114129">
            <w:pPr>
              <w:pStyle w:val="11"/>
              <w:keepNext w:val="0"/>
              <w:keepLines w:val="0"/>
              <w:pageBreakBefore w:val="0"/>
              <w:kinsoku/>
              <w:wordWrap/>
              <w:overflowPunct/>
              <w:topLinePunct w:val="0"/>
              <w:bidi w:val="0"/>
              <w:adjustRightInd/>
              <w:spacing w:after="0" w:line="500" w:lineRule="exact"/>
              <w:ind w:left="0" w:leftChars="0" w:firstLine="0" w:firstLineChars="0"/>
              <w:jc w:val="center"/>
              <w:textAlignment w:val="auto"/>
              <w:rPr>
                <w:rFonts w:hint="eastAsia" w:ascii="方正仿宋_GB2312" w:hAnsi="方正仿宋_GB2312" w:eastAsia="方正仿宋_GB2312" w:cs="方正仿宋_GB2312"/>
                <w:b/>
                <w:color w:val="000000"/>
                <w:kern w:val="0"/>
                <w:sz w:val="28"/>
                <w:szCs w:val="28"/>
                <w:shd w:val="clear" w:color="auto" w:fill="FFFFFF"/>
                <w:lang w:val="en-US" w:eastAsia="zh-CN" w:bidi="ar"/>
              </w:rPr>
            </w:pPr>
          </w:p>
        </w:tc>
        <w:tc>
          <w:tcPr>
            <w:tcW w:w="1484" w:type="dxa"/>
            <w:vAlign w:val="center"/>
          </w:tcPr>
          <w:p w14:paraId="37CAF949">
            <w:pPr>
              <w:pStyle w:val="11"/>
              <w:keepNext w:val="0"/>
              <w:keepLines w:val="0"/>
              <w:pageBreakBefore w:val="0"/>
              <w:kinsoku/>
              <w:wordWrap/>
              <w:overflowPunct/>
              <w:topLinePunct w:val="0"/>
              <w:bidi w:val="0"/>
              <w:adjustRightInd/>
              <w:spacing w:after="0" w:line="500" w:lineRule="exact"/>
              <w:ind w:left="0" w:leftChars="0" w:firstLine="0" w:firstLineChars="0"/>
              <w:jc w:val="center"/>
              <w:textAlignment w:val="auto"/>
              <w:rPr>
                <w:rFonts w:hint="eastAsia" w:ascii="方正仿宋_GB2312" w:hAnsi="方正仿宋_GB2312" w:eastAsia="方正仿宋_GB2312" w:cs="方正仿宋_GB2312"/>
                <w:b/>
                <w:color w:val="000000"/>
                <w:kern w:val="0"/>
                <w:sz w:val="28"/>
                <w:szCs w:val="28"/>
                <w:shd w:val="clear" w:color="auto" w:fill="FFFFFF"/>
                <w:lang w:val="en-US" w:eastAsia="zh-CN" w:bidi="ar"/>
              </w:rPr>
            </w:pPr>
          </w:p>
        </w:tc>
        <w:tc>
          <w:tcPr>
            <w:tcW w:w="1920" w:type="dxa"/>
            <w:vAlign w:val="center"/>
          </w:tcPr>
          <w:p w14:paraId="0240E856">
            <w:pPr>
              <w:pStyle w:val="11"/>
              <w:keepNext w:val="0"/>
              <w:keepLines w:val="0"/>
              <w:pageBreakBefore w:val="0"/>
              <w:kinsoku/>
              <w:wordWrap/>
              <w:overflowPunct/>
              <w:topLinePunct w:val="0"/>
              <w:bidi w:val="0"/>
              <w:adjustRightInd/>
              <w:spacing w:after="0" w:line="500" w:lineRule="exact"/>
              <w:ind w:firstLine="211"/>
              <w:textAlignment w:val="auto"/>
              <w:rPr>
                <w:rFonts w:hint="eastAsia" w:ascii="方正仿宋_GB2312" w:hAnsi="方正仿宋_GB2312" w:eastAsia="方正仿宋_GB2312" w:cs="方正仿宋_GB2312"/>
                <w:b/>
                <w:color w:val="000000"/>
                <w:kern w:val="0"/>
                <w:sz w:val="28"/>
                <w:szCs w:val="28"/>
                <w:shd w:val="clear" w:color="auto" w:fill="FFFFFF"/>
                <w:lang w:bidi="ar"/>
              </w:rPr>
            </w:pPr>
          </w:p>
        </w:tc>
      </w:tr>
      <w:tr w14:paraId="3DB7A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574" w:type="dxa"/>
            <w:vAlign w:val="center"/>
          </w:tcPr>
          <w:p w14:paraId="65539550">
            <w:pPr>
              <w:keepNext w:val="0"/>
              <w:keepLines w:val="0"/>
              <w:pageBreakBefore w:val="0"/>
              <w:kinsoku/>
              <w:wordWrap/>
              <w:overflowPunct/>
              <w:topLinePunct w:val="0"/>
              <w:bidi w:val="0"/>
              <w:adjustRightInd/>
              <w:snapToGrid w:val="0"/>
              <w:spacing w:line="500" w:lineRule="exact"/>
              <w:jc w:val="center"/>
              <w:textAlignment w:val="auto"/>
              <w:rPr>
                <w:rFonts w:hint="eastAsia" w:ascii="方正仿宋_GB2312" w:hAnsi="方正仿宋_GB2312" w:eastAsia="方正仿宋_GB2312" w:cs="方正仿宋_GB2312"/>
                <w:color w:val="000000"/>
                <w:sz w:val="28"/>
                <w:szCs w:val="28"/>
                <w:lang w:val="en-US" w:eastAsia="zh-CN"/>
              </w:rPr>
            </w:pPr>
            <w:r>
              <w:rPr>
                <w:rFonts w:hint="eastAsia" w:ascii="方正仿宋_GB2312" w:hAnsi="方正仿宋_GB2312" w:eastAsia="方正仿宋_GB2312" w:cs="方正仿宋_GB2312"/>
                <w:color w:val="000000"/>
                <w:sz w:val="28"/>
                <w:szCs w:val="28"/>
                <w:lang w:val="en-US" w:eastAsia="zh-CN"/>
              </w:rPr>
              <w:t>2</w:t>
            </w:r>
          </w:p>
        </w:tc>
        <w:tc>
          <w:tcPr>
            <w:tcW w:w="1517" w:type="dxa"/>
            <w:vAlign w:val="center"/>
          </w:tcPr>
          <w:p w14:paraId="665C88F3">
            <w:pPr>
              <w:keepNext w:val="0"/>
              <w:keepLines w:val="0"/>
              <w:pageBreakBefore w:val="0"/>
              <w:kinsoku/>
              <w:wordWrap/>
              <w:overflowPunct/>
              <w:topLinePunct w:val="0"/>
              <w:bidi w:val="0"/>
              <w:adjustRightInd/>
              <w:spacing w:line="500" w:lineRule="exact"/>
              <w:contextualSpacing/>
              <w:textAlignment w:val="auto"/>
              <w:rPr>
                <w:rFonts w:hint="eastAsia" w:ascii="方正仿宋_GB2312" w:hAnsi="方正仿宋_GB2312" w:eastAsia="方正仿宋_GB2312" w:cs="方正仿宋_GB2312"/>
                <w:sz w:val="28"/>
                <w:szCs w:val="28"/>
              </w:rPr>
            </w:pPr>
          </w:p>
        </w:tc>
        <w:tc>
          <w:tcPr>
            <w:tcW w:w="2075" w:type="dxa"/>
            <w:vAlign w:val="center"/>
          </w:tcPr>
          <w:p w14:paraId="0897143C">
            <w:pPr>
              <w:keepNext w:val="0"/>
              <w:keepLines w:val="0"/>
              <w:pageBreakBefore w:val="0"/>
              <w:kinsoku/>
              <w:wordWrap/>
              <w:overflowPunct/>
              <w:topLinePunct w:val="0"/>
              <w:bidi w:val="0"/>
              <w:adjustRightInd/>
              <w:spacing w:line="500" w:lineRule="exact"/>
              <w:contextualSpacing/>
              <w:textAlignment w:val="auto"/>
              <w:rPr>
                <w:rFonts w:hint="eastAsia" w:ascii="方正仿宋_GB2312" w:hAnsi="方正仿宋_GB2312" w:eastAsia="方正仿宋_GB2312" w:cs="方正仿宋_GB2312"/>
                <w:sz w:val="28"/>
                <w:szCs w:val="28"/>
              </w:rPr>
            </w:pPr>
          </w:p>
        </w:tc>
        <w:tc>
          <w:tcPr>
            <w:tcW w:w="1340" w:type="dxa"/>
            <w:vAlign w:val="center"/>
          </w:tcPr>
          <w:p w14:paraId="7BC577F4">
            <w:pPr>
              <w:pStyle w:val="11"/>
              <w:keepNext w:val="0"/>
              <w:keepLines w:val="0"/>
              <w:pageBreakBefore w:val="0"/>
              <w:kinsoku/>
              <w:wordWrap/>
              <w:overflowPunct/>
              <w:topLinePunct w:val="0"/>
              <w:bidi w:val="0"/>
              <w:adjustRightInd/>
              <w:spacing w:after="0" w:line="500" w:lineRule="exact"/>
              <w:ind w:left="0" w:leftChars="0" w:firstLine="0" w:firstLineChars="0"/>
              <w:jc w:val="center"/>
              <w:textAlignment w:val="auto"/>
              <w:rPr>
                <w:rFonts w:hint="eastAsia" w:ascii="方正仿宋_GB2312" w:hAnsi="方正仿宋_GB2312" w:eastAsia="方正仿宋_GB2312" w:cs="方正仿宋_GB2312"/>
                <w:b/>
                <w:color w:val="000000"/>
                <w:kern w:val="0"/>
                <w:sz w:val="28"/>
                <w:szCs w:val="28"/>
                <w:shd w:val="clear" w:color="auto" w:fill="FFFFFF"/>
                <w:lang w:val="en-US" w:eastAsia="zh-CN" w:bidi="ar"/>
              </w:rPr>
            </w:pPr>
          </w:p>
        </w:tc>
        <w:tc>
          <w:tcPr>
            <w:tcW w:w="1484" w:type="dxa"/>
            <w:vAlign w:val="center"/>
          </w:tcPr>
          <w:p w14:paraId="5A721F1E">
            <w:pPr>
              <w:pStyle w:val="11"/>
              <w:keepNext w:val="0"/>
              <w:keepLines w:val="0"/>
              <w:pageBreakBefore w:val="0"/>
              <w:kinsoku/>
              <w:wordWrap/>
              <w:overflowPunct/>
              <w:topLinePunct w:val="0"/>
              <w:bidi w:val="0"/>
              <w:adjustRightInd/>
              <w:spacing w:after="0" w:line="500" w:lineRule="exact"/>
              <w:ind w:left="0" w:leftChars="0" w:firstLine="0" w:firstLineChars="0"/>
              <w:jc w:val="center"/>
              <w:textAlignment w:val="auto"/>
              <w:rPr>
                <w:rFonts w:hint="eastAsia" w:ascii="方正仿宋_GB2312" w:hAnsi="方正仿宋_GB2312" w:eastAsia="方正仿宋_GB2312" w:cs="方正仿宋_GB2312"/>
                <w:b/>
                <w:color w:val="000000"/>
                <w:kern w:val="0"/>
                <w:sz w:val="28"/>
                <w:szCs w:val="28"/>
                <w:shd w:val="clear" w:color="auto" w:fill="FFFFFF"/>
                <w:lang w:val="en-US" w:eastAsia="zh-CN" w:bidi="ar"/>
              </w:rPr>
            </w:pPr>
          </w:p>
        </w:tc>
        <w:tc>
          <w:tcPr>
            <w:tcW w:w="1920" w:type="dxa"/>
            <w:vAlign w:val="center"/>
          </w:tcPr>
          <w:p w14:paraId="152886EC">
            <w:pPr>
              <w:pStyle w:val="11"/>
              <w:keepNext w:val="0"/>
              <w:keepLines w:val="0"/>
              <w:pageBreakBefore w:val="0"/>
              <w:kinsoku/>
              <w:wordWrap/>
              <w:overflowPunct/>
              <w:topLinePunct w:val="0"/>
              <w:bidi w:val="0"/>
              <w:adjustRightInd/>
              <w:spacing w:after="0" w:line="500" w:lineRule="exact"/>
              <w:ind w:firstLine="211"/>
              <w:textAlignment w:val="auto"/>
              <w:rPr>
                <w:rFonts w:hint="eastAsia" w:ascii="方正仿宋_GB2312" w:hAnsi="方正仿宋_GB2312" w:eastAsia="方正仿宋_GB2312" w:cs="方正仿宋_GB2312"/>
                <w:b/>
                <w:color w:val="000000"/>
                <w:kern w:val="0"/>
                <w:sz w:val="28"/>
                <w:szCs w:val="28"/>
                <w:shd w:val="clear" w:color="auto" w:fill="FFFFFF"/>
                <w:lang w:bidi="ar"/>
              </w:rPr>
            </w:pPr>
          </w:p>
        </w:tc>
      </w:tr>
      <w:tr w14:paraId="44785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8910" w:type="dxa"/>
            <w:gridSpan w:val="6"/>
            <w:vAlign w:val="center"/>
          </w:tcPr>
          <w:p w14:paraId="1796E6E6">
            <w:pPr>
              <w:keepNext w:val="0"/>
              <w:keepLines w:val="0"/>
              <w:pageBreakBefore w:val="0"/>
              <w:widowControl/>
              <w:kinsoku/>
              <w:wordWrap/>
              <w:overflowPunct/>
              <w:topLinePunct w:val="0"/>
              <w:bidi w:val="0"/>
              <w:adjustRightInd/>
              <w:spacing w:line="500" w:lineRule="exact"/>
              <w:jc w:val="center"/>
              <w:textAlignment w:val="auto"/>
              <w:rPr>
                <w:rStyle w:val="15"/>
                <w:rFonts w:hint="eastAsia" w:ascii="方正仿宋_GB2312" w:hAnsi="方正仿宋_GB2312" w:eastAsia="方正仿宋_GB2312" w:cs="方正仿宋_GB2312"/>
                <w:color w:val="000000"/>
                <w:sz w:val="28"/>
                <w:szCs w:val="28"/>
              </w:rPr>
            </w:pPr>
            <w:r>
              <w:rPr>
                <w:rStyle w:val="15"/>
                <w:rFonts w:hint="eastAsia" w:ascii="方正仿宋_GB2312" w:hAnsi="方正仿宋_GB2312" w:eastAsia="方正仿宋_GB2312" w:cs="方正仿宋_GB2312"/>
                <w:color w:val="000000"/>
                <w:sz w:val="28"/>
                <w:szCs w:val="28"/>
              </w:rPr>
              <w:t>合计金额：大写：                             （小写：¥           元）</w:t>
            </w:r>
          </w:p>
        </w:tc>
      </w:tr>
      <w:tr w14:paraId="48F9F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910" w:type="dxa"/>
            <w:gridSpan w:val="6"/>
            <w:vAlign w:val="center"/>
          </w:tcPr>
          <w:p w14:paraId="52432F9B">
            <w:pPr>
              <w:pStyle w:val="12"/>
              <w:keepNext w:val="0"/>
              <w:keepLines w:val="0"/>
              <w:pageBreakBefore w:val="0"/>
              <w:kinsoku/>
              <w:wordWrap/>
              <w:overflowPunct/>
              <w:topLinePunct w:val="0"/>
              <w:bidi w:val="0"/>
              <w:adjustRightInd/>
              <w:spacing w:line="500" w:lineRule="exact"/>
              <w:ind w:firstLine="0" w:firstLineChars="0"/>
              <w:jc w:val="center"/>
              <w:textAlignment w:val="auto"/>
              <w:rPr>
                <w:rFonts w:hint="eastAsia" w:ascii="方正仿宋_GB2312" w:hAnsi="方正仿宋_GB2312" w:eastAsia="方正仿宋_GB2312" w:cs="方正仿宋_GB2312"/>
                <w:color w:val="000000"/>
                <w:sz w:val="28"/>
                <w:szCs w:val="28"/>
                <w:lang w:eastAsia="zh-CN"/>
              </w:rPr>
            </w:pPr>
            <w:r>
              <w:rPr>
                <w:rFonts w:hint="eastAsia" w:ascii="方正仿宋_GB2312" w:hAnsi="方正仿宋_GB2312" w:eastAsia="方正仿宋_GB2312" w:cs="方正仿宋_GB2312"/>
                <w:b/>
                <w:bCs/>
                <w:color w:val="000000"/>
                <w:sz w:val="28"/>
                <w:szCs w:val="28"/>
                <w:lang w:eastAsia="zh-CN"/>
              </w:rPr>
              <w:t>商务条款</w:t>
            </w:r>
          </w:p>
        </w:tc>
      </w:tr>
      <w:tr w14:paraId="3A945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2" w:hRule="atLeast"/>
          <w:jc w:val="center"/>
        </w:trPr>
        <w:tc>
          <w:tcPr>
            <w:tcW w:w="8910" w:type="dxa"/>
            <w:gridSpan w:val="6"/>
            <w:vAlign w:val="center"/>
          </w:tcPr>
          <w:p w14:paraId="62B28D3E">
            <w:pPr>
              <w:pStyle w:val="12"/>
              <w:keepNext w:val="0"/>
              <w:keepLines w:val="0"/>
              <w:pageBreakBefore w:val="0"/>
              <w:kinsoku/>
              <w:wordWrap/>
              <w:overflowPunct/>
              <w:topLinePunct w:val="0"/>
              <w:bidi w:val="0"/>
              <w:adjustRightInd/>
              <w:spacing w:line="500" w:lineRule="exact"/>
              <w:ind w:firstLine="0" w:firstLineChars="0"/>
              <w:textAlignment w:val="auto"/>
              <w:rPr>
                <w:rFonts w:hint="eastAsia" w:ascii="方正仿宋_GB2312" w:hAnsi="方正仿宋_GB2312" w:eastAsia="方正仿宋_GB2312" w:cs="方正仿宋_GB2312"/>
                <w:color w:val="000000"/>
                <w:sz w:val="28"/>
                <w:szCs w:val="28"/>
              </w:rPr>
            </w:pPr>
          </w:p>
        </w:tc>
      </w:tr>
    </w:tbl>
    <w:p w14:paraId="077A1DF1">
      <w:pPr>
        <w:snapToGrid w:val="0"/>
        <w:spacing w:line="300" w:lineRule="auto"/>
        <w:rPr>
          <w:rFonts w:hint="eastAsia" w:ascii="宋体" w:hAnsi="宋体"/>
          <w:color w:val="000000"/>
          <w:sz w:val="24"/>
          <w:szCs w:val="24"/>
        </w:rPr>
      </w:pPr>
    </w:p>
    <w:p w14:paraId="0752E28F">
      <w:pPr>
        <w:snapToGrid w:val="0"/>
        <w:spacing w:line="30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说明</w:t>
      </w: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rPr>
        <w:t>所有价格均用人民币表示，单位为元，精确到个位数。</w:t>
      </w:r>
    </w:p>
    <w:p w14:paraId="63E7ACE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sz w:val="30"/>
          <w:szCs w:val="30"/>
        </w:rPr>
      </w:pPr>
    </w:p>
    <w:sectPr>
      <w:footerReference r:id="rId3" w:type="default"/>
      <w:pgSz w:w="11906" w:h="16838"/>
      <w:pgMar w:top="1134" w:right="1134" w:bottom="1134" w:left="113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仿宋_GBK">
    <w:panose1 w:val="02000000000000000000"/>
    <w:charset w:val="86"/>
    <w:family w:val="script"/>
    <w:pitch w:val="default"/>
    <w:sig w:usb0="A00002BF" w:usb1="38CF7CFA" w:usb2="00082016" w:usb3="00000000" w:csb0="00040001" w:csb1="00000000"/>
  </w:font>
  <w:font w:name="方正公文小标宋">
    <w:panose1 w:val="02000500000000000000"/>
    <w:charset w:val="86"/>
    <w:family w:val="auto"/>
    <w:pitch w:val="default"/>
    <w:sig w:usb0="A00002BF" w:usb1="38CF7CFA" w:usb2="00000016" w:usb3="00000000" w:csb0="00040001" w:csb1="00000000"/>
    <w:embedRegular r:id="rId1" w:fontKey="{16FF7EEB-DE1A-4BA1-AC0B-F3BE0DE2EE50}"/>
  </w:font>
  <w:font w:name="仿宋">
    <w:panose1 w:val="02010609060101010101"/>
    <w:charset w:val="86"/>
    <w:family w:val="auto"/>
    <w:pitch w:val="default"/>
    <w:sig w:usb0="800002BF" w:usb1="38CF7CFA" w:usb2="00000016" w:usb3="00000000" w:csb0="00040001" w:csb1="00000000"/>
    <w:embedRegular r:id="rId2" w:fontKey="{5A81D7C3-7405-42DD-9117-7A4A6EF5D338}"/>
  </w:font>
  <w:font w:name="仿宋_GB2312">
    <w:altName w:val="仿宋"/>
    <w:panose1 w:val="02010609030101010101"/>
    <w:charset w:val="86"/>
    <w:family w:val="modern"/>
    <w:pitch w:val="default"/>
    <w:sig w:usb0="00000000" w:usb1="00000000" w:usb2="00000000" w:usb3="00000000" w:csb0="00040000" w:csb1="00000000"/>
    <w:embedRegular r:id="rId3" w:fontKey="{8C5904D2-6D9D-44C5-8AE4-2FADE55B5513}"/>
  </w:font>
  <w:font w:name="方正仿宋_GB2312">
    <w:panose1 w:val="02000000000000000000"/>
    <w:charset w:val="86"/>
    <w:family w:val="auto"/>
    <w:pitch w:val="default"/>
    <w:sig w:usb0="A00002BF" w:usb1="184F6CFA" w:usb2="00000012" w:usb3="00000000" w:csb0="00040001" w:csb1="00000000"/>
    <w:embedRegular r:id="rId4" w:fontKey="{101C5963-533E-4419-A0DB-DB08ADD2873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06BE6C">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B336A0">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8B336A0">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695859"/>
    <w:rsid w:val="004901D4"/>
    <w:rsid w:val="010B5723"/>
    <w:rsid w:val="01C21C4F"/>
    <w:rsid w:val="01D929A8"/>
    <w:rsid w:val="03D45919"/>
    <w:rsid w:val="081B3BDB"/>
    <w:rsid w:val="0C126BE9"/>
    <w:rsid w:val="0CC32CB5"/>
    <w:rsid w:val="0D8B5CA5"/>
    <w:rsid w:val="10323EE1"/>
    <w:rsid w:val="103C0085"/>
    <w:rsid w:val="140B5688"/>
    <w:rsid w:val="149C463D"/>
    <w:rsid w:val="171034DF"/>
    <w:rsid w:val="195C2E49"/>
    <w:rsid w:val="1A6836E2"/>
    <w:rsid w:val="1E1C7B69"/>
    <w:rsid w:val="1E1E766F"/>
    <w:rsid w:val="1F303A5C"/>
    <w:rsid w:val="23FA46DC"/>
    <w:rsid w:val="24C271F2"/>
    <w:rsid w:val="26B62374"/>
    <w:rsid w:val="28E30FAF"/>
    <w:rsid w:val="2B702BE4"/>
    <w:rsid w:val="3078676B"/>
    <w:rsid w:val="35C4662E"/>
    <w:rsid w:val="375FAEE1"/>
    <w:rsid w:val="3786210B"/>
    <w:rsid w:val="380E11B5"/>
    <w:rsid w:val="3BFB1E09"/>
    <w:rsid w:val="3C3B116F"/>
    <w:rsid w:val="3D3D3216"/>
    <w:rsid w:val="3D684A0B"/>
    <w:rsid w:val="3D9C247F"/>
    <w:rsid w:val="42E6744A"/>
    <w:rsid w:val="43A37B4B"/>
    <w:rsid w:val="454A5318"/>
    <w:rsid w:val="459B1AAA"/>
    <w:rsid w:val="46132D66"/>
    <w:rsid w:val="50B82DD6"/>
    <w:rsid w:val="53553BA5"/>
    <w:rsid w:val="548C158B"/>
    <w:rsid w:val="54F473FF"/>
    <w:rsid w:val="56954E4F"/>
    <w:rsid w:val="57975564"/>
    <w:rsid w:val="5A235F34"/>
    <w:rsid w:val="5A556D96"/>
    <w:rsid w:val="5ABD7CE2"/>
    <w:rsid w:val="5C5F7B9D"/>
    <w:rsid w:val="5C7D4F86"/>
    <w:rsid w:val="60F5227A"/>
    <w:rsid w:val="621320E0"/>
    <w:rsid w:val="62695859"/>
    <w:rsid w:val="640D49E3"/>
    <w:rsid w:val="653930C7"/>
    <w:rsid w:val="66862101"/>
    <w:rsid w:val="66FD0664"/>
    <w:rsid w:val="67C20952"/>
    <w:rsid w:val="683F0A35"/>
    <w:rsid w:val="69B72B89"/>
    <w:rsid w:val="69DB27B6"/>
    <w:rsid w:val="6ABF3227"/>
    <w:rsid w:val="6CC835E5"/>
    <w:rsid w:val="702F4391"/>
    <w:rsid w:val="74FF23ED"/>
    <w:rsid w:val="7A432BAD"/>
    <w:rsid w:val="7C5C2629"/>
    <w:rsid w:val="7D9871FF"/>
    <w:rsid w:val="7ECE06A9"/>
    <w:rsid w:val="7EDD25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3">
    <w:name w:val="annotation text"/>
    <w:basedOn w:val="1"/>
    <w:qFormat/>
    <w:uiPriority w:val="0"/>
    <w:pPr>
      <w:jc w:val="left"/>
    </w:pPr>
  </w:style>
  <w:style w:type="paragraph" w:styleId="4">
    <w:name w:val="Body Text"/>
    <w:basedOn w:val="1"/>
    <w:next w:val="5"/>
    <w:qFormat/>
    <w:uiPriority w:val="0"/>
    <w:pPr>
      <w:autoSpaceDE w:val="0"/>
      <w:autoSpaceDN w:val="0"/>
      <w:spacing w:after="120"/>
      <w:jc w:val="left"/>
    </w:pPr>
    <w:rPr>
      <w:rFonts w:ascii="宋体"/>
      <w:kern w:val="0"/>
      <w:sz w:val="34"/>
      <w:szCs w:val="20"/>
    </w:rPr>
  </w:style>
  <w:style w:type="paragraph" w:styleId="5">
    <w:name w:val="Plain Text"/>
    <w:basedOn w:val="1"/>
    <w:qFormat/>
    <w:uiPriority w:val="0"/>
    <w:rPr>
      <w:rFonts w:ascii="宋体" w:hAnsi="Courier New"/>
      <w:szCs w:val="20"/>
    </w:rPr>
  </w:style>
  <w:style w:type="paragraph" w:styleId="6">
    <w:name w:val="Body Text Indent"/>
    <w:basedOn w:val="1"/>
    <w:next w:val="7"/>
    <w:qFormat/>
    <w:uiPriority w:val="0"/>
    <w:pPr>
      <w:spacing w:line="200" w:lineRule="exact"/>
      <w:ind w:firstLine="301"/>
    </w:pPr>
    <w:rPr>
      <w:rFonts w:ascii="宋体" w:hAnsi="Courier New"/>
      <w:spacing w:val="-4"/>
      <w:sz w:val="18"/>
      <w:szCs w:val="20"/>
    </w:rPr>
  </w:style>
  <w:style w:type="paragraph" w:styleId="7">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1">
    <w:name w:val="Body Text First Indent"/>
    <w:basedOn w:val="4"/>
    <w:qFormat/>
    <w:uiPriority w:val="0"/>
    <w:pPr>
      <w:snapToGrid w:val="0"/>
      <w:spacing w:line="360" w:lineRule="auto"/>
      <w:ind w:right="240" w:firstLine="420" w:firstLineChars="100"/>
    </w:pPr>
    <w:rPr>
      <w:rFonts w:hAnsi="宋体" w:eastAsia="方正仿宋_GBK"/>
      <w:kern w:val="2"/>
      <w:sz w:val="21"/>
      <w:szCs w:val="28"/>
    </w:rPr>
  </w:style>
  <w:style w:type="paragraph" w:styleId="12">
    <w:name w:val="Body Text First Indent 2"/>
    <w:basedOn w:val="6"/>
    <w:next w:val="11"/>
    <w:qFormat/>
    <w:uiPriority w:val="0"/>
    <w:pPr>
      <w:ind w:firstLine="420" w:firstLineChars="200"/>
    </w:pPr>
  </w:style>
  <w:style w:type="character" w:customStyle="1" w:styleId="15">
    <w:name w:val="NormalCharacter"/>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1559</Words>
  <Characters>1709</Characters>
  <Lines>0</Lines>
  <Paragraphs>0</Paragraphs>
  <TotalTime>1</TotalTime>
  <ScaleCrop>false</ScaleCrop>
  <LinksUpToDate>false</LinksUpToDate>
  <CharactersWithSpaces>1816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2026-01-27T15:09:00Z</dcterms:created>
  <dc:creator>shimmer</dc:creator>
  <cp:lastModifiedBy>祖国的花朵</cp:lastModifiedBy>
  <dcterms:modified xsi:type="dcterms:W3CDTF">2026-06-04T07:51:05Z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C5AE487AD9FA4D4A932FDE9C8967549C_13</vt:lpwstr>
  </property>
  <property fmtid="{D5CDD505-2E9C-101B-9397-08002B2CF9AE}" pid="4" name="KSOTemplateDocerSaveRecord">
    <vt:lpwstr>eyJoZGlkIjoiNTgxMmYwZTM3NTQzOTgzZGIyZjQ3OTlkMWQxYmE4MjIiLCJ1c2VySWQiOiIzODk2NjEyOTUifQ==</vt:lpwstr>
  </property>
</Properties>
</file>