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C4B22D">
      <w:pPr>
        <w:spacing w:line="400" w:lineRule="exact"/>
        <w:rPr>
          <w:rFonts w:hint="eastAsia" w:ascii="仿宋_GB2312" w:hAnsi="仿宋_GB2312" w:eastAsia="仿宋_GB2312" w:cs="仿宋_GB2312"/>
          <w:sz w:val="30"/>
          <w:szCs w:val="30"/>
        </w:rPr>
      </w:pPr>
      <w:r>
        <w:rPr>
          <w:rFonts w:hint="eastAsia" w:ascii="仿宋_GB2312" w:hAnsi="仿宋_GB2312" w:eastAsia="仿宋_GB2312" w:cs="仿宋_GB2312"/>
          <w:b/>
          <w:color w:val="000000"/>
          <w:sz w:val="30"/>
          <w:szCs w:val="30"/>
        </w:rPr>
        <w:t>附件2：</w:t>
      </w:r>
    </w:p>
    <w:p w14:paraId="32F4F3DA">
      <w:pPr>
        <w:pStyle w:val="12"/>
        <w:spacing w:after="0" w:line="500" w:lineRule="exact"/>
        <w:ind w:right="0" w:firstLine="0" w:firstLineChars="0"/>
        <w:jc w:val="center"/>
        <w:rPr>
          <w:rFonts w:ascii="方正公文小标宋" w:hAnsi="方正公文小标宋" w:eastAsia="方正公文小标宋" w:cs="方正公文小标宋"/>
          <w:sz w:val="32"/>
          <w:szCs w:val="32"/>
        </w:rPr>
      </w:pPr>
      <w:bookmarkStart w:id="0" w:name="_GoBack"/>
      <w:r>
        <w:rPr>
          <w:rFonts w:hint="eastAsia" w:ascii="方正公文小标宋" w:hAnsi="方正公文小标宋" w:eastAsia="方正公文小标宋" w:cs="方正公文小标宋"/>
          <w:sz w:val="32"/>
          <w:szCs w:val="32"/>
        </w:rPr>
        <w:t>采购项目需求一览表</w:t>
      </w:r>
    </w:p>
    <w:bookmarkEnd w:id="0"/>
    <w:p w14:paraId="1C08A0A8">
      <w:pPr>
        <w:pStyle w:val="12"/>
        <w:spacing w:after="0" w:line="500" w:lineRule="exact"/>
        <w:ind w:right="0" w:firstLine="0" w:firstLineChars="0"/>
        <w:jc w:val="center"/>
        <w:rPr>
          <w:rFonts w:hint="eastAsia" w:ascii="方正公文小标宋" w:hAnsi="方正公文小标宋" w:eastAsia="方正公文小标宋" w:cs="方正公文小标宋"/>
          <w:sz w:val="32"/>
          <w:szCs w:val="32"/>
        </w:rPr>
      </w:pPr>
    </w:p>
    <w:tbl>
      <w:tblPr>
        <w:tblStyle w:val="13"/>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1"/>
        <w:gridCol w:w="1641"/>
        <w:gridCol w:w="2978"/>
        <w:gridCol w:w="716"/>
        <w:gridCol w:w="1605"/>
        <w:gridCol w:w="2077"/>
      </w:tblGrid>
      <w:tr w14:paraId="22D2C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621" w:type="dxa"/>
            <w:vAlign w:val="center"/>
          </w:tcPr>
          <w:p w14:paraId="7BFBC5B2">
            <w:pPr>
              <w:spacing w:line="500" w:lineRule="exact"/>
              <w:jc w:val="center"/>
              <w:rPr>
                <w:rFonts w:ascii="方正仿宋_GB2312" w:hAnsi="方正仿宋_GB2312" w:eastAsia="方正仿宋_GB2312" w:cs="方正仿宋_GB2312"/>
                <w:b/>
                <w:bCs/>
                <w:color w:val="000000"/>
                <w:sz w:val="28"/>
                <w:szCs w:val="28"/>
                <w:highlight w:val="none"/>
              </w:rPr>
            </w:pPr>
            <w:r>
              <w:rPr>
                <w:rFonts w:hint="eastAsia" w:ascii="方正仿宋_GB2312" w:hAnsi="方正仿宋_GB2312" w:eastAsia="方正仿宋_GB2312" w:cs="方正仿宋_GB2312"/>
                <w:b/>
                <w:bCs/>
                <w:color w:val="000000"/>
                <w:sz w:val="28"/>
                <w:szCs w:val="28"/>
                <w:highlight w:val="none"/>
              </w:rPr>
              <w:t>序号</w:t>
            </w:r>
          </w:p>
        </w:tc>
        <w:tc>
          <w:tcPr>
            <w:tcW w:w="1641" w:type="dxa"/>
            <w:vAlign w:val="center"/>
          </w:tcPr>
          <w:p w14:paraId="53360E91">
            <w:pPr>
              <w:spacing w:line="500" w:lineRule="exact"/>
              <w:jc w:val="center"/>
              <w:rPr>
                <w:rFonts w:ascii="方正仿宋_GB2312" w:hAnsi="方正仿宋_GB2312" w:eastAsia="方正仿宋_GB2312" w:cs="方正仿宋_GB2312"/>
                <w:b/>
                <w:bCs/>
                <w:sz w:val="28"/>
                <w:szCs w:val="28"/>
                <w:highlight w:val="none"/>
              </w:rPr>
            </w:pPr>
            <w:r>
              <w:rPr>
                <w:rFonts w:hint="eastAsia" w:ascii="方正仿宋_GB2312" w:hAnsi="方正仿宋_GB2312" w:eastAsia="方正仿宋_GB2312" w:cs="方正仿宋_GB2312"/>
                <w:b/>
                <w:bCs/>
                <w:sz w:val="28"/>
                <w:szCs w:val="28"/>
                <w:highlight w:val="none"/>
              </w:rPr>
              <w:t>服务名称</w:t>
            </w:r>
          </w:p>
        </w:tc>
        <w:tc>
          <w:tcPr>
            <w:tcW w:w="2978" w:type="dxa"/>
            <w:vAlign w:val="center"/>
          </w:tcPr>
          <w:p w14:paraId="061EA411">
            <w:pPr>
              <w:spacing w:line="500" w:lineRule="exact"/>
              <w:jc w:val="center"/>
              <w:rPr>
                <w:rFonts w:ascii="方正仿宋_GB2312" w:hAnsi="方正仿宋_GB2312" w:eastAsia="方正仿宋_GB2312" w:cs="方正仿宋_GB2312"/>
                <w:b/>
                <w:bCs/>
                <w:color w:val="000000"/>
                <w:sz w:val="28"/>
                <w:szCs w:val="28"/>
                <w:highlight w:val="none"/>
              </w:rPr>
            </w:pPr>
            <w:r>
              <w:rPr>
                <w:rFonts w:hint="eastAsia" w:ascii="方正仿宋_GB2312" w:hAnsi="方正仿宋_GB2312" w:eastAsia="方正仿宋_GB2312" w:cs="方正仿宋_GB2312"/>
                <w:b/>
                <w:bCs/>
                <w:color w:val="FF0000"/>
                <w:sz w:val="28"/>
                <w:szCs w:val="28"/>
                <w:highlight w:val="none"/>
              </w:rPr>
              <w:t>服务响应</w:t>
            </w:r>
          </w:p>
        </w:tc>
        <w:tc>
          <w:tcPr>
            <w:tcW w:w="716" w:type="dxa"/>
            <w:vAlign w:val="center"/>
          </w:tcPr>
          <w:p w14:paraId="44B0C0F5">
            <w:pPr>
              <w:spacing w:line="500" w:lineRule="exact"/>
              <w:jc w:val="center"/>
              <w:rPr>
                <w:rFonts w:ascii="方正仿宋_GB2312" w:hAnsi="方正仿宋_GB2312" w:eastAsia="方正仿宋_GB2312" w:cs="方正仿宋_GB2312"/>
                <w:b/>
                <w:bCs/>
                <w:color w:val="000000"/>
                <w:sz w:val="28"/>
                <w:szCs w:val="28"/>
                <w:highlight w:val="none"/>
              </w:rPr>
            </w:pPr>
            <w:r>
              <w:rPr>
                <w:rFonts w:hint="eastAsia" w:ascii="方正仿宋_GB2312" w:hAnsi="方正仿宋_GB2312" w:eastAsia="方正仿宋_GB2312" w:cs="方正仿宋_GB2312"/>
                <w:b/>
                <w:bCs/>
                <w:color w:val="000000"/>
                <w:sz w:val="28"/>
                <w:szCs w:val="28"/>
                <w:highlight w:val="none"/>
              </w:rPr>
              <w:t>单位</w:t>
            </w:r>
          </w:p>
        </w:tc>
        <w:tc>
          <w:tcPr>
            <w:tcW w:w="1605" w:type="dxa"/>
            <w:vAlign w:val="center"/>
          </w:tcPr>
          <w:p w14:paraId="3C883768">
            <w:pPr>
              <w:spacing w:line="500" w:lineRule="exact"/>
              <w:jc w:val="center"/>
              <w:rPr>
                <w:rFonts w:ascii="方正仿宋_GB2312" w:hAnsi="方正仿宋_GB2312" w:eastAsia="方正仿宋_GB2312" w:cs="方正仿宋_GB2312"/>
                <w:b/>
                <w:bCs/>
                <w:color w:val="000000"/>
                <w:sz w:val="28"/>
                <w:szCs w:val="28"/>
                <w:highlight w:val="none"/>
              </w:rPr>
            </w:pPr>
            <w:r>
              <w:rPr>
                <w:rFonts w:hint="eastAsia" w:ascii="方正仿宋_GB2312" w:hAnsi="方正仿宋_GB2312" w:eastAsia="方正仿宋_GB2312" w:cs="方正仿宋_GB2312"/>
                <w:b/>
                <w:bCs/>
                <w:color w:val="000000"/>
                <w:sz w:val="28"/>
                <w:szCs w:val="28"/>
                <w:highlight w:val="none"/>
              </w:rPr>
              <w:t>数量</w:t>
            </w:r>
          </w:p>
        </w:tc>
        <w:tc>
          <w:tcPr>
            <w:tcW w:w="2077" w:type="dxa"/>
            <w:vAlign w:val="center"/>
          </w:tcPr>
          <w:p w14:paraId="78A296A1">
            <w:pPr>
              <w:spacing w:line="500" w:lineRule="exact"/>
              <w:jc w:val="center"/>
              <w:rPr>
                <w:rFonts w:ascii="方正仿宋_GB2312" w:hAnsi="方正仿宋_GB2312" w:eastAsia="方正仿宋_GB2312" w:cs="方正仿宋_GB2312"/>
                <w:b/>
                <w:bCs/>
                <w:color w:val="000000"/>
                <w:sz w:val="28"/>
                <w:szCs w:val="28"/>
                <w:highlight w:val="none"/>
              </w:rPr>
            </w:pPr>
            <w:r>
              <w:rPr>
                <w:rFonts w:hint="eastAsia" w:ascii="方正仿宋_GB2312" w:hAnsi="方正仿宋_GB2312" w:eastAsia="方正仿宋_GB2312" w:cs="方正仿宋_GB2312"/>
                <w:b/>
                <w:bCs/>
                <w:color w:val="000000"/>
                <w:sz w:val="28"/>
                <w:szCs w:val="28"/>
                <w:highlight w:val="none"/>
              </w:rPr>
              <w:t>单项报价（元）</w:t>
            </w:r>
          </w:p>
        </w:tc>
      </w:tr>
      <w:tr w14:paraId="5A598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621" w:type="dxa"/>
            <w:vAlign w:val="center"/>
          </w:tcPr>
          <w:p w14:paraId="43D155FA">
            <w:pPr>
              <w:snapToGrid w:val="0"/>
              <w:spacing w:line="500" w:lineRule="exact"/>
              <w:jc w:val="center"/>
              <w:rPr>
                <w:rFonts w:ascii="方正仿宋_GB2312" w:hAnsi="方正仿宋_GB2312" w:eastAsia="方正仿宋_GB2312" w:cs="方正仿宋_GB2312"/>
                <w:color w:val="000000"/>
                <w:sz w:val="28"/>
                <w:szCs w:val="28"/>
                <w:highlight w:val="none"/>
              </w:rPr>
            </w:pPr>
            <w:r>
              <w:rPr>
                <w:rFonts w:hint="eastAsia" w:ascii="方正仿宋_GB2312" w:hAnsi="方正仿宋_GB2312" w:eastAsia="方正仿宋_GB2312" w:cs="方正仿宋_GB2312"/>
                <w:color w:val="000000"/>
                <w:sz w:val="28"/>
                <w:szCs w:val="28"/>
                <w:highlight w:val="none"/>
              </w:rPr>
              <w:t>1</w:t>
            </w:r>
          </w:p>
        </w:tc>
        <w:tc>
          <w:tcPr>
            <w:tcW w:w="1641" w:type="dxa"/>
            <w:vAlign w:val="center"/>
          </w:tcPr>
          <w:p w14:paraId="5E446BB1">
            <w:pPr>
              <w:snapToGrid w:val="0"/>
              <w:spacing w:line="500" w:lineRule="exact"/>
              <w:rPr>
                <w:rFonts w:ascii="方正仿宋_GB2312" w:hAnsi="方正仿宋_GB2312" w:eastAsia="方正仿宋_GB2312" w:cs="方正仿宋_GB2312"/>
                <w:color w:val="000000"/>
                <w:sz w:val="28"/>
                <w:szCs w:val="28"/>
                <w:highlight w:val="none"/>
              </w:rPr>
            </w:pPr>
            <w:r>
              <w:rPr>
                <w:rFonts w:hint="eastAsia" w:ascii="方正仿宋_GB2312" w:hAnsi="方正仿宋_GB2312" w:eastAsia="方正仿宋_GB2312" w:cs="方正仿宋_GB2312"/>
                <w:color w:val="000000"/>
                <w:sz w:val="28"/>
                <w:szCs w:val="28"/>
                <w:highlight w:val="none"/>
              </w:rPr>
              <w:t>南宁市卫生学校消防</w:t>
            </w:r>
            <w:r>
              <w:rPr>
                <w:rFonts w:ascii="方正仿宋_GB2312" w:hAnsi="方正仿宋_GB2312" w:eastAsia="方正仿宋_GB2312" w:cs="方正仿宋_GB2312"/>
                <w:color w:val="000000"/>
                <w:sz w:val="28"/>
                <w:szCs w:val="28"/>
                <w:highlight w:val="none"/>
              </w:rPr>
              <w:t>系统维保</w:t>
            </w:r>
            <w:r>
              <w:rPr>
                <w:rFonts w:hint="eastAsia" w:ascii="方正仿宋_GB2312" w:hAnsi="方正仿宋_GB2312" w:eastAsia="方正仿宋_GB2312" w:cs="方正仿宋_GB2312"/>
                <w:color w:val="000000"/>
                <w:sz w:val="28"/>
                <w:szCs w:val="28"/>
                <w:highlight w:val="none"/>
              </w:rPr>
              <w:t>检测项目</w:t>
            </w:r>
          </w:p>
        </w:tc>
        <w:tc>
          <w:tcPr>
            <w:tcW w:w="2978" w:type="dxa"/>
            <w:vAlign w:val="center"/>
          </w:tcPr>
          <w:p w14:paraId="6A6C504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一、维护保养范围：南宁市卫生学校所有建筑内消防设施设备维护、保养、测试。维护保养范围（南宁市卫生学校包括相思湖校区、黎塘校区；海丽大厦（二、四、八、九层等楼层）及维保期内新增的消防设施设备。1.消防控制室。2.消防供配电设施。3.火灾自动报警系统。4.消防供水系统。5.消火栓灭火系统。6.自动喷淋灭火系统。7.气体灭火系统。8.防排烟系统</w:t>
            </w:r>
          </w:p>
          <w:p w14:paraId="07D1CB8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9.消防通讯及应急广播系统。10.防火分隔设施。11.消防电梯。12.灭火器。13.应急照明疏散指示系统</w:t>
            </w:r>
          </w:p>
          <w:p w14:paraId="0A84E40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。14.其它消防设施设备。</w:t>
            </w:r>
          </w:p>
          <w:p w14:paraId="4FEB77C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二、维护保养内容及要求：（一）消防控制室：</w:t>
            </w:r>
            <w:r>
              <w:rPr>
                <w:rFonts w:hint="eastAsia" w:ascii="仿宋_GB2312" w:hAnsi="仿宋_GB2312" w:eastAsia="仿宋_GB2312" w:cs="仿宋_GB2312"/>
                <w:color w:val="000000"/>
                <w:sz w:val="24"/>
                <w:szCs w:val="24"/>
                <w:highlight w:val="none"/>
                <w:lang w:val="en-US" w:eastAsia="zh-CN"/>
              </w:rPr>
              <w:t>1.</w:t>
            </w:r>
            <w:r>
              <w:rPr>
                <w:rFonts w:hint="eastAsia" w:ascii="仿宋_GB2312" w:hAnsi="仿宋_GB2312" w:eastAsia="仿宋_GB2312" w:cs="仿宋_GB2312"/>
                <w:color w:val="000000"/>
                <w:sz w:val="24"/>
                <w:szCs w:val="24"/>
                <w:highlight w:val="none"/>
              </w:rPr>
              <w:t>每月检查火灾报警控制器自检功能、消音复位功能、故障功能、火警功能、屏蔽功能、信息与查询功能；每月检查消防联动控制器自动控制功能、手动控制功能；主备电源自动转换功能；每月检查的内容做好记录，形成台账资料。</w:t>
            </w:r>
          </w:p>
          <w:p w14:paraId="1712062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每月检查消防控制室或消防值班工作环境以及火灾报警控制、联动控制盘等是否处于正常完好状态。</w:t>
            </w:r>
          </w:p>
          <w:p w14:paraId="7873B51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（二）消防供配电设施：</w:t>
            </w:r>
          </w:p>
          <w:p w14:paraId="37CFEDF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lang w:val="en-US" w:eastAsia="zh-CN"/>
              </w:rPr>
              <w:t>1.</w:t>
            </w:r>
            <w:r>
              <w:rPr>
                <w:rFonts w:hint="eastAsia" w:ascii="仿宋_GB2312" w:hAnsi="仿宋_GB2312" w:eastAsia="仿宋_GB2312" w:cs="仿宋_GB2312"/>
                <w:color w:val="000000"/>
                <w:sz w:val="24"/>
                <w:szCs w:val="24"/>
                <w:highlight w:val="none"/>
              </w:rPr>
              <w:t>每月检查消防电源工作状态、自备发电设备状况和消防配电房、发电房环境。</w:t>
            </w:r>
          </w:p>
          <w:p w14:paraId="34CD016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每月试验主、备电源切换功能、启动发电机组和核对储油设施的储油量。</w:t>
            </w:r>
          </w:p>
          <w:p w14:paraId="2A8E4CA9">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（三）火灾自动报警系统：</w:t>
            </w:r>
          </w:p>
          <w:p w14:paraId="3F5D0DF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lang w:val="en-US" w:eastAsia="zh-CN"/>
              </w:rPr>
              <w:t>1.</w:t>
            </w:r>
            <w:r>
              <w:rPr>
                <w:rFonts w:hint="eastAsia" w:ascii="仿宋_GB2312" w:hAnsi="仿宋_GB2312" w:eastAsia="仿宋_GB2312" w:cs="仿宋_GB2312"/>
                <w:color w:val="000000"/>
                <w:sz w:val="24"/>
                <w:szCs w:val="24"/>
                <w:highlight w:val="none"/>
              </w:rPr>
              <w:t>每月检查火灾报警探测器外观、区域显示器的运行状况、手动报警按钮外观、火灾报警装置外观。</w:t>
            </w:r>
          </w:p>
          <w:p w14:paraId="4023414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每月试验火灾报警探测器的报警功能，检查数量不少于总数的10%，全年检查覆盖100%。</w:t>
            </w:r>
          </w:p>
          <w:p w14:paraId="3F2CE14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lang w:val="en-US" w:eastAsia="zh-CN"/>
              </w:rPr>
              <w:t>3.</w:t>
            </w:r>
            <w:r>
              <w:rPr>
                <w:rFonts w:hint="eastAsia" w:ascii="仿宋_GB2312" w:hAnsi="仿宋_GB2312" w:eastAsia="仿宋_GB2312" w:cs="仿宋_GB2312"/>
                <w:color w:val="000000"/>
                <w:sz w:val="24"/>
                <w:szCs w:val="24"/>
                <w:highlight w:val="none"/>
              </w:rPr>
              <w:t>每月试验手动报警按钮的报警功能，检查数量不少于总数的10%，全年检查覆盖100%。</w:t>
            </w:r>
          </w:p>
          <w:p w14:paraId="75704C19">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lang w:val="en-US" w:eastAsia="zh-CN"/>
              </w:rPr>
              <w:t>4.</w:t>
            </w:r>
            <w:r>
              <w:rPr>
                <w:rFonts w:hint="eastAsia" w:ascii="仿宋_GB2312" w:hAnsi="仿宋_GB2312" w:eastAsia="仿宋_GB2312" w:cs="仿宋_GB2312"/>
                <w:color w:val="000000"/>
                <w:sz w:val="24"/>
                <w:szCs w:val="24"/>
                <w:highlight w:val="none"/>
              </w:rPr>
              <w:t>每月试验警报装置的警报功能，检查数量不少于总数的10%，全年检查覆盖100%。</w:t>
            </w:r>
          </w:p>
          <w:p w14:paraId="1034658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lang w:val="en-US" w:eastAsia="zh-CN"/>
              </w:rPr>
              <w:t>5.</w:t>
            </w:r>
            <w:r>
              <w:rPr>
                <w:rFonts w:hint="eastAsia" w:ascii="仿宋_GB2312" w:hAnsi="仿宋_GB2312" w:eastAsia="仿宋_GB2312" w:cs="仿宋_GB2312"/>
                <w:color w:val="000000"/>
                <w:sz w:val="24"/>
                <w:szCs w:val="24"/>
                <w:highlight w:val="none"/>
              </w:rPr>
              <w:t>每月试验报警控制器的自检功能、消音复位功能、故障功能、火警功能、屏蔽功能、信息与查询功能。</w:t>
            </w:r>
          </w:p>
          <w:p w14:paraId="495659B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lang w:val="en-US" w:eastAsia="zh-CN"/>
              </w:rPr>
              <w:t>6.</w:t>
            </w:r>
            <w:r>
              <w:rPr>
                <w:rFonts w:hint="eastAsia" w:ascii="仿宋_GB2312" w:hAnsi="仿宋_GB2312" w:eastAsia="仿宋_GB2312" w:cs="仿宋_GB2312"/>
                <w:color w:val="000000"/>
                <w:sz w:val="24"/>
                <w:szCs w:val="24"/>
                <w:highlight w:val="none"/>
              </w:rPr>
              <w:t>每月试验消防联动控制器的联动控制和显示功能。</w:t>
            </w:r>
          </w:p>
          <w:p w14:paraId="78737FB0">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（四）消防供水系统：1.消防水池</w:t>
            </w:r>
          </w:p>
          <w:p w14:paraId="0B9C24DF">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1)每月检查消防水池外观。</w:t>
            </w:r>
          </w:p>
          <w:p w14:paraId="36178B50">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2)每月查看消防水池储水量（水位）及消防用水不被他用的状况。</w:t>
            </w:r>
          </w:p>
          <w:p w14:paraId="7CA1DF2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3)每月查看补水设施。</w:t>
            </w:r>
          </w:p>
          <w:p w14:paraId="52C0820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2.消防水箱</w:t>
            </w:r>
          </w:p>
          <w:p w14:paraId="0F611B46">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1)每月检查消防水箱外观。</w:t>
            </w:r>
          </w:p>
          <w:p w14:paraId="601B13B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2)每月查看消防水箱储水量（水位）及消防用水不被他用的状况。</w:t>
            </w:r>
          </w:p>
          <w:p w14:paraId="181D2F8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3)每月查看补水设施。</w:t>
            </w:r>
          </w:p>
          <w:p w14:paraId="71A3FA2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3.消防水泵</w:t>
            </w:r>
          </w:p>
          <w:p w14:paraId="1A1F288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1)每月检查消防水泵及控制柜的工作状态。</w:t>
            </w:r>
          </w:p>
          <w:p w14:paraId="5CDD2BF5">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2)每月试验消防水泵启泵和主备泵切换功能。</w:t>
            </w:r>
          </w:p>
          <w:p w14:paraId="7983156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4.消防稳压泵及气压水罐</w:t>
            </w:r>
          </w:p>
          <w:p w14:paraId="3C379BB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1)每月检查消防稳压泵及气压水罐外观。</w:t>
            </w:r>
          </w:p>
          <w:p w14:paraId="1E192AF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2)每月试验启、停泵时压力工况。</w:t>
            </w:r>
          </w:p>
          <w:p w14:paraId="304FE46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5.水泵接合器。每月检查水泵接合器的外观、标识、止回阀。</w:t>
            </w:r>
          </w:p>
          <w:p w14:paraId="33E03F90">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6.管道阀门。每月检查管网控制阀门启闭状态。</w:t>
            </w:r>
          </w:p>
          <w:p w14:paraId="1C79BE4F">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7.泵房。每月检查消防泵房的工作环境。</w:t>
            </w:r>
          </w:p>
          <w:p w14:paraId="01432A25">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（五）消火栓灭火系统：</w:t>
            </w:r>
          </w:p>
          <w:p w14:paraId="7C6053F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1.室内消火栓</w:t>
            </w:r>
          </w:p>
          <w:p w14:paraId="062434B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1)每月检查室内消火栓外观。</w:t>
            </w:r>
          </w:p>
          <w:p w14:paraId="743274BB">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2)每月试验屋顶消火栓出水及静压。</w:t>
            </w:r>
          </w:p>
          <w:p w14:paraId="4662E81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2.室外消火栓</w:t>
            </w:r>
          </w:p>
          <w:p w14:paraId="516A134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1)每月检查室外消火栓外观。</w:t>
            </w:r>
          </w:p>
          <w:p w14:paraId="0BB317E6">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2)每月试验室外消火栓出水及静压。</w:t>
            </w:r>
          </w:p>
          <w:p w14:paraId="613B302D">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3.消火栓启泵按钮</w:t>
            </w:r>
          </w:p>
          <w:p w14:paraId="6F458C5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1)每月检查启泵外观。</w:t>
            </w:r>
          </w:p>
          <w:p w14:paraId="3E5F4C0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2)每月试验远距离启泵功能。</w:t>
            </w:r>
          </w:p>
          <w:p w14:paraId="756819A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（六）自动喷水灭火系统：</w:t>
            </w:r>
          </w:p>
          <w:p w14:paraId="26887FCB">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1.喷头。每月检查喷头外观。</w:t>
            </w:r>
          </w:p>
          <w:p w14:paraId="5555F470">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2.报警阀组</w:t>
            </w:r>
          </w:p>
          <w:p w14:paraId="7758E94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1)每月检查报警阀组外观。</w:t>
            </w:r>
          </w:p>
          <w:p w14:paraId="3BC644B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2)每月试验放水阀放水及压力开关动作信号。</w:t>
            </w:r>
          </w:p>
          <w:p w14:paraId="1062D59D">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3.末端试水装置</w:t>
            </w:r>
          </w:p>
          <w:p w14:paraId="23F207E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1)每月检查末端试水装置压力值。</w:t>
            </w:r>
          </w:p>
          <w:p w14:paraId="70403CB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2)每月试验末端放水及压力开关动作信号。</w:t>
            </w:r>
          </w:p>
          <w:p w14:paraId="2FFB8466">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4.水流指示器及信号阀。</w:t>
            </w:r>
          </w:p>
          <w:p w14:paraId="6ECDFCD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1)每月检查水流指示器及信号阀外观。</w:t>
            </w:r>
          </w:p>
          <w:p w14:paraId="1C0AE516">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2)每月核对反馈信号。（七）气体灭火系统</w:t>
            </w:r>
          </w:p>
          <w:p w14:paraId="0E01D3E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1.气体灭火控制器。</w:t>
            </w:r>
          </w:p>
          <w:p w14:paraId="690BCAA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1)每月检查气体灭火控制器工作状态。</w:t>
            </w:r>
          </w:p>
          <w:p w14:paraId="435FCFC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2)每半年模拟自动启动试验切断空调等相关联动。</w:t>
            </w:r>
          </w:p>
          <w:p w14:paraId="73DD35B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2.储瓶间。每月检查储瓶间环境。</w:t>
            </w:r>
          </w:p>
          <w:p w14:paraId="4EEB2065">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3.气体瓶组及储罐。</w:t>
            </w:r>
          </w:p>
          <w:p w14:paraId="1504A9A5">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1)每月检查气体瓶组及储罐外观。</w:t>
            </w:r>
          </w:p>
          <w:p w14:paraId="47CF5CB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2)每半年核对灭火剂储存量。</w:t>
            </w:r>
          </w:p>
          <w:p w14:paraId="3D000CE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4.选择阀、驱动装置。每月检查选择阀、驱动装置等组件外观。</w:t>
            </w:r>
          </w:p>
          <w:p w14:paraId="239E684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5.紧急启/停按钮。每月检查紧急启/停按钮外观。</w:t>
            </w:r>
          </w:p>
          <w:p w14:paraId="44996F5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6.放气指示灯及警报器。每月检查放气指示灯及警报器外观。</w:t>
            </w:r>
          </w:p>
          <w:p w14:paraId="44C026A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7.喷嘴。每月检查喷嘴外观。</w:t>
            </w:r>
          </w:p>
          <w:p w14:paraId="64D57A9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8.防护区。每月检查防护区状况。</w:t>
            </w:r>
          </w:p>
          <w:p w14:paraId="64C11B4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（八）防排烟系统。</w:t>
            </w:r>
          </w:p>
          <w:p w14:paraId="169A60D0">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1.档烟垂壁。每月检查档烟垂壁外观。</w:t>
            </w:r>
          </w:p>
          <w:p w14:paraId="704BBEE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2.送风阀。</w:t>
            </w:r>
          </w:p>
          <w:p w14:paraId="48055B89">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1)每月检查档烟垂壁外观。</w:t>
            </w:r>
          </w:p>
          <w:p w14:paraId="0DE59330">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2)每半年试验联动启动送风阀，核对送风阀信号反馈信号及送风口风速。</w:t>
            </w:r>
          </w:p>
          <w:p w14:paraId="31B1C88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3.送风机。</w:t>
            </w:r>
          </w:p>
          <w:p w14:paraId="5567A239">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1)每月检查送风机工作状态。</w:t>
            </w:r>
          </w:p>
          <w:p w14:paraId="606BFA96">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2)每半年试验联动启动风机。</w:t>
            </w:r>
          </w:p>
          <w:p w14:paraId="2274DFC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4.排烟阀。</w:t>
            </w:r>
          </w:p>
          <w:p w14:paraId="4717B6CB">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1)每月检查排烟阀外观。</w:t>
            </w:r>
          </w:p>
          <w:p w14:paraId="54B274E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2)每半年试验联动启动排烟阀，核对排烟口风速。</w:t>
            </w:r>
          </w:p>
          <w:p w14:paraId="349D571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5.排烟风机。</w:t>
            </w:r>
          </w:p>
          <w:p w14:paraId="29873E2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1)每月检查排烟风机工作状态。</w:t>
            </w:r>
          </w:p>
          <w:p w14:paraId="6B04F96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2)每月试验联动启动排烟风机。</w:t>
            </w:r>
          </w:p>
          <w:p w14:paraId="4AF1119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6.送风、排烟机房。每月检查送风、排烟机房环境。</w:t>
            </w:r>
          </w:p>
          <w:p w14:paraId="58E7D4A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7.通风系统。每月试验自动方式关闭空调系统、电动防火阀。</w:t>
            </w:r>
          </w:p>
          <w:p w14:paraId="5AD4A6F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（九）消防通讯及应急广播系统。</w:t>
            </w:r>
          </w:p>
          <w:p w14:paraId="2AC51E5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1.扬声器。</w:t>
            </w:r>
          </w:p>
          <w:p w14:paraId="28F6578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1)每月检查扬声器外观。</w:t>
            </w:r>
          </w:p>
          <w:p w14:paraId="596E204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2)每季度测试扬声器音量、音质。</w:t>
            </w:r>
          </w:p>
          <w:p w14:paraId="18025F0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2.扩音机。</w:t>
            </w:r>
          </w:p>
          <w:p w14:paraId="7D63460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1、每月检查扩音机工作状态。</w:t>
            </w:r>
          </w:p>
          <w:p w14:paraId="769428C6">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2每月试验联动启动和强制切换功能。</w:t>
            </w:r>
          </w:p>
          <w:p w14:paraId="03DAD635">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3.消防电话。</w:t>
            </w:r>
          </w:p>
          <w:p w14:paraId="67BDA58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1、每月检查消防电话外观。</w:t>
            </w:r>
          </w:p>
          <w:p w14:paraId="38E32ADF">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2、每月试验消防电话通话质量。</w:t>
            </w:r>
          </w:p>
          <w:p w14:paraId="7FBE3ACF">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（十）防火分隔设施</w:t>
            </w:r>
          </w:p>
          <w:p w14:paraId="31905C7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1.防火门。</w:t>
            </w:r>
          </w:p>
          <w:p w14:paraId="7987247B">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1、每月检查防火门外观及启闭状况。</w:t>
            </w:r>
          </w:p>
          <w:p w14:paraId="1552083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2、每月试验防火门启闭功能，查看关闭效果，双扇门的关闭顺序；对于疏散通道上设有出入口控制系统的防火门，自动或远端手动输出控制信号，查看出入口控制系统的解除情况及反馈信号。</w:t>
            </w:r>
          </w:p>
          <w:p w14:paraId="203475A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2.防火卷帘。</w:t>
            </w:r>
          </w:p>
          <w:p w14:paraId="7CB2A646">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1、每月检查防火卷帘外观及工作状态。</w:t>
            </w:r>
          </w:p>
          <w:p w14:paraId="60A8C536">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2、每月试验手动、机械应急和自动控制功能。3.紧急按钮。</w:t>
            </w:r>
          </w:p>
          <w:p w14:paraId="32E1413D">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1、每月检查紧急按钮外观。</w:t>
            </w:r>
          </w:p>
          <w:p w14:paraId="304FB130">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2、每月试验按钮迫降功能。</w:t>
            </w:r>
          </w:p>
          <w:p w14:paraId="2CCA45D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（十一）消防电梯。</w:t>
            </w:r>
          </w:p>
          <w:p w14:paraId="6F0012B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1、每月检查轿厢电话外观。</w:t>
            </w:r>
          </w:p>
          <w:p w14:paraId="4CAE386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2、每月检查消防电梯工作状态。</w:t>
            </w:r>
          </w:p>
          <w:p w14:paraId="23A7F74D">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3、每月试验消防电梯联动控制功能。</w:t>
            </w:r>
          </w:p>
          <w:p w14:paraId="11F93B3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（十二）灭火器。</w:t>
            </w:r>
          </w:p>
          <w:p w14:paraId="22F0E04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1、检查灭火器外观是否完好，压力指针是否指向绿区。</w:t>
            </w:r>
          </w:p>
          <w:p w14:paraId="005934C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2、检查灭火器是否在有效期内。</w:t>
            </w:r>
          </w:p>
          <w:p w14:paraId="583E2A1D">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3、一旦发现灭火器失效或曾动用过应马上通知消防监控室或保卫科更换。</w:t>
            </w:r>
          </w:p>
          <w:p w14:paraId="223DED5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4、每月抽检数量不少于总数的10%，全年检查覆盖100%以上。</w:t>
            </w:r>
          </w:p>
          <w:p w14:paraId="6496B39D">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（十三）应急疏散照明指示系统。</w:t>
            </w:r>
          </w:p>
          <w:p w14:paraId="0AA9D599">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1、每月检查安全出口、疏散通道、重要场所的应急照明和疏散指示标志是否处于正常完好状态，如有损坏及时处理更换，恢复正常照明。</w:t>
            </w:r>
          </w:p>
          <w:p w14:paraId="2FFDA8DF">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2、每月试验应急照明和疏散指示灯的工作照度和疏散照度。抽检数量不少于总数的20%。</w:t>
            </w:r>
          </w:p>
          <w:p w14:paraId="5889913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（十四）其它设施。</w:t>
            </w:r>
          </w:p>
          <w:p w14:paraId="30BA688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1、每月检查集水坑排水设备或空气呼吸器、自救逃生设备等是否处于正常完好状态。</w:t>
            </w:r>
          </w:p>
          <w:p w14:paraId="1188D84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2、每月试验切断非消防电源功能。</w:t>
            </w:r>
          </w:p>
          <w:p w14:paraId="317BB7A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三、其他要求。</w:t>
            </w:r>
          </w:p>
          <w:p w14:paraId="28CB48F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（一）应急处理要求。</w:t>
            </w:r>
          </w:p>
          <w:p w14:paraId="0D9F331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在维保服务过程中，如果发现问题，维保公司现场人员无法及时解决，维保公司必须无条件安排相关技术支持人员第一时间赶到现场，24小时电话报修服务并承诺维修响应时间：接到故障通知后30分钟内响应，2小时内到达现场，一般故障现场排除；如重大故障隐患24小时之内排除故障。尽最快的速度处理设备故障问题，以保证消防设备设施的正常运作。</w:t>
            </w:r>
          </w:p>
          <w:p w14:paraId="6D9FEE4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（二）档案文件管理要求。成交供应商必须为采购人建立健全各类消防管理档案：</w:t>
            </w:r>
          </w:p>
          <w:p w14:paraId="74BAA663">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1.每月都有检查以及检查记录，内容要真实的反应设备运行现场情况，对于发现的安全隐患，如果不能及时处理要及时向甲方反映，并及时提出维修方案，做好详细记录。</w:t>
            </w:r>
          </w:p>
          <w:p w14:paraId="4605564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2.每次检查结束后，都要做详细的维修或保养记录并双方签字认可，做到工作记录健全，原始记录存档以备日后查询。</w:t>
            </w:r>
          </w:p>
          <w:p w14:paraId="3CF6D59E">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3.消防重点管理档案包括以下内容：</w:t>
            </w:r>
          </w:p>
          <w:p w14:paraId="211F8775">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（1）消防设备设施的配置及使用情况。</w:t>
            </w:r>
          </w:p>
          <w:p w14:paraId="787AE45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（2）灭火和应急疏散方案概况。</w:t>
            </w:r>
          </w:p>
          <w:p w14:paraId="751EAAE9">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（3）维护保养报告要做到全面、详实，把维保前后的单位情况都详细记录下来，以方便维保、维修和查询。（三）消防设备设施故障或损坏的更换维修要求。</w:t>
            </w:r>
          </w:p>
          <w:p w14:paraId="016F4CE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1.在维保期内所有消防设施设备发生故障及损坏，成交供应商应在3日内处理好，应按要求负责免费更换或维修。</w:t>
            </w:r>
          </w:p>
          <w:p w14:paraId="1AA37CBD">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 xml:space="preserve">2.配件费用在200元及以下的，由成交供应商承担，年度累计上限为2万元。（包括但不限于附件配件清单所列项目，此条款涵盖所有满足该价格条件的配件，无论其是否列于《消防维保常见配件清单（附件1）》之中）。投标时，由供应商根据清单进行报价，列出消防维保常规配件清单价目表，作为日后消防维保更换配件价格依据。超过200元的配件，由学校自行采购给供应商免费更换维修。（四）日常维保工作要求 </w:t>
            </w:r>
          </w:p>
          <w:p w14:paraId="43EAEE7B">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成交供应商应于签订合同入场后15日内做到：对维保内容范围的设备及系统进行全面检查、检测、检修，使维保内容的设备、系统有效，达到消防规定要求；并提交全年每月消防设备设施故障需要维修的工作计划项目，成交供应商（按季度）提出的工作计划完成要闭环。</w:t>
            </w:r>
          </w:p>
          <w:p w14:paraId="3C1D7BF0">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2.全年维保第七个月前对消防水泵、室外地上栓、地下栓、水泵接合器等接口部件涂油一次（用“油”由服务商提供）。</w:t>
            </w:r>
          </w:p>
          <w:p w14:paraId="55F421F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3.检查、检测结果必须以书面形式报告采购人，报告须符合消防部门要求，需经采购人签字确认。</w:t>
            </w:r>
          </w:p>
          <w:p w14:paraId="3DEEB1D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4.其他按消防法规、消防部门规定需要检查、检测的消防设备设施。</w:t>
            </w:r>
          </w:p>
          <w:p w14:paraId="39FFED3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5.成交供应商在对以上维保项目的检查或试验中，如发现异常情况必须及时如实向采购人反映，并提出解决方案。</w:t>
            </w:r>
          </w:p>
          <w:p w14:paraId="394DCBCB">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6.如遇到在规定时间内无法完成的维修（维修难度大）工作，须提前告知相关部门并设立相关警示、警戒标志，尽快采购配件维修完成恢复系统运行。</w:t>
            </w:r>
          </w:p>
          <w:p w14:paraId="5CF1F8E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7.供应商每前一个月（季度）提交消防设备设施故障需要维修的工作计划项目，并按提出下个月的工作计划项目完成闭环。</w:t>
            </w:r>
          </w:p>
          <w:p w14:paraId="744B009D">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8.供应商应协助配合采购人（校方）做好每学期两校区校内学生的消防安全逃生演练（不论次数）及配合节假日消防安全隐患大排查工作。</w:t>
            </w:r>
          </w:p>
          <w:p w14:paraId="248B4C8C">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9.合同结束前一个月内对学校消防系统进行年度测试，对存在的问题提供一份纸质解决方案并加盖单位公章。</w:t>
            </w:r>
          </w:p>
          <w:p w14:paraId="797CB97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10.成交供应商必须严格遵守各项相关法律法规的规定，落实对消防设施、器材和消防安全标志等定期检查、维护、保养制度。</w:t>
            </w:r>
          </w:p>
          <w:p w14:paraId="3E2E043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11.成交供应商须在合同期内每月至少派 2名持有中级消防设施操作员证的技术员，对所有的消防设施进行巡查。有重大活动时，采购人可要求供应商加派人员进行巡查，保证所有消防设施的正常运行，并协助保卫科完成校内除维保范围外消防设施的检查，如有违反，采购人有权终止合同并要求成交供应商退回相应的维保款项。</w:t>
            </w:r>
          </w:p>
          <w:p w14:paraId="416A524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四、考核。</w:t>
            </w:r>
          </w:p>
          <w:p w14:paraId="294C05B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1.供应商将提交每季度的设备维修记录单及现场维修凭证等相关材料。</w:t>
            </w:r>
          </w:p>
          <w:p w14:paraId="43723DE2">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2.成交供应商将提供每季度的维保记录本。</w:t>
            </w:r>
          </w:p>
          <w:p w14:paraId="73DC8750">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3.供应商未能按要求及时处理消防设备设施一般性故障隐患</w:t>
            </w:r>
            <w:r>
              <w:rPr>
                <w:rFonts w:hint="eastAsia" w:ascii="仿宋_GB2312" w:hAnsi="仿宋_GB2312" w:eastAsia="仿宋_GB2312" w:cs="仿宋_GB2312"/>
                <w:color w:val="000000"/>
                <w:sz w:val="24"/>
                <w:szCs w:val="24"/>
                <w:highlight w:val="none"/>
                <w:lang w:eastAsia="zh-CN"/>
              </w:rPr>
              <w:t>（</w:t>
            </w:r>
            <w:r>
              <w:rPr>
                <w:rFonts w:hint="eastAsia" w:ascii="仿宋_GB2312" w:hAnsi="仿宋_GB2312" w:eastAsia="仿宋_GB2312" w:cs="仿宋_GB2312"/>
                <w:color w:val="000000"/>
                <w:sz w:val="24"/>
                <w:szCs w:val="24"/>
                <w:highlight w:val="none"/>
              </w:rPr>
              <w:t>指不影响消防系统整体运行、不构成即时安全风险的小问题，如个别烟感误报、局部指示灯故障、轻微线路接触不良等。</w:t>
            </w:r>
            <w:r>
              <w:rPr>
                <w:rFonts w:hint="eastAsia" w:ascii="仿宋_GB2312" w:hAnsi="仿宋_GB2312" w:eastAsia="仿宋_GB2312" w:cs="仿宋_GB2312"/>
                <w:color w:val="000000"/>
                <w:sz w:val="24"/>
                <w:szCs w:val="24"/>
                <w:highlight w:val="none"/>
                <w:lang w:eastAsia="zh-CN"/>
              </w:rPr>
              <w:t>）</w:t>
            </w:r>
            <w:r>
              <w:rPr>
                <w:rFonts w:hint="eastAsia" w:ascii="仿宋_GB2312" w:hAnsi="仿宋_GB2312" w:eastAsia="仿宋_GB2312" w:cs="仿宋_GB2312"/>
                <w:color w:val="000000"/>
                <w:sz w:val="24"/>
                <w:szCs w:val="24"/>
                <w:highlight w:val="none"/>
              </w:rPr>
              <w:t>或重大故障隐患</w:t>
            </w:r>
            <w:r>
              <w:rPr>
                <w:rFonts w:hint="eastAsia" w:ascii="仿宋_GB2312" w:hAnsi="仿宋_GB2312" w:eastAsia="仿宋_GB2312" w:cs="仿宋_GB2312"/>
                <w:color w:val="000000"/>
                <w:sz w:val="24"/>
                <w:szCs w:val="24"/>
                <w:highlight w:val="none"/>
                <w:lang w:eastAsia="zh-CN"/>
              </w:rPr>
              <w:t>（</w:t>
            </w:r>
            <w:r>
              <w:rPr>
                <w:rFonts w:hint="eastAsia" w:ascii="仿宋_GB2312" w:hAnsi="仿宋_GB2312" w:eastAsia="仿宋_GB2312" w:cs="仿宋_GB2312"/>
                <w:color w:val="000000"/>
                <w:sz w:val="24"/>
                <w:szCs w:val="24"/>
                <w:highlight w:val="none"/>
              </w:rPr>
              <w:t>指直接影响消防系统功能、可能导致火灾时无法正常启动的关键问题，如消防水泵无法启动、喷淋管网无水、火灾报警系统瘫痪、消防栓无水等</w:t>
            </w:r>
            <w:r>
              <w:rPr>
                <w:rFonts w:hint="eastAsia" w:ascii="仿宋_GB2312" w:hAnsi="仿宋_GB2312" w:eastAsia="仿宋_GB2312" w:cs="仿宋_GB2312"/>
                <w:color w:val="000000"/>
                <w:sz w:val="24"/>
                <w:szCs w:val="24"/>
                <w:highlight w:val="none"/>
                <w:lang w:eastAsia="zh-CN"/>
              </w:rPr>
              <w:t>）</w:t>
            </w:r>
            <w:r>
              <w:rPr>
                <w:rFonts w:hint="eastAsia" w:ascii="仿宋_GB2312" w:hAnsi="仿宋_GB2312" w:eastAsia="仿宋_GB2312" w:cs="仿宋_GB2312"/>
                <w:color w:val="000000"/>
                <w:sz w:val="24"/>
                <w:szCs w:val="24"/>
                <w:highlight w:val="none"/>
              </w:rPr>
              <w:t>，导致各消防设备设施故障隐患长期累积，拖到下一季度仍未解决的，采购人</w:t>
            </w:r>
            <w:r>
              <w:rPr>
                <w:rFonts w:hint="eastAsia" w:ascii="仿宋_GB2312" w:hAnsi="仿宋_GB2312" w:eastAsia="仿宋_GB2312" w:cs="仿宋_GB2312"/>
                <w:color w:val="000000"/>
                <w:sz w:val="24"/>
                <w:szCs w:val="24"/>
                <w:highlight w:val="none"/>
                <w:lang w:eastAsia="zh-CN"/>
              </w:rPr>
              <w:t>对</w:t>
            </w:r>
            <w:r>
              <w:rPr>
                <w:rFonts w:hint="eastAsia" w:ascii="仿宋_GB2312" w:hAnsi="仿宋_GB2312" w:eastAsia="仿宋_GB2312" w:cs="仿宋_GB2312"/>
                <w:color w:val="000000"/>
                <w:sz w:val="24"/>
                <w:szCs w:val="24"/>
                <w:highlight w:val="none"/>
              </w:rPr>
              <w:t>供应商未完成</w:t>
            </w:r>
            <w:r>
              <w:rPr>
                <w:rFonts w:hint="eastAsia" w:ascii="仿宋_GB2312" w:hAnsi="仿宋_GB2312" w:eastAsia="仿宋_GB2312" w:cs="仿宋_GB2312"/>
                <w:color w:val="000000"/>
                <w:sz w:val="24"/>
                <w:szCs w:val="24"/>
                <w:highlight w:val="none"/>
                <w:lang w:eastAsia="zh-CN"/>
              </w:rPr>
              <w:t>的一般性隐患</w:t>
            </w:r>
            <w:r>
              <w:rPr>
                <w:rFonts w:hint="eastAsia" w:ascii="仿宋_GB2312" w:hAnsi="仿宋_GB2312" w:eastAsia="仿宋_GB2312" w:cs="仿宋_GB2312"/>
                <w:color w:val="000000"/>
                <w:sz w:val="24"/>
                <w:szCs w:val="24"/>
                <w:highlight w:val="none"/>
              </w:rPr>
              <w:t>维修项</w:t>
            </w:r>
            <w:r>
              <w:rPr>
                <w:rFonts w:hint="eastAsia" w:ascii="仿宋_GB2312" w:hAnsi="仿宋_GB2312" w:eastAsia="仿宋_GB2312" w:cs="仿宋_GB2312"/>
                <w:color w:val="000000"/>
                <w:sz w:val="24"/>
                <w:szCs w:val="24"/>
                <w:highlight w:val="none"/>
                <w:lang w:eastAsia="zh-CN"/>
              </w:rPr>
              <w:t>目款</w:t>
            </w:r>
            <w:r>
              <w:rPr>
                <w:rFonts w:hint="eastAsia" w:ascii="仿宋_GB2312" w:hAnsi="仿宋_GB2312" w:eastAsia="仿宋_GB2312" w:cs="仿宋_GB2312"/>
                <w:color w:val="000000"/>
                <w:sz w:val="24"/>
                <w:szCs w:val="24"/>
                <w:highlight w:val="none"/>
              </w:rPr>
              <w:t>扣款500元/次</w:t>
            </w:r>
            <w:r>
              <w:rPr>
                <w:rFonts w:hint="eastAsia" w:ascii="仿宋_GB2312" w:hAnsi="仿宋_GB2312" w:eastAsia="仿宋_GB2312" w:cs="仿宋_GB2312"/>
                <w:color w:val="000000"/>
                <w:sz w:val="24"/>
                <w:szCs w:val="24"/>
                <w:highlight w:val="none"/>
                <w:lang w:eastAsia="zh-CN"/>
              </w:rPr>
              <w:t>，对供应商未完成的重大事故隐患维修项目款</w:t>
            </w:r>
            <w:r>
              <w:rPr>
                <w:rFonts w:hint="eastAsia" w:ascii="仿宋_GB2312" w:hAnsi="仿宋_GB2312" w:eastAsia="仿宋_GB2312" w:cs="仿宋_GB2312"/>
                <w:color w:val="000000"/>
                <w:sz w:val="24"/>
                <w:szCs w:val="24"/>
                <w:highlight w:val="none"/>
              </w:rPr>
              <w:t>扣款1000元</w:t>
            </w:r>
            <w:r>
              <w:rPr>
                <w:rFonts w:hint="eastAsia" w:ascii="仿宋_GB2312" w:hAnsi="仿宋_GB2312" w:eastAsia="仿宋_GB2312" w:cs="仿宋_GB2312"/>
                <w:color w:val="000000"/>
                <w:sz w:val="24"/>
                <w:szCs w:val="24"/>
                <w:highlight w:val="none"/>
                <w:lang w:val="en-US" w:eastAsia="zh-CN"/>
              </w:rPr>
              <w:t>/次</w:t>
            </w:r>
            <w:r>
              <w:rPr>
                <w:rFonts w:hint="eastAsia" w:ascii="仿宋_GB2312" w:hAnsi="仿宋_GB2312" w:eastAsia="仿宋_GB2312" w:cs="仿宋_GB2312"/>
                <w:color w:val="000000"/>
                <w:sz w:val="24"/>
                <w:szCs w:val="24"/>
                <w:highlight w:val="none"/>
              </w:rPr>
              <w:t>，在支付当季度的维保费中扣除。</w:t>
            </w:r>
          </w:p>
          <w:p w14:paraId="7C4219D9">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4.供应商如在维保过程中未按合同履约相关条款或采购人发现供应商没有按合同相关条款执行维保或维保不到位，价值200元及以下设备设施损坏配件没有及时维修或各种借口拖延到下个季度维修的，扣成交供应商1000元/次，从当季度维保费中扣除（以上情况根据现场维修实际难度情况而定）。</w:t>
            </w:r>
          </w:p>
          <w:p w14:paraId="7A7B2424">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5.成交供应商服务时间如维护不到位而产生的消防事故，要承担相应的法律和经济责任，自行承担合同期内的自身安全责任，并遵守采购人的相关管理规定。</w:t>
            </w:r>
          </w:p>
          <w:p w14:paraId="123D24DA">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6.供应商服务期间存在不履行相关合同条款，</w:t>
            </w:r>
            <w:r>
              <w:rPr>
                <w:rFonts w:hint="eastAsia" w:ascii="仿宋_GB2312" w:hAnsi="仿宋_GB2312" w:eastAsia="仿宋_GB2312" w:cs="仿宋_GB2312"/>
                <w:color w:val="000000"/>
                <w:sz w:val="24"/>
                <w:szCs w:val="24"/>
                <w:highlight w:val="none"/>
                <w:lang w:eastAsia="zh-CN"/>
              </w:rPr>
              <w:t>造成</w:t>
            </w:r>
            <w:r>
              <w:rPr>
                <w:rFonts w:hint="eastAsia" w:ascii="仿宋_GB2312" w:hAnsi="仿宋_GB2312" w:eastAsia="仿宋_GB2312" w:cs="仿宋_GB2312"/>
                <w:color w:val="000000"/>
                <w:sz w:val="24"/>
                <w:szCs w:val="24"/>
                <w:highlight w:val="none"/>
              </w:rPr>
              <w:t>采购人消防设备无法正常使用等问题。采购人有权单方面终止合同（本条款最终解释权归采购人所有）。</w:t>
            </w:r>
          </w:p>
          <w:p w14:paraId="41C51D38">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五、维保人员配备要求。</w:t>
            </w:r>
          </w:p>
          <w:p w14:paraId="1B906901">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1.项目负责人1人，具有注册一级消防工程师证，且具备从事建筑消防设施维护保养服务两年以上的工作经验；</w:t>
            </w:r>
          </w:p>
          <w:p w14:paraId="1D0E103D">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2.具有消防设施操作资格人员不少于6人，其中消防设施操作员中级技能等级不少于2人。</w:t>
            </w:r>
          </w:p>
          <w:p w14:paraId="081A3E97">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color w:val="000000"/>
                <w:sz w:val="24"/>
                <w:szCs w:val="24"/>
                <w:highlight w:val="none"/>
              </w:rPr>
              <w:t>注：响应文件需提供负责人的资格证书复印件、供应商近半年内连续3个月为负责人缴纳社保的证明复印件、双方劳动合同（协议）复印件。</w:t>
            </w:r>
          </w:p>
        </w:tc>
        <w:tc>
          <w:tcPr>
            <w:tcW w:w="716" w:type="dxa"/>
            <w:vAlign w:val="center"/>
          </w:tcPr>
          <w:p w14:paraId="1627626C">
            <w:pPr>
              <w:snapToGrid w:val="0"/>
              <w:spacing w:line="500" w:lineRule="exact"/>
              <w:jc w:val="center"/>
              <w:rPr>
                <w:rFonts w:ascii="方正仿宋_GB2312" w:hAnsi="方正仿宋_GB2312" w:eastAsia="方正仿宋_GB2312" w:cs="方正仿宋_GB2312"/>
                <w:color w:val="000000"/>
                <w:sz w:val="28"/>
                <w:szCs w:val="28"/>
                <w:highlight w:val="none"/>
              </w:rPr>
            </w:pPr>
            <w:r>
              <w:rPr>
                <w:rFonts w:hint="eastAsia" w:ascii="方正仿宋_GB2312" w:hAnsi="方正仿宋_GB2312" w:eastAsia="方正仿宋_GB2312" w:cs="方正仿宋_GB2312"/>
                <w:color w:val="000000"/>
                <w:sz w:val="28"/>
                <w:szCs w:val="28"/>
                <w:highlight w:val="none"/>
              </w:rPr>
              <w:t>项</w:t>
            </w:r>
          </w:p>
        </w:tc>
        <w:tc>
          <w:tcPr>
            <w:tcW w:w="1605" w:type="dxa"/>
            <w:vAlign w:val="center"/>
          </w:tcPr>
          <w:p w14:paraId="68BDAE7F">
            <w:pPr>
              <w:snapToGrid w:val="0"/>
              <w:spacing w:line="500" w:lineRule="exact"/>
              <w:jc w:val="center"/>
              <w:rPr>
                <w:rFonts w:ascii="方正仿宋_GB2312" w:hAnsi="方正仿宋_GB2312" w:eastAsia="方正仿宋_GB2312" w:cs="方正仿宋_GB2312"/>
                <w:color w:val="000000"/>
                <w:sz w:val="28"/>
                <w:szCs w:val="28"/>
                <w:highlight w:val="none"/>
              </w:rPr>
            </w:pPr>
            <w:r>
              <w:rPr>
                <w:rFonts w:hint="eastAsia" w:ascii="方正仿宋_GB2312" w:hAnsi="方正仿宋_GB2312" w:eastAsia="方正仿宋_GB2312" w:cs="方正仿宋_GB2312"/>
                <w:color w:val="000000"/>
                <w:sz w:val="28"/>
                <w:szCs w:val="28"/>
                <w:highlight w:val="none"/>
              </w:rPr>
              <w:t>1</w:t>
            </w:r>
          </w:p>
        </w:tc>
        <w:tc>
          <w:tcPr>
            <w:tcW w:w="2077" w:type="dxa"/>
            <w:vAlign w:val="center"/>
          </w:tcPr>
          <w:p w14:paraId="4470BB73">
            <w:pPr>
              <w:snapToGrid w:val="0"/>
              <w:spacing w:line="500" w:lineRule="exact"/>
              <w:jc w:val="center"/>
              <w:rPr>
                <w:rFonts w:ascii="方正仿宋_GB2312" w:hAnsi="方正仿宋_GB2312" w:eastAsia="方正仿宋_GB2312" w:cs="方正仿宋_GB2312"/>
                <w:color w:val="000000"/>
                <w:sz w:val="28"/>
                <w:szCs w:val="28"/>
                <w:highlight w:val="none"/>
              </w:rPr>
            </w:pPr>
          </w:p>
        </w:tc>
      </w:tr>
      <w:tr w14:paraId="63A64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9638" w:type="dxa"/>
            <w:gridSpan w:val="6"/>
            <w:vAlign w:val="center"/>
          </w:tcPr>
          <w:p w14:paraId="2D97F8BE">
            <w:pPr>
              <w:widowControl/>
              <w:spacing w:line="500" w:lineRule="exact"/>
              <w:rPr>
                <w:rStyle w:val="16"/>
                <w:rFonts w:ascii="方正仿宋_GB2312" w:hAnsi="方正仿宋_GB2312" w:eastAsia="方正仿宋_GB2312" w:cs="方正仿宋_GB2312"/>
                <w:color w:val="000000"/>
                <w:sz w:val="28"/>
                <w:szCs w:val="28"/>
                <w:highlight w:val="none"/>
              </w:rPr>
            </w:pPr>
            <w:r>
              <w:rPr>
                <w:rStyle w:val="16"/>
                <w:rFonts w:hint="eastAsia" w:ascii="方正仿宋_GB2312" w:hAnsi="方正仿宋_GB2312" w:eastAsia="方正仿宋_GB2312" w:cs="方正仿宋_GB2312"/>
                <w:color w:val="000000"/>
                <w:sz w:val="28"/>
                <w:szCs w:val="28"/>
                <w:highlight w:val="none"/>
              </w:rPr>
              <w:t>合计金额：大写：                             （小写：¥           元）</w:t>
            </w:r>
          </w:p>
        </w:tc>
      </w:tr>
      <w:tr w14:paraId="04E83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jc w:val="center"/>
        </w:trPr>
        <w:tc>
          <w:tcPr>
            <w:tcW w:w="9638" w:type="dxa"/>
            <w:gridSpan w:val="6"/>
            <w:vAlign w:val="center"/>
          </w:tcPr>
          <w:p w14:paraId="1FD69568">
            <w:pPr>
              <w:pStyle w:val="2"/>
              <w:spacing w:line="500" w:lineRule="exact"/>
              <w:ind w:firstLine="0" w:firstLineChars="0"/>
              <w:jc w:val="center"/>
              <w:rPr>
                <w:rFonts w:ascii="方正仿宋_GB2312" w:hAnsi="方正仿宋_GB2312" w:eastAsia="方正仿宋_GB2312" w:cs="方正仿宋_GB2312"/>
                <w:color w:val="000000"/>
                <w:sz w:val="28"/>
                <w:szCs w:val="28"/>
                <w:highlight w:val="none"/>
              </w:rPr>
            </w:pPr>
            <w:r>
              <w:rPr>
                <w:rFonts w:hint="eastAsia" w:ascii="方正仿宋_GB2312" w:hAnsi="方正仿宋_GB2312" w:eastAsia="方正仿宋_GB2312" w:cs="方正仿宋_GB2312"/>
                <w:b/>
                <w:bCs/>
                <w:color w:val="000000"/>
                <w:sz w:val="28"/>
                <w:szCs w:val="28"/>
                <w:highlight w:val="none"/>
              </w:rPr>
              <w:t>商务条款</w:t>
            </w:r>
          </w:p>
        </w:tc>
      </w:tr>
      <w:tr w14:paraId="19B93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2" w:hRule="atLeast"/>
          <w:jc w:val="center"/>
        </w:trPr>
        <w:tc>
          <w:tcPr>
            <w:tcW w:w="9638" w:type="dxa"/>
            <w:gridSpan w:val="6"/>
            <w:vAlign w:val="center"/>
          </w:tcPr>
          <w:p w14:paraId="356C27FD">
            <w:pPr>
              <w:keepNext w:val="0"/>
              <w:keepLines w:val="0"/>
              <w:pageBreakBefore w:val="0"/>
              <w:widowControl w:val="0"/>
              <w:numPr>
                <w:ilvl w:val="0"/>
                <w:numId w:val="1"/>
              </w:numPr>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bCs/>
                <w:sz w:val="24"/>
                <w:szCs w:val="24"/>
                <w:highlight w:val="none"/>
              </w:rPr>
            </w:pPr>
            <w:r>
              <w:rPr>
                <w:rFonts w:hint="eastAsia" w:ascii="仿宋_GB2312" w:hAnsi="仿宋_GB2312" w:eastAsia="仿宋_GB2312" w:cs="仿宋_GB2312"/>
                <w:bCs/>
                <w:sz w:val="24"/>
                <w:szCs w:val="24"/>
                <w:highlight w:val="none"/>
              </w:rPr>
              <w:t>服务时间及地点：</w:t>
            </w:r>
          </w:p>
          <w:p w14:paraId="1DAFAE0E">
            <w:pPr>
              <w:keepNext w:val="0"/>
              <w:keepLines w:val="0"/>
              <w:pageBreakBefore w:val="0"/>
              <w:widowControl w:val="0"/>
              <w:numPr>
                <w:ilvl w:val="0"/>
                <w:numId w:val="2"/>
              </w:numPr>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服务时间：签订合同之日起1年。服务期满后采购人将视履约情况，可以通过一年一续签的方式续签合同，期限总长不得超过3年。</w:t>
            </w:r>
          </w:p>
          <w:p w14:paraId="6C42927A">
            <w:pPr>
              <w:keepNext w:val="0"/>
              <w:keepLines w:val="0"/>
              <w:pageBreakBefore w:val="0"/>
              <w:widowControl w:val="0"/>
              <w:numPr>
                <w:ilvl w:val="0"/>
                <w:numId w:val="2"/>
              </w:numPr>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服务地点：南宁市卫生学校相思湖校区、黎塘校区、海丽大厦（二层、四层、八层、九层楼等）</w:t>
            </w:r>
            <w:r>
              <w:rPr>
                <w:rFonts w:hint="eastAsia" w:ascii="仿宋_GB2312" w:hAnsi="仿宋_GB2312" w:eastAsia="仿宋_GB2312" w:cs="仿宋_GB2312"/>
                <w:b/>
                <w:bCs/>
                <w:sz w:val="24"/>
                <w:szCs w:val="24"/>
                <w:highlight w:val="none"/>
              </w:rPr>
              <w:t>。</w:t>
            </w:r>
          </w:p>
          <w:p w14:paraId="0570455C">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_GB2312" w:hAnsi="仿宋_GB2312" w:eastAsia="仿宋_GB2312" w:cs="仿宋_GB2312"/>
                <w:bCs/>
                <w:sz w:val="24"/>
                <w:szCs w:val="24"/>
                <w:highlight w:val="none"/>
              </w:rPr>
            </w:pPr>
            <w:r>
              <w:rPr>
                <w:rFonts w:hint="eastAsia" w:ascii="仿宋_GB2312" w:hAnsi="仿宋_GB2312" w:eastAsia="仿宋_GB2312" w:cs="仿宋_GB2312"/>
                <w:bCs/>
                <w:sz w:val="24"/>
                <w:szCs w:val="24"/>
                <w:highlight w:val="none"/>
              </w:rPr>
              <w:t>2.验收要求及标准：</w:t>
            </w:r>
          </w:p>
          <w:p w14:paraId="67E82FEE">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_GB2312" w:hAnsi="仿宋_GB2312" w:eastAsia="仿宋_GB2312" w:cs="仿宋_GB2312"/>
                <w:bCs/>
                <w:sz w:val="24"/>
                <w:szCs w:val="24"/>
                <w:highlight w:val="none"/>
              </w:rPr>
            </w:pPr>
            <w:r>
              <w:rPr>
                <w:rFonts w:hint="eastAsia" w:ascii="仿宋_GB2312" w:hAnsi="仿宋_GB2312" w:eastAsia="仿宋_GB2312" w:cs="仿宋_GB2312"/>
                <w:bCs/>
                <w:sz w:val="24"/>
                <w:szCs w:val="24"/>
                <w:highlight w:val="none"/>
              </w:rPr>
              <w:t>（1）</w:t>
            </w:r>
            <w:r>
              <w:rPr>
                <w:rFonts w:hint="eastAsia" w:ascii="仿宋_GB2312" w:hAnsi="仿宋_GB2312" w:eastAsia="仿宋_GB2312" w:cs="仿宋_GB2312"/>
                <w:sz w:val="24"/>
                <w:szCs w:val="24"/>
                <w:highlight w:val="none"/>
              </w:rPr>
              <w:t>根据采购需求的要求进行验收，采购标的需执行的国家标准、行业标准、地方标准或者其他标准、规范。多项标准的，按最新标准或较高标准执行。</w:t>
            </w:r>
          </w:p>
          <w:p w14:paraId="4B2D2266">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_GB2312" w:hAnsi="仿宋_GB2312" w:eastAsia="仿宋_GB2312" w:cs="仿宋_GB2312"/>
                <w:bCs/>
                <w:sz w:val="24"/>
                <w:szCs w:val="24"/>
                <w:highlight w:val="none"/>
              </w:rPr>
            </w:pPr>
            <w:r>
              <w:rPr>
                <w:rFonts w:hint="eastAsia" w:ascii="仿宋_GB2312" w:hAnsi="仿宋_GB2312" w:eastAsia="仿宋_GB2312" w:cs="仿宋_GB2312"/>
                <w:b/>
                <w:bCs/>
                <w:sz w:val="24"/>
                <w:szCs w:val="24"/>
                <w:highlight w:val="none"/>
              </w:rPr>
              <w:t>（</w:t>
            </w:r>
            <w:r>
              <w:rPr>
                <w:rFonts w:hint="eastAsia" w:ascii="仿宋_GB2312" w:hAnsi="仿宋_GB2312" w:eastAsia="仿宋_GB2312" w:cs="仿宋_GB2312"/>
                <w:sz w:val="24"/>
                <w:szCs w:val="24"/>
                <w:highlight w:val="none"/>
              </w:rPr>
              <w:t>2）供应商每季度提交季度维保记录本、现场维修图片及现场维修记录单。</w:t>
            </w:r>
          </w:p>
          <w:p w14:paraId="523B9328">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_GB2312" w:hAnsi="仿宋_GB2312" w:eastAsia="仿宋_GB2312" w:cs="仿宋_GB2312"/>
                <w:bCs/>
                <w:sz w:val="24"/>
                <w:szCs w:val="24"/>
                <w:highlight w:val="none"/>
              </w:rPr>
            </w:pPr>
            <w:r>
              <w:rPr>
                <w:rFonts w:hint="eastAsia" w:ascii="仿宋_GB2312" w:hAnsi="仿宋_GB2312" w:eastAsia="仿宋_GB2312" w:cs="仿宋_GB2312"/>
                <w:bCs/>
                <w:sz w:val="24"/>
                <w:szCs w:val="24"/>
                <w:highlight w:val="none"/>
              </w:rPr>
              <w:t>3.服务要求：</w:t>
            </w:r>
          </w:p>
          <w:p w14:paraId="18ECE57E">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（1）技术要求维保必须执行国家和地方最新的强制性标准和国家或行业的最新规范，例如《消防设施维护保养服务规范T/GXAS 585—2023》、《广西消防设施维护保养规程DB45T2473-2022》、《建筑消防设施的维护管理GB25201-2010》、《自动喷水灭火系统设计规范 GB50084-2017》、《社会消防技术服务管理规定（应急管理部令第7号）》、《消防应急照明和疏散指示系统技术标准 GB51309-2018）》等规范，必须满足国家有关规范要求，所有在用的消防设施设备能够正常运行使用。</w:t>
            </w:r>
          </w:p>
          <w:p w14:paraId="5CC4A668">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2）供应商必须在响应文件中提供24小时电话报修服务并承诺维修响应时间：接到故障通知后30分钟响应，2小时内到达故障现场，24小时之内排除故障。如设备重大隐患故障无法当场处理，要及时汇报给采购人悉知。</w:t>
            </w:r>
          </w:p>
          <w:p w14:paraId="4D00D4CA">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bCs/>
                <w:sz w:val="24"/>
                <w:szCs w:val="24"/>
                <w:highlight w:val="none"/>
              </w:rPr>
              <w:t>4.报价要求</w:t>
            </w:r>
          </w:p>
          <w:p w14:paraId="3FEDA35E">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bCs/>
                <w:sz w:val="24"/>
                <w:szCs w:val="24"/>
                <w:highlight w:val="none"/>
              </w:rPr>
              <w:t>（1）</w:t>
            </w:r>
            <w:r>
              <w:rPr>
                <w:rFonts w:hint="eastAsia" w:ascii="仿宋_GB2312" w:hAnsi="仿宋_GB2312" w:eastAsia="仿宋_GB2312" w:cs="仿宋_GB2312"/>
                <w:sz w:val="24"/>
                <w:szCs w:val="24"/>
                <w:highlight w:val="none"/>
              </w:rPr>
              <w:t>本项目磋商总报价应包括消防维保服务项目中的相关设备、劳务、管理、材料、维护、保险、利润、税金、政策性文件规定的各项费用及所有风险、责任，请供应商自行考虑报价。</w:t>
            </w:r>
          </w:p>
          <w:p w14:paraId="50D998C2">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（2）供应商需对《消防维保常见配件清单》(附件1）进行报价,做为更换配件价格依据。</w:t>
            </w:r>
          </w:p>
          <w:p w14:paraId="14AE1D7E">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bCs/>
                <w:sz w:val="24"/>
                <w:szCs w:val="24"/>
                <w:highlight w:val="none"/>
              </w:rPr>
              <w:t>5.付款方式：</w:t>
            </w:r>
            <w:r>
              <w:rPr>
                <w:rFonts w:hint="eastAsia" w:ascii="仿宋_GB2312" w:hAnsi="仿宋_GB2312" w:eastAsia="仿宋_GB2312" w:cs="仿宋_GB2312"/>
                <w:sz w:val="24"/>
                <w:szCs w:val="24"/>
                <w:highlight w:val="none"/>
              </w:rPr>
              <w:t>本项目无预付款，每3个月支付一次，共支付4次，采购人按季度向成交供应商支付合同款。供应商提交最终服务成果，经采购人验收合格后支付相应的服务费用：即供应商完成本季度维保，</w:t>
            </w:r>
            <w:r>
              <w:rPr>
                <w:rFonts w:hint="eastAsia" w:ascii="仿宋_GB2312" w:hAnsi="仿宋_GB2312" w:eastAsia="仿宋_GB2312" w:cs="仿宋_GB2312"/>
                <w:sz w:val="24"/>
                <w:szCs w:val="24"/>
                <w:highlight w:val="none"/>
                <w:u w:val="single"/>
              </w:rPr>
              <w:t>经采购人验收合格，且财政审批该项目用款计划后，20个工作日内</w:t>
            </w:r>
            <w:r>
              <w:rPr>
                <w:rFonts w:hint="eastAsia" w:ascii="仿宋_GB2312" w:hAnsi="仿宋_GB2312" w:eastAsia="仿宋_GB2312" w:cs="仿宋_GB2312"/>
                <w:sz w:val="24"/>
                <w:szCs w:val="24"/>
                <w:highlight w:val="none"/>
              </w:rPr>
              <w:t>，采购人向成交供应商支付当季度维保费。</w:t>
            </w:r>
          </w:p>
          <w:p w14:paraId="41A08268">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bCs/>
                <w:sz w:val="24"/>
                <w:szCs w:val="24"/>
                <w:highlight w:val="none"/>
              </w:rPr>
              <w:t>6.供应商要求：</w:t>
            </w:r>
            <w:r>
              <w:rPr>
                <w:rFonts w:hint="eastAsia" w:ascii="仿宋_GB2312" w:hAnsi="仿宋_GB2312" w:eastAsia="仿宋_GB2312" w:cs="仿宋_GB2312"/>
                <w:sz w:val="24"/>
                <w:szCs w:val="24"/>
                <w:highlight w:val="none"/>
              </w:rPr>
              <w:t>公司在南宁当地有办事处</w:t>
            </w:r>
          </w:p>
          <w:p w14:paraId="09A82D32">
            <w:pPr>
              <w:pStyle w:val="2"/>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_GB2312" w:hAnsi="仿宋_GB2312" w:eastAsia="仿宋_GB2312" w:cs="仿宋_GB2312"/>
                <w:color w:val="000000"/>
                <w:sz w:val="24"/>
                <w:szCs w:val="24"/>
                <w:highlight w:val="none"/>
              </w:rPr>
            </w:pPr>
            <w:r>
              <w:rPr>
                <w:rFonts w:hint="eastAsia" w:ascii="仿宋_GB2312" w:hAnsi="仿宋_GB2312" w:eastAsia="仿宋_GB2312" w:cs="仿宋_GB2312"/>
                <w:bCs/>
                <w:sz w:val="24"/>
                <w:szCs w:val="24"/>
                <w:highlight w:val="none"/>
              </w:rPr>
              <w:t>7.</w:t>
            </w:r>
            <w:r>
              <w:rPr>
                <w:rFonts w:hint="eastAsia" w:ascii="仿宋_GB2312" w:hAnsi="仿宋_GB2312" w:eastAsia="仿宋_GB2312" w:cs="仿宋_GB2312"/>
                <w:sz w:val="24"/>
                <w:szCs w:val="24"/>
                <w:highlight w:val="none"/>
              </w:rPr>
              <w:t>本项目不接受任何形式的转包、分包。</w:t>
            </w:r>
          </w:p>
        </w:tc>
      </w:tr>
    </w:tbl>
    <w:p w14:paraId="692501D0">
      <w:pPr>
        <w:snapToGrid w:val="0"/>
        <w:spacing w:line="300" w:lineRule="auto"/>
        <w:rPr>
          <w:rFonts w:ascii="宋体" w:hAnsi="宋体"/>
          <w:color w:val="000000"/>
          <w:sz w:val="24"/>
        </w:rPr>
      </w:pPr>
    </w:p>
    <w:p w14:paraId="0B2A0482">
      <w:pPr>
        <w:snapToGrid w:val="0"/>
        <w:spacing w:line="300" w:lineRule="auto"/>
        <w:rPr>
          <w:rFonts w:ascii="仿宋_GB2312" w:hAnsi="仿宋_GB2312" w:eastAsia="仿宋_GB2312" w:cs="仿宋_GB2312"/>
          <w:color w:val="000000"/>
          <w:sz w:val="24"/>
        </w:rPr>
      </w:pPr>
      <w:r>
        <w:rPr>
          <w:rFonts w:hint="eastAsia" w:ascii="仿宋_GB2312" w:hAnsi="仿宋_GB2312" w:eastAsia="仿宋_GB2312" w:cs="仿宋_GB2312"/>
          <w:color w:val="000000"/>
          <w:sz w:val="24"/>
        </w:rPr>
        <w:t>说明：所有价格均用人民币表示，单位为元，精确到个位数。</w:t>
      </w:r>
    </w:p>
    <w:p w14:paraId="79B704AE">
      <w:pPr>
        <w:spacing w:line="560" w:lineRule="exact"/>
        <w:rPr>
          <w:rFonts w:ascii="仿宋" w:hAnsi="仿宋" w:eastAsia="仿宋" w:cs="仿宋"/>
          <w:sz w:val="30"/>
          <w:szCs w:val="30"/>
        </w:rPr>
      </w:pPr>
    </w:p>
    <w:p w14:paraId="05C17D46">
      <w:pPr>
        <w:pStyle w:val="2"/>
        <w:ind w:firstLine="344"/>
      </w:pPr>
    </w:p>
    <w:p w14:paraId="7173D40A">
      <w:pPr>
        <w:pStyle w:val="2"/>
        <w:ind w:firstLine="344"/>
      </w:pPr>
    </w:p>
    <w:p w14:paraId="20BC7DB1">
      <w:pPr>
        <w:pStyle w:val="2"/>
        <w:ind w:firstLine="344"/>
      </w:pPr>
    </w:p>
    <w:p w14:paraId="2578670E">
      <w:pPr>
        <w:pStyle w:val="2"/>
        <w:ind w:firstLine="344"/>
      </w:pPr>
    </w:p>
    <w:p w14:paraId="439EDED5">
      <w:pPr>
        <w:pStyle w:val="2"/>
        <w:ind w:firstLine="344"/>
      </w:pPr>
    </w:p>
    <w:p w14:paraId="16CFD9F0">
      <w:pPr>
        <w:pStyle w:val="2"/>
        <w:ind w:firstLine="344"/>
      </w:pPr>
    </w:p>
    <w:p w14:paraId="6E916296">
      <w:pPr>
        <w:pStyle w:val="2"/>
        <w:ind w:firstLine="344"/>
      </w:pPr>
    </w:p>
    <w:p w14:paraId="2AB6B5D6">
      <w:pPr>
        <w:pStyle w:val="2"/>
        <w:ind w:firstLine="344"/>
      </w:pPr>
    </w:p>
    <w:p w14:paraId="239D66ED">
      <w:pPr>
        <w:pStyle w:val="2"/>
        <w:ind w:firstLine="344"/>
      </w:pPr>
    </w:p>
    <w:p w14:paraId="3B52789C">
      <w:pPr>
        <w:pStyle w:val="2"/>
        <w:ind w:firstLine="344"/>
      </w:pPr>
    </w:p>
    <w:p w14:paraId="6EE111A9">
      <w:pPr>
        <w:pStyle w:val="2"/>
        <w:ind w:firstLine="344"/>
      </w:pPr>
    </w:p>
    <w:p w14:paraId="5F82A1D6">
      <w:pPr>
        <w:pStyle w:val="2"/>
        <w:ind w:firstLine="344"/>
      </w:pPr>
    </w:p>
    <w:p w14:paraId="4A051EE2">
      <w:pPr>
        <w:pStyle w:val="2"/>
        <w:ind w:firstLine="344"/>
      </w:pPr>
    </w:p>
    <w:p w14:paraId="187BE9C6"/>
    <w:sectPr>
      <w:footerReference r:id="rId3" w:type="default"/>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0000000000000000000"/>
    <w:charset w:val="86"/>
    <w:family w:val="script"/>
    <w:pitch w:val="default"/>
    <w:sig w:usb0="00000000" w:usb1="00000000"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2312">
    <w:altName w:val="仿宋"/>
    <w:panose1 w:val="00000000000000000000"/>
    <w:charset w:val="86"/>
    <w:family w:val="auto"/>
    <w:pitch w:val="default"/>
    <w:sig w:usb0="00000000" w:usb1="00000000" w:usb2="00000012" w:usb3="00000000" w:csb0="00040001" w:csb1="00000000"/>
  </w:font>
  <w:font w:name="方正公文小标宋">
    <w:altName w:val="宋体"/>
    <w:panose1 w:val="00000000000000000000"/>
    <w:charset w:val="86"/>
    <w:family w:val="auto"/>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F17FD">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767071">
                          <w:pPr>
                            <w:pStyle w:val="8"/>
                          </w:pPr>
                          <w:r>
                            <w:t xml:space="preserve">第 </w:t>
                          </w:r>
                          <w:r>
                            <w:fldChar w:fldCharType="begin"/>
                          </w:r>
                          <w:r>
                            <w:instrText xml:space="preserve"> PAGE  \* MERGEFORMAT </w:instrText>
                          </w:r>
                          <w:r>
                            <w:fldChar w:fldCharType="separate"/>
                          </w:r>
                          <w:r>
                            <w:t>24</w:t>
                          </w:r>
                          <w:r>
                            <w:fldChar w:fldCharType="end"/>
                          </w:r>
                          <w:r>
                            <w:t xml:space="preserve"> 页 共 </w:t>
                          </w:r>
                          <w:r>
                            <w:fldChar w:fldCharType="begin"/>
                          </w:r>
                          <w:r>
                            <w:instrText xml:space="preserve"> NUMPAGES  \* MERGEFORMAT </w:instrText>
                          </w:r>
                          <w:r>
                            <w:fldChar w:fldCharType="separate"/>
                          </w:r>
                          <w:r>
                            <w:t>27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6767071">
                    <w:pPr>
                      <w:pStyle w:val="8"/>
                    </w:pPr>
                    <w:r>
                      <w:t xml:space="preserve">第 </w:t>
                    </w:r>
                    <w:r>
                      <w:fldChar w:fldCharType="begin"/>
                    </w:r>
                    <w:r>
                      <w:instrText xml:space="preserve"> PAGE  \* MERGEFORMAT </w:instrText>
                    </w:r>
                    <w:r>
                      <w:fldChar w:fldCharType="separate"/>
                    </w:r>
                    <w:r>
                      <w:t>24</w:t>
                    </w:r>
                    <w:r>
                      <w:fldChar w:fldCharType="end"/>
                    </w:r>
                    <w:r>
                      <w:t xml:space="preserve"> 页 共 </w:t>
                    </w:r>
                    <w:r>
                      <w:fldChar w:fldCharType="begin"/>
                    </w:r>
                    <w:r>
                      <w:instrText xml:space="preserve"> NUMPAGES  \* MERGEFORMAT </w:instrText>
                    </w:r>
                    <w:r>
                      <w:fldChar w:fldCharType="separate"/>
                    </w:r>
                    <w:r>
                      <w:t>27</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80F74A"/>
    <w:multiLevelType w:val="singleLevel"/>
    <w:tmpl w:val="DD80F74A"/>
    <w:lvl w:ilvl="0" w:tentative="0">
      <w:start w:val="1"/>
      <w:numFmt w:val="decimal"/>
      <w:suff w:val="nothing"/>
      <w:lvlText w:val="%1）"/>
      <w:lvlJc w:val="left"/>
    </w:lvl>
  </w:abstractNum>
  <w:abstractNum w:abstractNumId="1">
    <w:nsid w:val="2B78F0C5"/>
    <w:multiLevelType w:val="singleLevel"/>
    <w:tmpl w:val="2B78F0C5"/>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8"/>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2695859"/>
    <w:rsid w:val="001E74BC"/>
    <w:rsid w:val="004901D4"/>
    <w:rsid w:val="004C540C"/>
    <w:rsid w:val="007458DA"/>
    <w:rsid w:val="0092460C"/>
    <w:rsid w:val="00B36722"/>
    <w:rsid w:val="00E53848"/>
    <w:rsid w:val="00E53D05"/>
    <w:rsid w:val="00F37C59"/>
    <w:rsid w:val="00F80065"/>
    <w:rsid w:val="00F87ECA"/>
    <w:rsid w:val="010B5723"/>
    <w:rsid w:val="01D929A8"/>
    <w:rsid w:val="03D45919"/>
    <w:rsid w:val="052327C8"/>
    <w:rsid w:val="081B3BDB"/>
    <w:rsid w:val="091445E4"/>
    <w:rsid w:val="0B7A0DCF"/>
    <w:rsid w:val="0C126BE9"/>
    <w:rsid w:val="0CC32CB5"/>
    <w:rsid w:val="0D8B5CA5"/>
    <w:rsid w:val="0DCD4B64"/>
    <w:rsid w:val="10323EE1"/>
    <w:rsid w:val="103C0085"/>
    <w:rsid w:val="12246685"/>
    <w:rsid w:val="135618C9"/>
    <w:rsid w:val="140B5688"/>
    <w:rsid w:val="149C463D"/>
    <w:rsid w:val="171034DF"/>
    <w:rsid w:val="195C2E49"/>
    <w:rsid w:val="19E732C2"/>
    <w:rsid w:val="1A6836E2"/>
    <w:rsid w:val="1E1C7B69"/>
    <w:rsid w:val="1F303A5C"/>
    <w:rsid w:val="206800B8"/>
    <w:rsid w:val="24C271F2"/>
    <w:rsid w:val="25565E93"/>
    <w:rsid w:val="26B62374"/>
    <w:rsid w:val="2B702BE4"/>
    <w:rsid w:val="2D2C0C52"/>
    <w:rsid w:val="35C4662E"/>
    <w:rsid w:val="37211C00"/>
    <w:rsid w:val="375FAEE1"/>
    <w:rsid w:val="3786210B"/>
    <w:rsid w:val="380E11B5"/>
    <w:rsid w:val="3BFB1E09"/>
    <w:rsid w:val="3C3B116F"/>
    <w:rsid w:val="3D3D3216"/>
    <w:rsid w:val="3D684A0B"/>
    <w:rsid w:val="3D9C247F"/>
    <w:rsid w:val="42E6744A"/>
    <w:rsid w:val="43A37B4B"/>
    <w:rsid w:val="454A5318"/>
    <w:rsid w:val="459B1AAA"/>
    <w:rsid w:val="4B6C08E9"/>
    <w:rsid w:val="50B82DD6"/>
    <w:rsid w:val="50DD58D6"/>
    <w:rsid w:val="548C158B"/>
    <w:rsid w:val="54F473FF"/>
    <w:rsid w:val="57975564"/>
    <w:rsid w:val="587E103C"/>
    <w:rsid w:val="5A235F34"/>
    <w:rsid w:val="5A556D96"/>
    <w:rsid w:val="5ABD7CE2"/>
    <w:rsid w:val="5C5F7B9D"/>
    <w:rsid w:val="5C7D4F86"/>
    <w:rsid w:val="60F5227A"/>
    <w:rsid w:val="621320E0"/>
    <w:rsid w:val="62695859"/>
    <w:rsid w:val="640D49E3"/>
    <w:rsid w:val="653930C7"/>
    <w:rsid w:val="65E46E7B"/>
    <w:rsid w:val="66862101"/>
    <w:rsid w:val="66FD0664"/>
    <w:rsid w:val="67C20952"/>
    <w:rsid w:val="683F0A35"/>
    <w:rsid w:val="69B72B89"/>
    <w:rsid w:val="69DB27B6"/>
    <w:rsid w:val="6ABF3227"/>
    <w:rsid w:val="6CC835E5"/>
    <w:rsid w:val="702F4391"/>
    <w:rsid w:val="74FF23ED"/>
    <w:rsid w:val="7A432BAD"/>
    <w:rsid w:val="7C5C2629"/>
    <w:rsid w:val="7D9871FF"/>
    <w:rsid w:val="7ECE06A9"/>
    <w:rsid w:val="7EDD2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link w:val="17"/>
    <w:qFormat/>
    <w:uiPriority w:val="0"/>
    <w:pPr>
      <w:keepNext/>
      <w:keepLines/>
      <w:spacing w:before="120" w:after="120"/>
      <w:jc w:val="left"/>
      <w:outlineLvl w:val="0"/>
    </w:pPr>
    <w:rPr>
      <w:rFonts w:ascii="Times New Roman" w:hAnsi="Times New Roman" w:eastAsia="宋体"/>
      <w:b/>
      <w:bCs/>
      <w:kern w:val="44"/>
      <w:sz w:val="28"/>
      <w:szCs w:val="44"/>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line="200" w:lineRule="exact"/>
      <w:ind w:firstLine="301"/>
    </w:pPr>
    <w:rPr>
      <w:rFonts w:ascii="宋体" w:hAnsi="Courier New"/>
      <w:spacing w:val="-4"/>
      <w:sz w:val="18"/>
      <w:szCs w:val="20"/>
    </w:rPr>
  </w:style>
  <w:style w:type="paragraph" w:styleId="5">
    <w:name w:val="annotation text"/>
    <w:basedOn w:val="1"/>
    <w:qFormat/>
    <w:uiPriority w:val="0"/>
    <w:pPr>
      <w:jc w:val="left"/>
    </w:pPr>
  </w:style>
  <w:style w:type="paragraph" w:styleId="6">
    <w:name w:val="Body Text"/>
    <w:basedOn w:val="1"/>
    <w:next w:val="7"/>
    <w:qFormat/>
    <w:uiPriority w:val="0"/>
    <w:pPr>
      <w:autoSpaceDE w:val="0"/>
      <w:autoSpaceDN w:val="0"/>
      <w:spacing w:after="120"/>
      <w:jc w:val="left"/>
    </w:pPr>
    <w:rPr>
      <w:rFonts w:ascii="宋体"/>
      <w:kern w:val="0"/>
      <w:sz w:val="34"/>
      <w:szCs w:val="20"/>
    </w:rPr>
  </w:style>
  <w:style w:type="paragraph" w:styleId="7">
    <w:name w:val="Plain Text"/>
    <w:basedOn w:val="1"/>
    <w:qFormat/>
    <w:uiPriority w:val="0"/>
    <w:rPr>
      <w:rFonts w:ascii="宋体" w:hAnsi="Courier New"/>
      <w:szCs w:val="20"/>
    </w:rPr>
  </w:style>
  <w:style w:type="paragraph" w:styleId="8">
    <w:name w:val="footer"/>
    <w:basedOn w:val="1"/>
    <w:qFormat/>
    <w:uiPriority w:val="0"/>
    <w:pPr>
      <w:tabs>
        <w:tab w:val="center" w:pos="4153"/>
        <w:tab w:val="right" w:pos="8306"/>
      </w:tabs>
      <w:snapToGrid w:val="0"/>
      <w:jc w:val="left"/>
    </w:pPr>
    <w:rPr>
      <w:sz w:val="18"/>
    </w:rPr>
  </w:style>
  <w:style w:type="paragraph" w:styleId="9">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Normal (Web)"/>
    <w:basedOn w:val="1"/>
    <w:qFormat/>
    <w:uiPriority w:val="0"/>
    <w:pPr>
      <w:spacing w:before="100" w:beforeAutospacing="1" w:after="100" w:afterAutospacing="1"/>
      <w:jc w:val="left"/>
    </w:pPr>
    <w:rPr>
      <w:rFonts w:cs="Times New Roman"/>
      <w:kern w:val="0"/>
      <w:sz w:val="24"/>
    </w:rPr>
  </w:style>
  <w:style w:type="paragraph" w:styleId="12">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customStyle="1" w:styleId="1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16">
    <w:name w:val="NormalCharacter"/>
    <w:qFormat/>
    <w:uiPriority w:val="0"/>
  </w:style>
  <w:style w:type="character" w:customStyle="1" w:styleId="17">
    <w:name w:val="标题 1 Char"/>
    <w:basedOn w:val="14"/>
    <w:link w:val="4"/>
    <w:qFormat/>
    <w:uiPriority w:val="0"/>
    <w:rPr>
      <w:rFonts w:cstheme="minorBidi"/>
      <w:b/>
      <w:bCs/>
      <w:kern w:val="44"/>
      <w:sz w:val="28"/>
      <w:szCs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11</Pages>
  <Words>7009</Words>
  <Characters>7352</Characters>
  <Lines>64</Lines>
  <Paragraphs>18</Paragraphs>
  <TotalTime>57</TotalTime>
  <ScaleCrop>false</ScaleCrop>
  <LinksUpToDate>false</LinksUpToDate>
  <CharactersWithSpaces>7487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2026-04-27T08:49:00Z</dcterms:created>
  <dc:creator>shimmer</dc:creator>
  <cp:lastModifiedBy>龍猫圈圈</cp:lastModifiedBy>
  <dcterms:modified xsi:type="dcterms:W3CDTF">2026-05-08T06:58:30Z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74A9C0AE9907456F95A01679F73C7BC5_13</vt:lpwstr>
  </property>
  <property fmtid="{D5CDD505-2E9C-101B-9397-08002B2CF9AE}" pid="4" name="KSOTemplateDocerSaveRecord">
    <vt:lpwstr>eyJoZGlkIjoiZDJiN2I3Y2NlNDkyOWVkYWI4MjYzY2IyNmQ5MzQ2YjIiLCJ1c2VySWQiOiIzNjIyMTYyOTgifQ==</vt:lpwstr>
  </property>
</Properties>
</file>