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565AE3">
      <w:pPr>
        <w:pageBreakBefore w:val="0"/>
        <w:kinsoku/>
        <w:wordWrap/>
        <w:overflowPunct/>
        <w:topLinePunct w:val="0"/>
        <w:bidi w:val="0"/>
        <w:spacing w:line="560" w:lineRule="exact"/>
        <w:rPr>
          <w:rFonts w:hint="eastAsia" w:ascii="仿宋_GB2312" w:hAnsi="仿宋_GB2312" w:eastAsia="仿宋_GB2312" w:cs="仿宋_GB2312"/>
          <w:bCs/>
          <w:color w:val="000000"/>
          <w:sz w:val="30"/>
          <w:szCs w:val="30"/>
        </w:rPr>
      </w:pPr>
      <w:r>
        <w:rPr>
          <w:rFonts w:hint="eastAsia" w:ascii="仿宋_GB2312" w:hAnsi="仿宋_GB2312" w:eastAsia="仿宋_GB2312" w:cs="仿宋_GB2312"/>
          <w:bCs/>
          <w:color w:val="000000"/>
          <w:sz w:val="30"/>
          <w:szCs w:val="30"/>
        </w:rPr>
        <w:t>附件2：</w:t>
      </w:r>
    </w:p>
    <w:p w14:paraId="5A1FE36F">
      <w:pPr>
        <w:pStyle w:val="12"/>
        <w:pageBreakBefore w:val="0"/>
        <w:kinsoku/>
        <w:wordWrap/>
        <w:overflowPunct/>
        <w:topLinePunct w:val="0"/>
        <w:bidi w:val="0"/>
        <w:spacing w:after="0" w:line="560" w:lineRule="exact"/>
        <w:ind w:right="0" w:firstLine="0" w:firstLineChars="0"/>
        <w:jc w:val="center"/>
        <w:rPr>
          <w:rFonts w:hint="eastAsia" w:ascii="方正小标宋简体" w:hAnsi="方正小标宋简体" w:eastAsia="方正小标宋简体" w:cs="方正小标宋简体"/>
          <w:sz w:val="32"/>
          <w:szCs w:val="32"/>
        </w:rPr>
      </w:pPr>
      <w:r>
        <w:rPr>
          <w:rFonts w:hint="eastAsia" w:ascii="方正小标宋简体" w:hAnsi="方正小标宋简体" w:eastAsia="方正小标宋简体" w:cs="方正小标宋简体"/>
          <w:sz w:val="32"/>
          <w:szCs w:val="32"/>
        </w:rPr>
        <w:t>采购项目需求一览表</w:t>
      </w:r>
    </w:p>
    <w:tbl>
      <w:tblPr>
        <w:tblStyle w:val="1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97"/>
        <w:gridCol w:w="750"/>
        <w:gridCol w:w="6507"/>
        <w:gridCol w:w="498"/>
        <w:gridCol w:w="498"/>
        <w:gridCol w:w="1104"/>
      </w:tblGrid>
      <w:tr w14:paraId="51F8E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3ACF10B9">
            <w:pPr>
              <w:pageBreakBefore w:val="0"/>
              <w:kinsoku/>
              <w:wordWrap/>
              <w:overflowPunct/>
              <w:topLinePunct w:val="0"/>
              <w:bidi w:val="0"/>
              <w:spacing w:line="56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序号</w:t>
            </w:r>
          </w:p>
        </w:tc>
        <w:tc>
          <w:tcPr>
            <w:tcW w:w="0" w:type="auto"/>
            <w:tcBorders>
              <w:top w:val="single" w:color="auto" w:sz="4" w:space="0"/>
              <w:left w:val="single" w:color="auto" w:sz="4" w:space="0"/>
              <w:bottom w:val="single" w:color="auto" w:sz="4" w:space="0"/>
              <w:right w:val="single" w:color="auto" w:sz="4" w:space="0"/>
            </w:tcBorders>
            <w:vAlign w:val="center"/>
          </w:tcPr>
          <w:p w14:paraId="734D76B6">
            <w:pPr>
              <w:pageBreakBefore w:val="0"/>
              <w:kinsoku/>
              <w:wordWrap/>
              <w:overflowPunct/>
              <w:topLinePunct w:val="0"/>
              <w:bidi w:val="0"/>
              <w:spacing w:line="56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服务名称</w:t>
            </w:r>
          </w:p>
        </w:tc>
        <w:tc>
          <w:tcPr>
            <w:tcW w:w="0" w:type="auto"/>
            <w:tcBorders>
              <w:top w:val="single" w:color="auto" w:sz="4" w:space="0"/>
              <w:left w:val="single" w:color="auto" w:sz="4" w:space="0"/>
              <w:bottom w:val="single" w:color="auto" w:sz="4" w:space="0"/>
              <w:right w:val="single" w:color="auto" w:sz="4" w:space="0"/>
            </w:tcBorders>
            <w:vAlign w:val="center"/>
          </w:tcPr>
          <w:p w14:paraId="2F7DB4D4">
            <w:pPr>
              <w:pageBreakBefore w:val="0"/>
              <w:kinsoku/>
              <w:wordWrap/>
              <w:overflowPunct/>
              <w:topLinePunct w:val="0"/>
              <w:bidi w:val="0"/>
              <w:spacing w:line="56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服务内容</w:t>
            </w:r>
          </w:p>
        </w:tc>
        <w:tc>
          <w:tcPr>
            <w:tcW w:w="0" w:type="auto"/>
            <w:tcBorders>
              <w:top w:val="single" w:color="auto" w:sz="4" w:space="0"/>
              <w:left w:val="single" w:color="auto" w:sz="4" w:space="0"/>
              <w:bottom w:val="single" w:color="auto" w:sz="4" w:space="0"/>
              <w:right w:val="single" w:color="auto" w:sz="4" w:space="0"/>
            </w:tcBorders>
            <w:vAlign w:val="center"/>
          </w:tcPr>
          <w:p w14:paraId="52652BD7">
            <w:pPr>
              <w:pageBreakBefore w:val="0"/>
              <w:kinsoku/>
              <w:wordWrap/>
              <w:overflowPunct/>
              <w:topLinePunct w:val="0"/>
              <w:bidi w:val="0"/>
              <w:spacing w:line="56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w:t>
            </w:r>
          </w:p>
        </w:tc>
        <w:tc>
          <w:tcPr>
            <w:tcW w:w="0" w:type="auto"/>
            <w:tcBorders>
              <w:top w:val="single" w:color="auto" w:sz="4" w:space="0"/>
              <w:left w:val="single" w:color="auto" w:sz="4" w:space="0"/>
              <w:bottom w:val="single" w:color="auto" w:sz="4" w:space="0"/>
              <w:right w:val="single" w:color="auto" w:sz="4" w:space="0"/>
            </w:tcBorders>
            <w:vAlign w:val="center"/>
          </w:tcPr>
          <w:p w14:paraId="06DC3105">
            <w:pPr>
              <w:pageBreakBefore w:val="0"/>
              <w:kinsoku/>
              <w:wordWrap/>
              <w:overflowPunct/>
              <w:topLinePunct w:val="0"/>
              <w:bidi w:val="0"/>
              <w:spacing w:line="56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数量</w:t>
            </w:r>
          </w:p>
        </w:tc>
        <w:tc>
          <w:tcPr>
            <w:tcW w:w="0" w:type="auto"/>
            <w:tcBorders>
              <w:top w:val="single" w:color="auto" w:sz="4" w:space="0"/>
              <w:left w:val="single" w:color="auto" w:sz="4" w:space="0"/>
              <w:bottom w:val="single" w:color="auto" w:sz="4" w:space="0"/>
              <w:right w:val="single" w:color="auto" w:sz="4" w:space="0"/>
            </w:tcBorders>
            <w:vAlign w:val="center"/>
          </w:tcPr>
          <w:p w14:paraId="02BF9A5E">
            <w:pPr>
              <w:pageBreakBefore w:val="0"/>
              <w:kinsoku/>
              <w:wordWrap/>
              <w:overflowPunct/>
              <w:topLinePunct w:val="0"/>
              <w:bidi w:val="0"/>
              <w:spacing w:line="56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控制单价（元）</w:t>
            </w:r>
          </w:p>
        </w:tc>
      </w:tr>
      <w:tr w14:paraId="2EF75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0749C808">
            <w:pPr>
              <w:pageBreakBefore w:val="0"/>
              <w:kinsoku/>
              <w:wordWrap/>
              <w:overflowPunct/>
              <w:topLinePunct w:val="0"/>
              <w:bidi w:val="0"/>
              <w:spacing w:line="56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0" w:type="auto"/>
            <w:tcBorders>
              <w:top w:val="single" w:color="auto" w:sz="4" w:space="0"/>
              <w:left w:val="single" w:color="auto" w:sz="4" w:space="0"/>
              <w:bottom w:val="single" w:color="auto" w:sz="4" w:space="0"/>
              <w:right w:val="single" w:color="auto" w:sz="4" w:space="0"/>
            </w:tcBorders>
            <w:vAlign w:val="center"/>
          </w:tcPr>
          <w:p w14:paraId="7C97D4B1">
            <w:pPr>
              <w:pageBreakBefore w:val="0"/>
              <w:kinsoku/>
              <w:wordWrap/>
              <w:overflowPunct/>
              <w:topLinePunct w:val="0"/>
              <w:bidi w:val="0"/>
              <w:spacing w:line="56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监控设施设备维保</w:t>
            </w:r>
          </w:p>
        </w:tc>
        <w:tc>
          <w:tcPr>
            <w:tcW w:w="0" w:type="auto"/>
            <w:tcBorders>
              <w:top w:val="single" w:color="auto" w:sz="4" w:space="0"/>
              <w:left w:val="single" w:color="auto" w:sz="4" w:space="0"/>
              <w:bottom w:val="single" w:color="auto" w:sz="4" w:space="0"/>
              <w:right w:val="single" w:color="auto" w:sz="4" w:space="0"/>
            </w:tcBorders>
            <w:vAlign w:val="center"/>
          </w:tcPr>
          <w:p w14:paraId="4C1B92C0">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eastAsia="zh-CN"/>
              </w:rPr>
              <w:t>一、</w:t>
            </w:r>
            <w:r>
              <w:rPr>
                <w:rFonts w:hint="eastAsia" w:ascii="仿宋_GB2312" w:hAnsi="仿宋_GB2312" w:eastAsia="仿宋_GB2312" w:cs="仿宋_GB2312"/>
                <w:b/>
                <w:bCs/>
                <w:sz w:val="24"/>
                <w:szCs w:val="24"/>
              </w:rPr>
              <w:t>维保范围：</w:t>
            </w:r>
          </w:p>
          <w:p w14:paraId="2D9766A5">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南宁市卫生学校相思湖校区、黎塘校区两校区的监控设施设备。</w:t>
            </w:r>
          </w:p>
          <w:p w14:paraId="7CC7D97A">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二、维保服务内容：</w:t>
            </w:r>
          </w:p>
          <w:p w14:paraId="6E5D7FE3">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1.维护保养学校全部监控系统设备。</w:t>
            </w:r>
          </w:p>
          <w:p w14:paraId="44AB63B4">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2.检查设备运行环境，保证环境整洁卫生，设备性能处于良好状态，无缺损、漏项。</w:t>
            </w:r>
          </w:p>
          <w:p w14:paraId="57B03262">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3.检查所有设备的安装位置、运行情况。</w:t>
            </w:r>
          </w:p>
          <w:p w14:paraId="472CFDFB">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4.检查线路使用情况及线路敷设路径、走线方式等。</w:t>
            </w:r>
          </w:p>
          <w:p w14:paraId="2CF968DC">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5.检查线路所有接口、接线柱线路接点是否牢固。</w:t>
            </w:r>
          </w:p>
          <w:p w14:paraId="64CF569B">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6.检查软件使用情况、软件升级情况，并免费提供升级、补丁服务。</w:t>
            </w:r>
          </w:p>
          <w:p w14:paraId="49D7FD38">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三、服务方式：</w:t>
            </w:r>
          </w:p>
          <w:p w14:paraId="08403E31">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每季度进行一次系统巡检，并提供巡检报告，并为整个系统提供备品备件。提供备品备件：各种规格的摄像机、适配电源、配件等进行现场备货，以提高维保质量。设备配置率为：1%，小数位采用只进不舍方式。半球摄像机，配置5台备用；红外一体摄像机，配置5台备用；12V电源适配器，配置20个备用；24V电源适配器，配置10个备用；光纤收发器5个备用；以上备品备件所有权及使用权属于校方，备品备件存放于学校监控室，以便校方人员进行使用登记。</w:t>
            </w:r>
          </w:p>
          <w:p w14:paraId="469630EA">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四、故障诊断和排除：</w:t>
            </w:r>
          </w:p>
          <w:p w14:paraId="638EF46A">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按照故障严重程度定义客户系统故障级别，将根据故障级别分别安排不同响应方案进行故障排除服务。系统故障级别一般分为S-1、S-2、S-3三个级别。</w:t>
            </w:r>
          </w:p>
          <w:p w14:paraId="08D575E8">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五、设备维修：</w:t>
            </w:r>
          </w:p>
          <w:p w14:paraId="6FEA1BD2">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出现故障的设备或零部件、接插件，维保单位负责维修：对于小型常见故障，现场进行设备维护，以最快的速度保证设备运行良好，确保整个系统的正常运行，同时列出免费维修的项目清单，并对清单外的项目收费标准进行逐一明确。(见附件</w:t>
            </w:r>
            <w:r>
              <w:rPr>
                <w:rFonts w:hint="eastAsia" w:ascii="仿宋_GB2312" w:hAnsi="仿宋_GB2312" w:eastAsia="仿宋_GB2312" w:cs="仿宋_GB2312"/>
                <w:sz w:val="24"/>
                <w:szCs w:val="24"/>
                <w:lang w:val="en-US" w:eastAsia="zh-CN"/>
              </w:rPr>
              <w:t>3</w:t>
            </w:r>
            <w:r>
              <w:rPr>
                <w:rFonts w:hint="eastAsia" w:ascii="仿宋_GB2312" w:hAnsi="仿宋_GB2312" w:eastAsia="仿宋_GB2312" w:cs="仿宋_GB2312"/>
                <w:sz w:val="24"/>
                <w:szCs w:val="24"/>
              </w:rPr>
              <w:t>)</w:t>
            </w:r>
          </w:p>
          <w:p w14:paraId="19EA214C">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六、定期系统巡检：</w:t>
            </w:r>
          </w:p>
          <w:p w14:paraId="2BF88BA1">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维保人员定期对系统运行情况进行监测，根据系统反馈的运行情况对运行状态进行评估，全力保障系统处于良好的运行状态。如系统发生故障时现场维护人员根据现场情况进行故障判别，对于现场无法判别的故障立即通知维保公司进行维修。</w:t>
            </w:r>
          </w:p>
          <w:p w14:paraId="17E6013A">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七、由于智能化设备对其所处运行环境要求较高，维保公司的维保人员必须定期对系统运行环境进行保洁和保养(每季度不少于一次),保证系统处于良好的环境中，从而提高系统运行的可靠性和稳定性。</w:t>
            </w:r>
          </w:p>
          <w:p w14:paraId="04F40557">
            <w:pPr>
              <w:keepNext w:val="0"/>
              <w:keepLines w:val="0"/>
              <w:pageBreakBefore w:val="0"/>
              <w:widowControl w:val="0"/>
              <w:kinsoku/>
              <w:wordWrap/>
              <w:overflowPunct/>
              <w:topLinePunct w:val="0"/>
              <w:autoSpaceDE/>
              <w:autoSpaceDN/>
              <w:bidi w:val="0"/>
              <w:adjustRightInd/>
              <w:snapToGrid/>
              <w:spacing w:line="240" w:lineRule="auto"/>
              <w:textAlignment w:val="auto"/>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八、定期维保服务主要包含两个方面：一是定期系统巡检，由维保公司组织巡检人员协同现场工程师进行周期性的定期系统巡检。二是规定现场工程师组织定期系统保养。在一年内不低于四次的专业工程师现场评估，其主要内容 包括：系统整体检测、保养评估、现场工程师的考核。</w:t>
            </w:r>
          </w:p>
        </w:tc>
        <w:tc>
          <w:tcPr>
            <w:tcW w:w="0" w:type="auto"/>
            <w:tcBorders>
              <w:top w:val="single" w:color="auto" w:sz="4" w:space="0"/>
              <w:left w:val="single" w:color="auto" w:sz="4" w:space="0"/>
              <w:bottom w:val="single" w:color="auto" w:sz="4" w:space="0"/>
              <w:right w:val="single" w:color="auto" w:sz="4" w:space="0"/>
            </w:tcBorders>
            <w:vAlign w:val="center"/>
          </w:tcPr>
          <w:p w14:paraId="712D1896">
            <w:pPr>
              <w:pageBreakBefore w:val="0"/>
              <w:kinsoku/>
              <w:wordWrap/>
              <w:overflowPunct/>
              <w:topLinePunct w:val="0"/>
              <w:bidi w:val="0"/>
              <w:spacing w:line="56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项</w:t>
            </w:r>
          </w:p>
        </w:tc>
        <w:tc>
          <w:tcPr>
            <w:tcW w:w="0" w:type="auto"/>
            <w:tcBorders>
              <w:top w:val="single" w:color="auto" w:sz="4" w:space="0"/>
              <w:left w:val="single" w:color="auto" w:sz="4" w:space="0"/>
              <w:bottom w:val="single" w:color="auto" w:sz="4" w:space="0"/>
              <w:right w:val="single" w:color="auto" w:sz="4" w:space="0"/>
            </w:tcBorders>
            <w:vAlign w:val="center"/>
          </w:tcPr>
          <w:p w14:paraId="27D36A81">
            <w:pPr>
              <w:pageBreakBefore w:val="0"/>
              <w:kinsoku/>
              <w:wordWrap/>
              <w:overflowPunct/>
              <w:topLinePunct w:val="0"/>
              <w:bidi w:val="0"/>
              <w:spacing w:line="56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w:t>
            </w:r>
          </w:p>
        </w:tc>
        <w:tc>
          <w:tcPr>
            <w:tcW w:w="0" w:type="auto"/>
            <w:tcBorders>
              <w:top w:val="single" w:color="auto" w:sz="4" w:space="0"/>
              <w:left w:val="single" w:color="auto" w:sz="4" w:space="0"/>
              <w:bottom w:val="single" w:color="auto" w:sz="4" w:space="0"/>
              <w:right w:val="single" w:color="auto" w:sz="4" w:space="0"/>
            </w:tcBorders>
            <w:vAlign w:val="center"/>
          </w:tcPr>
          <w:p w14:paraId="3425F17A">
            <w:pPr>
              <w:pageBreakBefore w:val="0"/>
              <w:kinsoku/>
              <w:wordWrap/>
              <w:overflowPunct/>
              <w:topLinePunct w:val="0"/>
              <w:bidi w:val="0"/>
              <w:spacing w:line="560" w:lineRule="exact"/>
              <w:rPr>
                <w:rFonts w:hint="eastAsia" w:ascii="仿宋_GB2312" w:hAnsi="仿宋_GB2312" w:eastAsia="仿宋_GB2312" w:cs="仿宋_GB2312"/>
                <w:sz w:val="24"/>
                <w:szCs w:val="24"/>
              </w:rPr>
            </w:pPr>
          </w:p>
        </w:tc>
      </w:tr>
      <w:tr w14:paraId="39C8D2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0"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391461D1">
            <w:pPr>
              <w:pageBreakBefore w:val="0"/>
              <w:kinsoku/>
              <w:wordWrap/>
              <w:overflowPunct/>
              <w:topLinePunct w:val="0"/>
              <w:bidi w:val="0"/>
              <w:spacing w:line="56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w:t>
            </w:r>
          </w:p>
        </w:tc>
        <w:tc>
          <w:tcPr>
            <w:tcW w:w="0" w:type="auto"/>
            <w:tcBorders>
              <w:top w:val="single" w:color="auto" w:sz="4" w:space="0"/>
              <w:left w:val="single" w:color="auto" w:sz="4" w:space="0"/>
              <w:bottom w:val="single" w:color="auto" w:sz="4" w:space="0"/>
              <w:right w:val="single" w:color="auto" w:sz="4" w:space="0"/>
            </w:tcBorders>
            <w:vAlign w:val="center"/>
          </w:tcPr>
          <w:p w14:paraId="1B1ECF5E">
            <w:pPr>
              <w:pageBreakBefore w:val="0"/>
              <w:kinsoku/>
              <w:wordWrap/>
              <w:overflowPunct/>
              <w:topLinePunct w:val="0"/>
              <w:bidi w:val="0"/>
              <w:spacing w:line="56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商务条款</w:t>
            </w:r>
          </w:p>
        </w:tc>
        <w:tc>
          <w:tcPr>
            <w:tcW w:w="0" w:type="auto"/>
            <w:tcBorders>
              <w:top w:val="single" w:color="auto" w:sz="4" w:space="0"/>
              <w:left w:val="single" w:color="auto" w:sz="4" w:space="0"/>
              <w:bottom w:val="single" w:color="auto" w:sz="4" w:space="0"/>
              <w:right w:val="single" w:color="auto" w:sz="4" w:space="0"/>
            </w:tcBorders>
            <w:vAlign w:val="center"/>
          </w:tcPr>
          <w:p w14:paraId="6F7B719B">
            <w:pPr>
              <w:keepNext w:val="0"/>
              <w:keepLines w:val="0"/>
              <w:pageBreakBefore w:val="0"/>
              <w:widowControl/>
              <w:kinsoku/>
              <w:wordWrap/>
              <w:overflowPunct/>
              <w:topLinePunct w:val="0"/>
              <w:autoSpaceDE/>
              <w:autoSpaceDN/>
              <w:bidi w:val="0"/>
              <w:adjustRightInd/>
              <w:snapToGrid/>
              <w:spacing w:line="240" w:lineRule="auto"/>
              <w:jc w:val="left"/>
              <w:textAlignment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一、服务时间及地点</w:t>
            </w:r>
          </w:p>
          <w:p w14:paraId="21EE71F5">
            <w:pPr>
              <w:keepNext w:val="0"/>
              <w:keepLines w:val="0"/>
              <w:pageBreakBefore w:val="0"/>
              <w:widowControl/>
              <w:kinsoku/>
              <w:wordWrap/>
              <w:overflowPunct/>
              <w:topLinePunct w:val="0"/>
              <w:autoSpaceDE/>
              <w:autoSpaceDN/>
              <w:bidi w:val="0"/>
              <w:adjustRightInd/>
              <w:snapToGrid/>
              <w:spacing w:line="240" w:lineRule="auto"/>
              <w:jc w:val="left"/>
              <w:textAlignment w:val="center"/>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1.服务时间：服务期1年，自签订合同之日起计算，服务期满后将视履约情况采取重新招标或续签合同。</w:t>
            </w:r>
          </w:p>
          <w:p w14:paraId="083CC6D8">
            <w:pPr>
              <w:pStyle w:val="17"/>
              <w:keepNext w:val="0"/>
              <w:keepLines w:val="0"/>
              <w:pageBreakBefore w:val="0"/>
              <w:kinsoku/>
              <w:wordWrap/>
              <w:overflowPunct/>
              <w:topLinePunct w:val="0"/>
              <w:autoSpaceDE/>
              <w:autoSpaceDN/>
              <w:bidi w:val="0"/>
              <w:adjustRightInd/>
              <w:snapToGrid/>
              <w:spacing w:line="240" w:lineRule="auto"/>
              <w:ind w:firstLine="0" w:firstLineChars="0"/>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2.服务地点：南宁市卫生学校相思湖校区、黎塘校区。</w:t>
            </w:r>
          </w:p>
          <w:p w14:paraId="64B99F98">
            <w:pPr>
              <w:pStyle w:val="17"/>
              <w:keepNext w:val="0"/>
              <w:keepLines w:val="0"/>
              <w:pageBreakBefore w:val="0"/>
              <w:kinsoku/>
              <w:wordWrap/>
              <w:overflowPunct/>
              <w:topLinePunct w:val="0"/>
              <w:autoSpaceDE/>
              <w:autoSpaceDN/>
              <w:bidi w:val="0"/>
              <w:adjustRightInd/>
              <w:snapToGrid/>
              <w:spacing w:line="240" w:lineRule="auto"/>
              <w:ind w:firstLine="0" w:firstLineChars="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二、支付方式</w:t>
            </w:r>
          </w:p>
          <w:p w14:paraId="19682AB5">
            <w:pPr>
              <w:pStyle w:val="17"/>
              <w:keepNext w:val="0"/>
              <w:keepLines w:val="0"/>
              <w:pageBreakBefore w:val="0"/>
              <w:kinsoku/>
              <w:wordWrap/>
              <w:overflowPunct/>
              <w:topLinePunct w:val="0"/>
              <w:autoSpaceDE/>
              <w:autoSpaceDN/>
              <w:bidi w:val="0"/>
              <w:adjustRightInd/>
              <w:snapToGrid/>
              <w:spacing w:line="240" w:lineRule="auto"/>
              <w:ind w:firstLine="0" w:firstLineChars="0"/>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1.采购人按《考核办法》对成交人进行考核，采购人根据考核情况，如有违约金产生的，采购人扣除违约金后向成交人支付。</w:t>
            </w:r>
          </w:p>
          <w:p w14:paraId="15C23F71">
            <w:pPr>
              <w:pStyle w:val="17"/>
              <w:keepNext w:val="0"/>
              <w:keepLines w:val="0"/>
              <w:pageBreakBefore w:val="0"/>
              <w:kinsoku/>
              <w:wordWrap/>
              <w:overflowPunct/>
              <w:topLinePunct w:val="0"/>
              <w:autoSpaceDE/>
              <w:autoSpaceDN/>
              <w:bidi w:val="0"/>
              <w:adjustRightInd/>
              <w:snapToGrid/>
              <w:spacing w:line="240" w:lineRule="auto"/>
              <w:ind w:firstLine="0" w:firstLineChars="0"/>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2.本项目无预付款，每3个月支付一次，共支付4次，采购人每次向成交人支付合同款的25%（成交人开具请款函及合法有效的发票给采购人，采购人在收到请款函及合法有效的发票之日起20个工作日内支付）。</w:t>
            </w:r>
          </w:p>
          <w:p w14:paraId="400BFFA9">
            <w:pPr>
              <w:pStyle w:val="17"/>
              <w:keepNext w:val="0"/>
              <w:keepLines w:val="0"/>
              <w:pageBreakBefore w:val="0"/>
              <w:kinsoku/>
              <w:wordWrap/>
              <w:overflowPunct/>
              <w:topLinePunct w:val="0"/>
              <w:autoSpaceDE/>
              <w:autoSpaceDN/>
              <w:bidi w:val="0"/>
              <w:adjustRightInd/>
              <w:snapToGrid/>
              <w:spacing w:line="240" w:lineRule="auto"/>
              <w:ind w:firstLine="0" w:firstLineChars="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三、售后服务</w:t>
            </w:r>
          </w:p>
          <w:p w14:paraId="74FBE2A1">
            <w:pPr>
              <w:pStyle w:val="17"/>
              <w:keepNext w:val="0"/>
              <w:keepLines w:val="0"/>
              <w:pageBreakBefore w:val="0"/>
              <w:kinsoku/>
              <w:wordWrap/>
              <w:overflowPunct/>
              <w:topLinePunct w:val="0"/>
              <w:autoSpaceDE/>
              <w:autoSpaceDN/>
              <w:bidi w:val="0"/>
              <w:adjustRightInd/>
              <w:snapToGrid/>
              <w:spacing w:line="240" w:lineRule="auto"/>
              <w:ind w:firstLine="0" w:firstLineChars="0"/>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1.服务期/质保期自提供服务至服务验收合格之日止，处理问题响应时间：中标人于接报后2小时内给予响应，24小时内上门提供技术服务。</w:t>
            </w:r>
          </w:p>
          <w:p w14:paraId="0C3C02C7">
            <w:pPr>
              <w:pStyle w:val="17"/>
              <w:keepNext w:val="0"/>
              <w:keepLines w:val="0"/>
              <w:pageBreakBefore w:val="0"/>
              <w:kinsoku/>
              <w:wordWrap/>
              <w:overflowPunct/>
              <w:topLinePunct w:val="0"/>
              <w:autoSpaceDE/>
              <w:autoSpaceDN/>
              <w:bidi w:val="0"/>
              <w:adjustRightInd/>
              <w:snapToGrid/>
              <w:spacing w:line="240" w:lineRule="auto"/>
              <w:ind w:firstLine="0" w:firstLineChars="0"/>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2.提供明确的售后服务机构地点及售后服务联系人、联系电话。</w:t>
            </w:r>
          </w:p>
          <w:p w14:paraId="43666602">
            <w:pPr>
              <w:pStyle w:val="17"/>
              <w:keepNext w:val="0"/>
              <w:keepLines w:val="0"/>
              <w:pageBreakBefore w:val="0"/>
              <w:kinsoku/>
              <w:wordWrap/>
              <w:overflowPunct/>
              <w:topLinePunct w:val="0"/>
              <w:autoSpaceDE/>
              <w:autoSpaceDN/>
              <w:bidi w:val="0"/>
              <w:adjustRightInd/>
              <w:snapToGrid/>
              <w:spacing w:line="240" w:lineRule="auto"/>
              <w:ind w:firstLine="0" w:firstLineChars="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四、报价要求</w:t>
            </w:r>
          </w:p>
          <w:p w14:paraId="29FB700A">
            <w:pPr>
              <w:pStyle w:val="17"/>
              <w:keepNext w:val="0"/>
              <w:keepLines w:val="0"/>
              <w:pageBreakBefore w:val="0"/>
              <w:kinsoku/>
              <w:wordWrap/>
              <w:overflowPunct/>
              <w:topLinePunct w:val="0"/>
              <w:autoSpaceDE/>
              <w:autoSpaceDN/>
              <w:bidi w:val="0"/>
              <w:adjustRightInd/>
              <w:snapToGrid/>
              <w:spacing w:line="240" w:lineRule="auto"/>
              <w:ind w:firstLine="0" w:firstLineChars="0"/>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本项目报价为全包价（含税）。供应商报价包括但不限于货物、专用工具、标准附件备件、运输、保管、安装调试、验收、培训、售后服务、税金等与本项目有关的可预见及不可预见的一切成本和费用的总和，采购人不再为本项目另付其他任何费用。</w:t>
            </w:r>
          </w:p>
          <w:p w14:paraId="57059384">
            <w:pPr>
              <w:pStyle w:val="17"/>
              <w:keepNext w:val="0"/>
              <w:keepLines w:val="0"/>
              <w:pageBreakBefore w:val="0"/>
              <w:kinsoku/>
              <w:wordWrap/>
              <w:overflowPunct/>
              <w:topLinePunct w:val="0"/>
              <w:autoSpaceDE/>
              <w:autoSpaceDN/>
              <w:bidi w:val="0"/>
              <w:adjustRightInd/>
              <w:snapToGrid/>
              <w:spacing w:line="240" w:lineRule="auto"/>
              <w:ind w:firstLine="0" w:firstLineChars="0"/>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2.投标人的投标总价不得超过项目预算总价，否则报价无效。</w:t>
            </w:r>
          </w:p>
          <w:p w14:paraId="78B7C9E4">
            <w:pPr>
              <w:pStyle w:val="17"/>
              <w:keepNext w:val="0"/>
              <w:keepLines w:val="0"/>
              <w:pageBreakBefore w:val="0"/>
              <w:kinsoku/>
              <w:wordWrap/>
              <w:overflowPunct/>
              <w:topLinePunct w:val="0"/>
              <w:autoSpaceDE/>
              <w:autoSpaceDN/>
              <w:bidi w:val="0"/>
              <w:adjustRightInd/>
              <w:snapToGrid/>
              <w:spacing w:line="240" w:lineRule="auto"/>
              <w:ind w:firstLine="0" w:firstLineChars="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五、验收要求</w:t>
            </w:r>
          </w:p>
          <w:p w14:paraId="0673E036">
            <w:pPr>
              <w:pStyle w:val="17"/>
              <w:keepNext w:val="0"/>
              <w:keepLines w:val="0"/>
              <w:pageBreakBefore w:val="0"/>
              <w:kinsoku/>
              <w:wordWrap/>
              <w:overflowPunct/>
              <w:topLinePunct w:val="0"/>
              <w:autoSpaceDE/>
              <w:autoSpaceDN/>
              <w:bidi w:val="0"/>
              <w:adjustRightInd/>
              <w:snapToGrid/>
              <w:spacing w:line="240" w:lineRule="auto"/>
              <w:ind w:firstLine="0" w:firstLineChars="0"/>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1.采购人对成交供应商提交的货物和服务依据采购文件上的技术规格要求和国家有关质量标准进行现场签收，外观、说明书符合采购文件技术要求的，给予签收，不合格的不予签收。</w:t>
            </w:r>
          </w:p>
          <w:p w14:paraId="3B87897C">
            <w:pPr>
              <w:pStyle w:val="17"/>
              <w:keepNext w:val="0"/>
              <w:keepLines w:val="0"/>
              <w:pageBreakBefore w:val="0"/>
              <w:kinsoku/>
              <w:wordWrap/>
              <w:overflowPunct/>
              <w:topLinePunct w:val="0"/>
              <w:autoSpaceDE/>
              <w:autoSpaceDN/>
              <w:bidi w:val="0"/>
              <w:adjustRightInd/>
              <w:snapToGrid/>
              <w:spacing w:line="240" w:lineRule="auto"/>
              <w:ind w:firstLine="0" w:firstLineChars="0"/>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其他未尽事宜应严格参照《关于印发广西壮族自治区政府采购项目履约验收管理办法的通知》[桂财采〔2015〕22号]以及《财政部关于进一步加强政府采购需求和履约验收管理的指导意见》[财库〔2016〕205号]规定执行。</w:t>
            </w:r>
          </w:p>
          <w:p w14:paraId="55C6967C">
            <w:pPr>
              <w:keepNext w:val="0"/>
              <w:keepLines w:val="0"/>
              <w:pageBreakBefore w:val="0"/>
              <w:kinsoku/>
              <w:wordWrap/>
              <w:overflowPunct/>
              <w:topLinePunct w:val="0"/>
              <w:autoSpaceDE/>
              <w:autoSpaceDN/>
              <w:bidi w:val="0"/>
              <w:adjustRightInd/>
              <w:snapToGrid/>
              <w:spacing w:line="240" w:lineRule="auto"/>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3.采购人组织验收，成交供应商必须到场配合，验收合格后双方签署验收合格凭证。</w:t>
            </w:r>
          </w:p>
        </w:tc>
        <w:tc>
          <w:tcPr>
            <w:tcW w:w="0" w:type="auto"/>
            <w:tcBorders>
              <w:top w:val="single" w:color="auto" w:sz="4" w:space="0"/>
              <w:left w:val="single" w:color="auto" w:sz="4" w:space="0"/>
              <w:bottom w:val="single" w:color="auto" w:sz="4" w:space="0"/>
              <w:right w:val="single" w:color="auto" w:sz="4" w:space="0"/>
            </w:tcBorders>
            <w:vAlign w:val="center"/>
          </w:tcPr>
          <w:p w14:paraId="431FAFA2">
            <w:pPr>
              <w:pageBreakBefore w:val="0"/>
              <w:kinsoku/>
              <w:wordWrap/>
              <w:overflowPunct/>
              <w:topLinePunct w:val="0"/>
              <w:bidi w:val="0"/>
              <w:spacing w:line="560" w:lineRule="exact"/>
              <w:jc w:val="center"/>
              <w:rPr>
                <w:rFonts w:hint="eastAsia" w:ascii="仿宋_GB2312" w:hAnsi="仿宋_GB2312" w:eastAsia="仿宋_GB2312" w:cs="仿宋_GB2312"/>
                <w:sz w:val="24"/>
                <w:szCs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EFC153B">
            <w:pPr>
              <w:pageBreakBefore w:val="0"/>
              <w:kinsoku/>
              <w:wordWrap/>
              <w:overflowPunct/>
              <w:topLinePunct w:val="0"/>
              <w:bidi w:val="0"/>
              <w:spacing w:line="560" w:lineRule="exact"/>
              <w:jc w:val="center"/>
              <w:rPr>
                <w:rFonts w:hint="eastAsia" w:ascii="仿宋_GB2312" w:hAnsi="仿宋_GB2312" w:eastAsia="仿宋_GB2312" w:cs="仿宋_GB2312"/>
                <w:sz w:val="24"/>
                <w:szCs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6ABA9D">
            <w:pPr>
              <w:pageBreakBefore w:val="0"/>
              <w:kinsoku/>
              <w:wordWrap/>
              <w:overflowPunct/>
              <w:topLinePunct w:val="0"/>
              <w:bidi w:val="0"/>
              <w:spacing w:line="560" w:lineRule="exact"/>
              <w:jc w:val="center"/>
              <w:rPr>
                <w:rFonts w:hint="eastAsia" w:ascii="仿宋_GB2312" w:hAnsi="仿宋_GB2312" w:eastAsia="仿宋_GB2312" w:cs="仿宋_GB2312"/>
                <w:sz w:val="24"/>
                <w:szCs w:val="24"/>
              </w:rPr>
            </w:pPr>
          </w:p>
        </w:tc>
      </w:tr>
      <w:tr w14:paraId="7FAE64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jc w:val="center"/>
        </w:trPr>
        <w:tc>
          <w:tcPr>
            <w:tcW w:w="0" w:type="auto"/>
            <w:gridSpan w:val="6"/>
            <w:tcBorders>
              <w:top w:val="single" w:color="auto" w:sz="4" w:space="0"/>
              <w:left w:val="single" w:color="auto" w:sz="4" w:space="0"/>
              <w:bottom w:val="single" w:color="auto" w:sz="4" w:space="0"/>
              <w:right w:val="single" w:color="auto" w:sz="4" w:space="0"/>
            </w:tcBorders>
            <w:vAlign w:val="center"/>
          </w:tcPr>
          <w:p w14:paraId="5D675C2D">
            <w:pPr>
              <w:pageBreakBefore w:val="0"/>
              <w:kinsoku/>
              <w:wordWrap/>
              <w:overflowPunct/>
              <w:topLinePunct w:val="0"/>
              <w:bidi w:val="0"/>
              <w:spacing w:line="560" w:lineRule="exac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控制总价（大写）：</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（小写：¥</w:t>
            </w:r>
            <w:r>
              <w:rPr>
                <w:rFonts w:hint="eastAsia" w:ascii="仿宋_GB2312" w:hAnsi="仿宋_GB2312" w:eastAsia="仿宋_GB2312" w:cs="仿宋_GB2312"/>
                <w:sz w:val="24"/>
                <w:szCs w:val="24"/>
                <w:u w:val="single"/>
              </w:rPr>
              <w:t>0.00</w:t>
            </w:r>
            <w:r>
              <w:rPr>
                <w:rFonts w:hint="eastAsia" w:ascii="仿宋_GB2312" w:hAnsi="仿宋_GB2312" w:eastAsia="仿宋_GB2312" w:cs="仿宋_GB2312"/>
                <w:sz w:val="24"/>
                <w:szCs w:val="24"/>
              </w:rPr>
              <w:t xml:space="preserve">）      </w:t>
            </w:r>
          </w:p>
        </w:tc>
      </w:tr>
      <w:tr w14:paraId="62DB2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jc w:val="center"/>
        </w:trPr>
        <w:tc>
          <w:tcPr>
            <w:tcW w:w="0" w:type="auto"/>
            <w:gridSpan w:val="6"/>
            <w:tcBorders>
              <w:top w:val="single" w:color="auto" w:sz="4" w:space="0"/>
              <w:left w:val="single" w:color="auto" w:sz="4" w:space="0"/>
              <w:bottom w:val="single" w:color="auto" w:sz="4" w:space="0"/>
              <w:right w:val="single" w:color="auto" w:sz="4" w:space="0"/>
            </w:tcBorders>
            <w:vAlign w:val="center"/>
          </w:tcPr>
          <w:p w14:paraId="66DD0BEC">
            <w:pPr>
              <w:pageBreakBefore w:val="0"/>
              <w:kinsoku/>
              <w:wordWrap/>
              <w:overflowPunct/>
              <w:topLinePunct w:val="0"/>
              <w:bidi w:val="0"/>
              <w:spacing w:line="560" w:lineRule="exact"/>
              <w:ind w:firstLine="3373" w:firstLineChars="14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kern w:val="0"/>
                <w:sz w:val="24"/>
                <w:szCs w:val="24"/>
                <w:lang w:bidi="ar"/>
              </w:rPr>
              <w:t>商务条款</w:t>
            </w:r>
          </w:p>
        </w:tc>
      </w:tr>
      <w:tr w14:paraId="4A6339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jc w:val="center"/>
        </w:trPr>
        <w:tc>
          <w:tcPr>
            <w:tcW w:w="0" w:type="auto"/>
            <w:gridSpan w:val="6"/>
            <w:tcBorders>
              <w:top w:val="single" w:color="auto" w:sz="4" w:space="0"/>
              <w:left w:val="single" w:color="auto" w:sz="4" w:space="0"/>
              <w:bottom w:val="single" w:color="auto" w:sz="4" w:space="0"/>
              <w:right w:val="single" w:color="auto" w:sz="4" w:space="0"/>
            </w:tcBorders>
            <w:vAlign w:val="center"/>
          </w:tcPr>
          <w:p w14:paraId="264A67C6">
            <w:pPr>
              <w:keepNext w:val="0"/>
              <w:keepLines w:val="0"/>
              <w:pageBreakBefore w:val="0"/>
              <w:widowControl/>
              <w:kinsoku/>
              <w:wordWrap/>
              <w:overflowPunct/>
              <w:topLinePunct w:val="0"/>
              <w:bidi w:val="0"/>
              <w:adjustRightInd/>
              <w:spacing w:line="240" w:lineRule="auto"/>
              <w:textAlignment w:val="center"/>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一、服务时间及地点</w:t>
            </w:r>
          </w:p>
          <w:p w14:paraId="7395E094">
            <w:pPr>
              <w:keepNext w:val="0"/>
              <w:keepLines w:val="0"/>
              <w:pageBreakBefore w:val="0"/>
              <w:widowControl/>
              <w:kinsoku/>
              <w:wordWrap/>
              <w:overflowPunct/>
              <w:topLinePunct w:val="0"/>
              <w:bidi w:val="0"/>
              <w:adjustRightInd/>
              <w:spacing w:line="240" w:lineRule="auto"/>
              <w:textAlignment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1.服务时间：服务期1年，具体年限按照双方协商确定，自签订合同之日起计算，服务期满后将视履约情况采取重新招标或续签合同。</w:t>
            </w:r>
          </w:p>
          <w:p w14:paraId="526302E0">
            <w:pPr>
              <w:keepNext w:val="0"/>
              <w:keepLines w:val="0"/>
              <w:pageBreakBefore w:val="0"/>
              <w:widowControl/>
              <w:kinsoku/>
              <w:wordWrap/>
              <w:overflowPunct/>
              <w:topLinePunct w:val="0"/>
              <w:bidi w:val="0"/>
              <w:adjustRightInd/>
              <w:spacing w:line="240" w:lineRule="auto"/>
              <w:textAlignment w:val="center"/>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2.服务地点：南宁市卫生学校相思湖校区、黎塘校区。</w:t>
            </w:r>
          </w:p>
          <w:p w14:paraId="0244E998">
            <w:pPr>
              <w:pStyle w:val="12"/>
              <w:keepNext w:val="0"/>
              <w:keepLines w:val="0"/>
              <w:pageBreakBefore w:val="0"/>
              <w:kinsoku/>
              <w:wordWrap/>
              <w:overflowPunct/>
              <w:topLinePunct w:val="0"/>
              <w:bidi w:val="0"/>
              <w:adjustRightInd/>
              <w:spacing w:line="240" w:lineRule="auto"/>
              <w:ind w:firstLine="0" w:firstLineChars="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二、支付方式</w:t>
            </w:r>
          </w:p>
          <w:p w14:paraId="25B6C6AF">
            <w:pPr>
              <w:pStyle w:val="12"/>
              <w:keepNext w:val="0"/>
              <w:keepLines w:val="0"/>
              <w:pageBreakBefore w:val="0"/>
              <w:kinsoku/>
              <w:wordWrap/>
              <w:overflowPunct/>
              <w:topLinePunct w:val="0"/>
              <w:bidi w:val="0"/>
              <w:adjustRightInd/>
              <w:spacing w:line="240" w:lineRule="auto"/>
              <w:ind w:firstLine="0" w:firstLineChars="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1.采购人按《考核办法》对成交人进行考核，采购人根据考核情况，如有违约金产生的，采购人扣除违约金后向成交人支付。</w:t>
            </w:r>
          </w:p>
          <w:p w14:paraId="57A742FB">
            <w:pPr>
              <w:pStyle w:val="12"/>
              <w:keepNext w:val="0"/>
              <w:keepLines w:val="0"/>
              <w:pageBreakBefore w:val="0"/>
              <w:kinsoku/>
              <w:wordWrap/>
              <w:overflowPunct/>
              <w:topLinePunct w:val="0"/>
              <w:bidi w:val="0"/>
              <w:adjustRightInd/>
              <w:spacing w:line="240" w:lineRule="auto"/>
              <w:ind w:firstLine="0" w:firstLineChars="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2.本项目无预付款，每3个月支付一次，共支付4次，采购人每次向成交人支付合同款的25%（成交人开具请款函及合法有效的发票给采购人，采购人在收到请款函及合法有效的发票之日起即财政批复20个工作日内支付）。</w:t>
            </w:r>
          </w:p>
          <w:p w14:paraId="4332DFA3">
            <w:pPr>
              <w:pStyle w:val="13"/>
              <w:keepNext w:val="0"/>
              <w:keepLines w:val="0"/>
              <w:pageBreakBefore w:val="0"/>
              <w:kinsoku/>
              <w:wordWrap/>
              <w:overflowPunct/>
              <w:topLinePunct w:val="0"/>
              <w:bidi w:val="0"/>
              <w:adjustRightInd/>
              <w:spacing w:after="0" w:line="240" w:lineRule="auto"/>
              <w:ind w:firstLine="0" w:firstLineChars="0"/>
              <w:rPr>
                <w:rFonts w:hint="eastAsia" w:ascii="仿宋_GB2312" w:hAnsi="仿宋_GB2312" w:eastAsia="仿宋_GB2312" w:cs="仿宋_GB2312"/>
                <w:b/>
                <w:spacing w:val="0"/>
                <w:sz w:val="24"/>
                <w:szCs w:val="24"/>
              </w:rPr>
            </w:pPr>
            <w:r>
              <w:rPr>
                <w:rFonts w:hint="eastAsia" w:ascii="仿宋_GB2312" w:hAnsi="仿宋_GB2312" w:eastAsia="仿宋_GB2312" w:cs="仿宋_GB2312"/>
                <w:b/>
                <w:spacing w:val="0"/>
                <w:sz w:val="24"/>
                <w:szCs w:val="24"/>
              </w:rPr>
              <w:t>三、售后服务</w:t>
            </w:r>
          </w:p>
          <w:p w14:paraId="595ECB43">
            <w:pPr>
              <w:pStyle w:val="13"/>
              <w:keepNext w:val="0"/>
              <w:keepLines w:val="0"/>
              <w:pageBreakBefore w:val="0"/>
              <w:kinsoku/>
              <w:wordWrap/>
              <w:overflowPunct/>
              <w:topLinePunct w:val="0"/>
              <w:bidi w:val="0"/>
              <w:adjustRightInd/>
              <w:spacing w:after="0" w:line="240" w:lineRule="auto"/>
              <w:ind w:firstLine="0" w:firstLineChars="0"/>
              <w:rPr>
                <w:rFonts w:hint="eastAsia" w:ascii="仿宋_GB2312" w:hAnsi="仿宋_GB2312" w:eastAsia="仿宋_GB2312" w:cs="仿宋_GB2312"/>
                <w:spacing w:val="0"/>
                <w:sz w:val="24"/>
                <w:szCs w:val="24"/>
              </w:rPr>
            </w:pPr>
            <w:r>
              <w:rPr>
                <w:rFonts w:hint="eastAsia" w:ascii="仿宋_GB2312" w:hAnsi="仿宋_GB2312" w:eastAsia="仿宋_GB2312" w:cs="仿宋_GB2312"/>
                <w:spacing w:val="0"/>
                <w:sz w:val="24"/>
                <w:szCs w:val="24"/>
              </w:rPr>
              <w:t>1.服务期/质保期自提供服务至服务验收合格之日止，处理问题响应时间：中标人于接报后2小时内给予响应，24小时内上门提供技术服务。</w:t>
            </w:r>
          </w:p>
          <w:p w14:paraId="5B984C23">
            <w:pPr>
              <w:pStyle w:val="13"/>
              <w:keepNext w:val="0"/>
              <w:keepLines w:val="0"/>
              <w:pageBreakBefore w:val="0"/>
              <w:kinsoku/>
              <w:wordWrap/>
              <w:overflowPunct/>
              <w:topLinePunct w:val="0"/>
              <w:bidi w:val="0"/>
              <w:adjustRightInd/>
              <w:spacing w:after="0" w:line="240" w:lineRule="auto"/>
              <w:ind w:firstLine="0" w:firstLineChars="0"/>
              <w:rPr>
                <w:rFonts w:hint="eastAsia" w:ascii="仿宋_GB2312" w:hAnsi="仿宋_GB2312" w:eastAsia="仿宋_GB2312" w:cs="仿宋_GB2312"/>
                <w:spacing w:val="0"/>
                <w:sz w:val="24"/>
                <w:szCs w:val="24"/>
              </w:rPr>
            </w:pPr>
            <w:r>
              <w:rPr>
                <w:rFonts w:hint="eastAsia" w:ascii="仿宋_GB2312" w:hAnsi="仿宋_GB2312" w:eastAsia="仿宋_GB2312" w:cs="仿宋_GB2312"/>
                <w:sz w:val="24"/>
                <w:szCs w:val="24"/>
              </w:rPr>
              <w:t>2.提供明确的售后服务机构地点及售后服务联系人、联系电话。</w:t>
            </w:r>
          </w:p>
          <w:p w14:paraId="69CABC01">
            <w:pPr>
              <w:pStyle w:val="13"/>
              <w:keepNext w:val="0"/>
              <w:keepLines w:val="0"/>
              <w:pageBreakBefore w:val="0"/>
              <w:kinsoku/>
              <w:wordWrap/>
              <w:overflowPunct/>
              <w:topLinePunct w:val="0"/>
              <w:bidi w:val="0"/>
              <w:adjustRightInd/>
              <w:spacing w:after="0" w:line="240" w:lineRule="auto"/>
              <w:ind w:firstLine="0" w:firstLineChars="0"/>
              <w:rPr>
                <w:rFonts w:hint="eastAsia" w:ascii="仿宋_GB2312" w:hAnsi="仿宋_GB2312" w:eastAsia="仿宋_GB2312" w:cs="仿宋_GB2312"/>
                <w:b/>
                <w:spacing w:val="0"/>
                <w:sz w:val="24"/>
                <w:szCs w:val="24"/>
              </w:rPr>
            </w:pPr>
            <w:r>
              <w:rPr>
                <w:rFonts w:hint="eastAsia" w:ascii="仿宋_GB2312" w:hAnsi="仿宋_GB2312" w:eastAsia="仿宋_GB2312" w:cs="仿宋_GB2312"/>
                <w:b/>
                <w:spacing w:val="0"/>
                <w:sz w:val="24"/>
                <w:szCs w:val="24"/>
              </w:rPr>
              <w:t>四、报价要求</w:t>
            </w:r>
          </w:p>
          <w:p w14:paraId="4E54DB97">
            <w:pPr>
              <w:pStyle w:val="13"/>
              <w:keepNext w:val="0"/>
              <w:keepLines w:val="0"/>
              <w:pageBreakBefore w:val="0"/>
              <w:kinsoku/>
              <w:wordWrap/>
              <w:overflowPunct/>
              <w:topLinePunct w:val="0"/>
              <w:bidi w:val="0"/>
              <w:adjustRightInd/>
              <w:spacing w:after="0" w:line="240" w:lineRule="auto"/>
              <w:ind w:firstLine="0" w:firstLineChars="0"/>
              <w:rPr>
                <w:rFonts w:hint="eastAsia" w:ascii="仿宋_GB2312" w:hAnsi="仿宋_GB2312" w:eastAsia="仿宋_GB2312" w:cs="仿宋_GB2312"/>
                <w:spacing w:val="0"/>
                <w:sz w:val="24"/>
                <w:szCs w:val="24"/>
              </w:rPr>
            </w:pPr>
            <w:r>
              <w:rPr>
                <w:rFonts w:hint="eastAsia" w:ascii="仿宋_GB2312" w:hAnsi="仿宋_GB2312" w:eastAsia="仿宋_GB2312" w:cs="仿宋_GB2312"/>
                <w:spacing w:val="0"/>
                <w:sz w:val="24"/>
                <w:szCs w:val="24"/>
              </w:rPr>
              <w:t>1.本项目报价为全包价（含税）。供应商报价包括但不限于货物、专用工具、标准附件备件、运输、保管、安装调试、验收、培训、售后服务、税金等与本项目有关的可预见及不可预见的一切成本和费用的总和，采购人不再为本项目另付其他任何费用。</w:t>
            </w:r>
          </w:p>
          <w:p w14:paraId="44E1D5F7">
            <w:pPr>
              <w:pStyle w:val="13"/>
              <w:keepNext w:val="0"/>
              <w:keepLines w:val="0"/>
              <w:pageBreakBefore w:val="0"/>
              <w:kinsoku/>
              <w:wordWrap/>
              <w:overflowPunct/>
              <w:topLinePunct w:val="0"/>
              <w:bidi w:val="0"/>
              <w:adjustRightInd/>
              <w:spacing w:after="0" w:line="240" w:lineRule="auto"/>
              <w:ind w:firstLine="0" w:firstLineChars="0"/>
              <w:rPr>
                <w:rFonts w:hint="eastAsia" w:ascii="仿宋_GB2312" w:hAnsi="仿宋_GB2312" w:eastAsia="仿宋_GB2312" w:cs="仿宋_GB2312"/>
                <w:spacing w:val="0"/>
                <w:sz w:val="24"/>
                <w:szCs w:val="24"/>
              </w:rPr>
            </w:pPr>
            <w:r>
              <w:rPr>
                <w:rFonts w:hint="eastAsia" w:ascii="仿宋_GB2312" w:hAnsi="仿宋_GB2312" w:eastAsia="仿宋_GB2312" w:cs="仿宋_GB2312"/>
                <w:spacing w:val="0"/>
                <w:sz w:val="24"/>
                <w:szCs w:val="24"/>
              </w:rPr>
              <w:t>2.投标人的投标总价不得超过项目预算总价，否则报价无效。</w:t>
            </w:r>
          </w:p>
          <w:p w14:paraId="6C491173">
            <w:pPr>
              <w:pStyle w:val="12"/>
              <w:keepNext w:val="0"/>
              <w:keepLines w:val="0"/>
              <w:pageBreakBefore w:val="0"/>
              <w:kinsoku/>
              <w:wordWrap/>
              <w:overflowPunct/>
              <w:topLinePunct w:val="0"/>
              <w:bidi w:val="0"/>
              <w:adjustRightInd/>
              <w:spacing w:line="240" w:lineRule="auto"/>
              <w:ind w:firstLine="0" w:firstLineChars="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五、验收要求</w:t>
            </w:r>
          </w:p>
          <w:p w14:paraId="08362F46">
            <w:pPr>
              <w:pStyle w:val="12"/>
              <w:keepNext w:val="0"/>
              <w:keepLines w:val="0"/>
              <w:pageBreakBefore w:val="0"/>
              <w:kinsoku/>
              <w:wordWrap/>
              <w:overflowPunct/>
              <w:topLinePunct w:val="0"/>
              <w:bidi w:val="0"/>
              <w:adjustRightInd/>
              <w:spacing w:line="240" w:lineRule="auto"/>
              <w:ind w:firstLine="0" w:firstLineChars="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1.采购人对成交供应商提交的货物和服务依据采购文件上的技术规格要求和国家有关质量标准进行现场签收，外观、说明书符合采购文件技术要求的，给予签收，不合格的不予签收。</w:t>
            </w:r>
          </w:p>
          <w:p w14:paraId="75C9A9D8">
            <w:pPr>
              <w:pStyle w:val="12"/>
              <w:keepNext w:val="0"/>
              <w:keepLines w:val="0"/>
              <w:pageBreakBefore w:val="0"/>
              <w:kinsoku/>
              <w:wordWrap/>
              <w:overflowPunct/>
              <w:topLinePunct w:val="0"/>
              <w:bidi w:val="0"/>
              <w:adjustRightInd/>
              <w:spacing w:line="240" w:lineRule="auto"/>
              <w:ind w:firstLine="0" w:firstLineChars="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2.其他未尽事宜应严格参照《关于印发广西壮族自治区政府采购项目履约验收管理办法的通知》[桂财采〔2015〕22号]以及《财政部关于进一步加强政府采购需求和履约验收管理的指导意见》[财库〔2016〕205号]规定执行。</w:t>
            </w:r>
          </w:p>
          <w:p w14:paraId="3D58B88D">
            <w:pPr>
              <w:keepNext w:val="0"/>
              <w:keepLines w:val="0"/>
              <w:pageBreakBefore w:val="0"/>
              <w:kinsoku/>
              <w:wordWrap/>
              <w:overflowPunct/>
              <w:topLinePunct w:val="0"/>
              <w:bidi w:val="0"/>
              <w:adjustRightInd/>
              <w:spacing w:line="240" w:lineRule="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3.采购人组织验收，成交供应商必须到场配合，验收合格后双方签署验收合格凭证。</w:t>
            </w:r>
          </w:p>
        </w:tc>
      </w:tr>
    </w:tbl>
    <w:p w14:paraId="787F17A0">
      <w:pPr>
        <w:pageBreakBefore w:val="0"/>
        <w:kinsoku/>
        <w:wordWrap/>
        <w:overflowPunct/>
        <w:topLinePunct w:val="0"/>
        <w:bidi w:val="0"/>
        <w:spacing w:line="560" w:lineRule="exact"/>
        <w:rPr>
          <w:rFonts w:ascii="仿宋" w:hAnsi="仿宋" w:eastAsia="仿宋" w:cs="仿宋"/>
          <w:b/>
          <w:bCs/>
          <w:sz w:val="30"/>
          <w:szCs w:val="30"/>
        </w:rPr>
      </w:pPr>
    </w:p>
    <w:p w14:paraId="22475B0C">
      <w:pPr>
        <w:pStyle w:val="2"/>
        <w:rPr>
          <w:rFonts w:ascii="仿宋" w:hAnsi="仿宋" w:eastAsia="仿宋" w:cs="仿宋"/>
          <w:b/>
          <w:bCs/>
          <w:sz w:val="30"/>
          <w:szCs w:val="30"/>
        </w:rPr>
      </w:pPr>
    </w:p>
    <w:p w14:paraId="7C4A7E1E">
      <w:pPr>
        <w:pStyle w:val="2"/>
        <w:rPr>
          <w:rFonts w:ascii="仿宋" w:hAnsi="仿宋" w:eastAsia="仿宋" w:cs="仿宋"/>
          <w:b/>
          <w:bCs/>
          <w:sz w:val="30"/>
          <w:szCs w:val="30"/>
        </w:rPr>
      </w:pPr>
    </w:p>
    <w:p w14:paraId="0BE216CF">
      <w:pPr>
        <w:pStyle w:val="2"/>
        <w:rPr>
          <w:rFonts w:ascii="仿宋" w:hAnsi="仿宋" w:eastAsia="仿宋" w:cs="仿宋"/>
          <w:b/>
          <w:bCs/>
          <w:sz w:val="30"/>
          <w:szCs w:val="30"/>
        </w:rPr>
      </w:pPr>
    </w:p>
    <w:p w14:paraId="0295C4E0">
      <w:pPr>
        <w:pStyle w:val="2"/>
        <w:rPr>
          <w:rFonts w:ascii="仿宋" w:hAnsi="仿宋" w:eastAsia="仿宋" w:cs="仿宋"/>
          <w:b/>
          <w:bCs/>
          <w:sz w:val="30"/>
          <w:szCs w:val="30"/>
        </w:rPr>
      </w:pPr>
    </w:p>
    <w:p w14:paraId="76981C18">
      <w:pPr>
        <w:pStyle w:val="2"/>
        <w:rPr>
          <w:rFonts w:ascii="仿宋" w:hAnsi="仿宋" w:eastAsia="仿宋" w:cs="仿宋"/>
          <w:b/>
          <w:bCs/>
          <w:sz w:val="30"/>
          <w:szCs w:val="30"/>
        </w:rPr>
      </w:pPr>
    </w:p>
    <w:p w14:paraId="3AB64008">
      <w:pPr>
        <w:pStyle w:val="2"/>
        <w:rPr>
          <w:rFonts w:ascii="仿宋" w:hAnsi="仿宋" w:eastAsia="仿宋" w:cs="仿宋"/>
          <w:b/>
          <w:bCs/>
          <w:sz w:val="30"/>
          <w:szCs w:val="30"/>
        </w:rPr>
      </w:pPr>
    </w:p>
    <w:p w14:paraId="6B96A54F">
      <w:pPr>
        <w:pStyle w:val="2"/>
        <w:rPr>
          <w:rFonts w:ascii="仿宋" w:hAnsi="仿宋" w:eastAsia="仿宋" w:cs="仿宋"/>
          <w:b/>
          <w:bCs/>
          <w:sz w:val="30"/>
          <w:szCs w:val="30"/>
        </w:rPr>
      </w:pPr>
    </w:p>
    <w:p w14:paraId="1FE68668">
      <w:pPr>
        <w:pageBreakBefore w:val="0"/>
        <w:widowControl/>
        <w:kinsoku/>
        <w:wordWrap/>
        <w:overflowPunct/>
        <w:topLinePunct w:val="0"/>
        <w:bidi w:val="0"/>
        <w:spacing w:line="560" w:lineRule="exact"/>
        <w:jc w:val="left"/>
        <w:rPr>
          <w:rFonts w:hint="eastAsia" w:ascii="仿宋_GB2312" w:hAnsi="仿宋_GB2312" w:eastAsia="仿宋_GB2312" w:cs="仿宋_GB2312"/>
          <w:color w:val="000000"/>
          <w:kern w:val="0"/>
          <w:sz w:val="24"/>
          <w:szCs w:val="24"/>
        </w:rPr>
      </w:pPr>
      <w:bookmarkStart w:id="0" w:name="_GoBack"/>
      <w:bookmarkEnd w:id="0"/>
    </w:p>
    <w:sectPr>
      <w:footerReference r:id="rId5" w:type="default"/>
      <w:pgSz w:w="11906" w:h="16838"/>
      <w:pgMar w:top="1134" w:right="1134" w:bottom="1134" w:left="1134"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仿宋_GBK">
    <w:altName w:val="Arial Unicode MS"/>
    <w:panose1 w:val="00000000000000000000"/>
    <w:charset w:val="86"/>
    <w:family w:val="script"/>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仿宋_GB2312">
    <w:altName w:val="仿宋"/>
    <w:panose1 w:val="02000000000000000000"/>
    <w:charset w:val="86"/>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083CD6">
    <w:pPr>
      <w:pStyle w:val="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03C2496">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12</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703C2496">
                    <w:pPr>
                      <w:pStyle w:val="9"/>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12</w:t>
                    </w:r>
                    <w:r>
                      <w:fldChar w:fldCharType="end"/>
                    </w:r>
                    <w:r>
                      <w:t xml:space="preserve"> 页</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8"/>
  <w:embedSystemFonts/>
  <w:bordersDoNotSurroundHeader w:val="1"/>
  <w:bordersDoNotSurroundFooter w:val="1"/>
  <w:documentProtection w:enforcement="0"/>
  <w:defaultTabStop w:val="420"/>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62695859"/>
    <w:rsid w:val="00086704"/>
    <w:rsid w:val="0014418F"/>
    <w:rsid w:val="00220A69"/>
    <w:rsid w:val="00430882"/>
    <w:rsid w:val="00433329"/>
    <w:rsid w:val="004901D4"/>
    <w:rsid w:val="0050363F"/>
    <w:rsid w:val="005A0370"/>
    <w:rsid w:val="006B155A"/>
    <w:rsid w:val="00722D1A"/>
    <w:rsid w:val="0074362F"/>
    <w:rsid w:val="00812219"/>
    <w:rsid w:val="00821FBE"/>
    <w:rsid w:val="00877FB2"/>
    <w:rsid w:val="009024AE"/>
    <w:rsid w:val="0096652A"/>
    <w:rsid w:val="00986333"/>
    <w:rsid w:val="009E0AEE"/>
    <w:rsid w:val="00A14325"/>
    <w:rsid w:val="00A216F5"/>
    <w:rsid w:val="00A93426"/>
    <w:rsid w:val="00CE5F86"/>
    <w:rsid w:val="00D6232E"/>
    <w:rsid w:val="00D90E7A"/>
    <w:rsid w:val="00E34FC4"/>
    <w:rsid w:val="00EE22FE"/>
    <w:rsid w:val="010B5723"/>
    <w:rsid w:val="01D929A8"/>
    <w:rsid w:val="03D45919"/>
    <w:rsid w:val="081B3BDB"/>
    <w:rsid w:val="0C126BE9"/>
    <w:rsid w:val="0CC32CB5"/>
    <w:rsid w:val="0D8B5CA5"/>
    <w:rsid w:val="0E564770"/>
    <w:rsid w:val="10323EE1"/>
    <w:rsid w:val="103C0085"/>
    <w:rsid w:val="140B5688"/>
    <w:rsid w:val="149C463D"/>
    <w:rsid w:val="171034DF"/>
    <w:rsid w:val="195C2E49"/>
    <w:rsid w:val="1A6836E2"/>
    <w:rsid w:val="1E1C7B69"/>
    <w:rsid w:val="1F303A5C"/>
    <w:rsid w:val="24C271F2"/>
    <w:rsid w:val="26B62374"/>
    <w:rsid w:val="27D97F6F"/>
    <w:rsid w:val="2B702BE4"/>
    <w:rsid w:val="35411A85"/>
    <w:rsid w:val="35C4662E"/>
    <w:rsid w:val="375FAEE1"/>
    <w:rsid w:val="3786210B"/>
    <w:rsid w:val="380E11B5"/>
    <w:rsid w:val="3BFB1E09"/>
    <w:rsid w:val="3C3B116F"/>
    <w:rsid w:val="3D3D3216"/>
    <w:rsid w:val="3D684A0B"/>
    <w:rsid w:val="3D9C247F"/>
    <w:rsid w:val="42E6744A"/>
    <w:rsid w:val="43A37B4B"/>
    <w:rsid w:val="454A5318"/>
    <w:rsid w:val="459B1AAA"/>
    <w:rsid w:val="46126E1D"/>
    <w:rsid w:val="50B82DD6"/>
    <w:rsid w:val="548C158B"/>
    <w:rsid w:val="54F473FF"/>
    <w:rsid w:val="57975564"/>
    <w:rsid w:val="5A235F34"/>
    <w:rsid w:val="5A556D96"/>
    <w:rsid w:val="5ABD7CE2"/>
    <w:rsid w:val="5C5F7B9D"/>
    <w:rsid w:val="5C7D4F86"/>
    <w:rsid w:val="5CDB3B3D"/>
    <w:rsid w:val="60F5227A"/>
    <w:rsid w:val="60FC34AC"/>
    <w:rsid w:val="621320E0"/>
    <w:rsid w:val="62695859"/>
    <w:rsid w:val="640D49E3"/>
    <w:rsid w:val="653930C7"/>
    <w:rsid w:val="66862101"/>
    <w:rsid w:val="66FD0664"/>
    <w:rsid w:val="67C20952"/>
    <w:rsid w:val="683F0A35"/>
    <w:rsid w:val="69B72B89"/>
    <w:rsid w:val="69DB27B6"/>
    <w:rsid w:val="6ABF3227"/>
    <w:rsid w:val="6CC835E5"/>
    <w:rsid w:val="702F4391"/>
    <w:rsid w:val="74FF23ED"/>
    <w:rsid w:val="7A432BAD"/>
    <w:rsid w:val="7C5C2629"/>
    <w:rsid w:val="7D9871FF"/>
    <w:rsid w:val="7ECE06A9"/>
    <w:rsid w:val="7EDD25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78" w:lineRule="auto"/>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link w:val="18"/>
    <w:qFormat/>
    <w:uiPriority w:val="0"/>
    <w:pPr>
      <w:keepNext/>
      <w:keepLines/>
      <w:spacing w:before="120" w:after="120" w:line="240" w:lineRule="auto"/>
      <w:jc w:val="left"/>
      <w:outlineLvl w:val="0"/>
    </w:pPr>
    <w:rPr>
      <w:rFonts w:ascii="Times New Roman" w:hAnsi="Times New Roman" w:eastAsia="宋体"/>
      <w:b/>
      <w:bCs/>
      <w:kern w:val="44"/>
      <w:sz w:val="28"/>
      <w:szCs w:val="44"/>
    </w:rPr>
  </w:style>
  <w:style w:type="character" w:default="1" w:styleId="15">
    <w:name w:val="Default Paragraph Font"/>
    <w:semiHidden/>
    <w:unhideWhenUsed/>
    <w:qFormat/>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spacing w:after="160" w:line="278" w:lineRule="auto"/>
    </w:pPr>
    <w:rPr>
      <w:rFonts w:ascii="Times New Roman" w:hAnsi="Times New Roman" w:eastAsia="宋体" w:cs="Times New Roman"/>
      <w:color w:val="000000"/>
      <w:sz w:val="24"/>
      <w:szCs w:val="24"/>
      <w:lang w:val="en-US" w:eastAsia="zh-CN" w:bidi="ar-SA"/>
    </w:rPr>
  </w:style>
  <w:style w:type="paragraph" w:styleId="4">
    <w:name w:val="annotation text"/>
    <w:basedOn w:val="1"/>
    <w:uiPriority w:val="0"/>
    <w:pPr>
      <w:jc w:val="left"/>
    </w:pPr>
  </w:style>
  <w:style w:type="paragraph" w:styleId="5">
    <w:name w:val="Body Text"/>
    <w:basedOn w:val="1"/>
    <w:next w:val="6"/>
    <w:qFormat/>
    <w:uiPriority w:val="0"/>
    <w:pPr>
      <w:autoSpaceDE w:val="0"/>
      <w:autoSpaceDN w:val="0"/>
      <w:spacing w:after="120"/>
      <w:jc w:val="left"/>
    </w:pPr>
    <w:rPr>
      <w:rFonts w:ascii="宋体"/>
      <w:kern w:val="0"/>
      <w:sz w:val="34"/>
      <w:szCs w:val="20"/>
    </w:rPr>
  </w:style>
  <w:style w:type="paragraph" w:styleId="6">
    <w:name w:val="Plain Text"/>
    <w:basedOn w:val="1"/>
    <w:qFormat/>
    <w:uiPriority w:val="0"/>
    <w:rPr>
      <w:rFonts w:ascii="宋体" w:hAnsi="Courier New"/>
      <w:szCs w:val="20"/>
    </w:rPr>
  </w:style>
  <w:style w:type="paragraph" w:styleId="7">
    <w:name w:val="Body Text Indent"/>
    <w:basedOn w:val="1"/>
    <w:next w:val="8"/>
    <w:qFormat/>
    <w:uiPriority w:val="0"/>
    <w:pPr>
      <w:spacing w:line="200" w:lineRule="exact"/>
      <w:ind w:firstLine="301"/>
    </w:pPr>
    <w:rPr>
      <w:rFonts w:ascii="宋体" w:hAnsi="Courier New"/>
      <w:spacing w:val="-4"/>
      <w:sz w:val="18"/>
      <w:szCs w:val="20"/>
    </w:rPr>
  </w:style>
  <w:style w:type="paragraph" w:styleId="8">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9">
    <w:name w:val="footer"/>
    <w:basedOn w:val="1"/>
    <w:qFormat/>
    <w:uiPriority w:val="0"/>
    <w:pPr>
      <w:tabs>
        <w:tab w:val="center" w:pos="4153"/>
        <w:tab w:val="right" w:pos="8306"/>
      </w:tabs>
      <w:snapToGrid w:val="0"/>
      <w:jc w:val="left"/>
    </w:pPr>
    <w:rPr>
      <w:sz w:val="18"/>
    </w:rPr>
  </w:style>
  <w:style w:type="paragraph" w:styleId="10">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pPr>
    <w:rPr>
      <w:sz w:val="18"/>
    </w:rPr>
  </w:style>
  <w:style w:type="paragraph" w:styleId="11">
    <w:name w:val="Normal (Web)"/>
    <w:basedOn w:val="1"/>
    <w:qFormat/>
    <w:uiPriority w:val="0"/>
    <w:pPr>
      <w:spacing w:before="100" w:beforeAutospacing="1" w:after="100" w:afterAutospacing="1"/>
      <w:jc w:val="left"/>
    </w:pPr>
    <w:rPr>
      <w:rFonts w:cs="Times New Roman"/>
      <w:kern w:val="0"/>
      <w:sz w:val="24"/>
    </w:rPr>
  </w:style>
  <w:style w:type="paragraph" w:styleId="12">
    <w:name w:val="Body Text First Indent"/>
    <w:basedOn w:val="5"/>
    <w:qFormat/>
    <w:uiPriority w:val="0"/>
    <w:pPr>
      <w:snapToGrid w:val="0"/>
      <w:spacing w:line="360" w:lineRule="auto"/>
      <w:ind w:right="240" w:firstLine="420" w:firstLineChars="100"/>
    </w:pPr>
    <w:rPr>
      <w:rFonts w:hAnsi="宋体" w:eastAsia="方正仿宋_GBK"/>
      <w:kern w:val="2"/>
      <w:sz w:val="21"/>
      <w:szCs w:val="28"/>
    </w:rPr>
  </w:style>
  <w:style w:type="paragraph" w:styleId="13">
    <w:name w:val="Body Text First Indent 2"/>
    <w:basedOn w:val="7"/>
    <w:next w:val="12"/>
    <w:qFormat/>
    <w:uiPriority w:val="0"/>
    <w:pPr>
      <w:ind w:firstLine="420" w:firstLineChars="200"/>
    </w:pPr>
  </w:style>
  <w:style w:type="character" w:customStyle="1" w:styleId="16">
    <w:name w:val="NormalCharacter"/>
    <w:qFormat/>
    <w:uiPriority w:val="0"/>
  </w:style>
  <w:style w:type="paragraph" w:customStyle="1" w:styleId="17">
    <w:name w:val="正文首行缩进1"/>
    <w:basedOn w:val="5"/>
    <w:qFormat/>
    <w:uiPriority w:val="0"/>
    <w:pPr>
      <w:autoSpaceDE/>
      <w:autoSpaceDN/>
      <w:spacing w:before="100" w:beforeAutospacing="1" w:line="240" w:lineRule="auto"/>
      <w:ind w:firstLine="420" w:firstLineChars="100"/>
      <w:jc w:val="both"/>
    </w:pPr>
    <w:rPr>
      <w:rFonts w:ascii="Times New Roman" w:hAnsi="Times New Roman" w:eastAsia="宋体" w:cs="Times New Roman"/>
      <w:kern w:val="2"/>
      <w:sz w:val="21"/>
      <w:szCs w:val="21"/>
    </w:rPr>
  </w:style>
  <w:style w:type="character" w:customStyle="1" w:styleId="18">
    <w:name w:val="标题 1 Char"/>
    <w:basedOn w:val="15"/>
    <w:link w:val="3"/>
    <w:qFormat/>
    <w:uiPriority w:val="0"/>
    <w:rPr>
      <w:rFonts w:cstheme="minorBidi"/>
      <w:b/>
      <w:bCs/>
      <w:kern w:val="44"/>
      <w:sz w:val="28"/>
      <w:szCs w:val="4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2395</Words>
  <Characters>2493</Characters>
  <Lines>33</Lines>
  <Paragraphs>9</Paragraphs>
  <TotalTime>52</TotalTime>
  <ScaleCrop>false</ScaleCrop>
  <LinksUpToDate>false</LinksUpToDate>
  <CharactersWithSpaces>2584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2026-04-27T07:49:00Z</dcterms:created>
  <dc:creator>shimmer</dc:creator>
  <cp:lastModifiedBy>龍猫圈圈</cp:lastModifiedBy>
  <dcterms:modified xsi:type="dcterms:W3CDTF">2026-04-28T09:26:19Z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D97C03492E1B4BF4B2A8FD33B2A6D7C6_13</vt:lpwstr>
  </property>
  <property fmtid="{D5CDD505-2E9C-101B-9397-08002B2CF9AE}" pid="4" name="KSOTemplateDocerSaveRecord">
    <vt:lpwstr>eyJoZGlkIjoiZDJiN2I3Y2NlNDkyOWVkYWI4MjYzY2IyNmQ5MzQ2YjIiLCJ1c2VySWQiOiIzNjIyMTYyOTgifQ==</vt:lpwstr>
  </property>
</Properties>
</file>