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0401B9">
      <w:pPr>
        <w:spacing w:line="400" w:lineRule="exact"/>
        <w:rPr>
          <w:rFonts w:hint="eastAsia" w:ascii="仿宋_GB2312" w:hAnsi="仿宋_GB2312" w:eastAsia="仿宋_GB2312" w:cs="仿宋_GB2312"/>
          <w:b w:val="0"/>
          <w:bCs/>
          <w:color w:val="000000"/>
          <w:sz w:val="30"/>
          <w:szCs w:val="30"/>
          <w:lang w:eastAsia="zh-CN"/>
        </w:rPr>
      </w:pPr>
      <w:bookmarkStart w:id="0" w:name="_GoBack"/>
      <w:bookmarkEnd w:id="0"/>
      <w:r>
        <w:rPr>
          <w:rFonts w:hint="eastAsia" w:ascii="仿宋_GB2312" w:hAnsi="仿宋_GB2312" w:eastAsia="仿宋_GB2312" w:cs="仿宋_GB2312"/>
          <w:b w:val="0"/>
          <w:bCs/>
          <w:color w:val="000000"/>
          <w:sz w:val="30"/>
          <w:szCs w:val="30"/>
          <w:lang w:eastAsia="zh-CN"/>
        </w:rPr>
        <w:t>附件</w:t>
      </w:r>
      <w:r>
        <w:rPr>
          <w:rFonts w:hint="eastAsia" w:ascii="仿宋_GB2312" w:hAnsi="仿宋_GB2312" w:eastAsia="仿宋_GB2312" w:cs="仿宋_GB2312"/>
          <w:b w:val="0"/>
          <w:bCs/>
          <w:color w:val="000000"/>
          <w:sz w:val="30"/>
          <w:szCs w:val="30"/>
          <w:lang w:val="en-US" w:eastAsia="zh-CN"/>
        </w:rPr>
        <w:t>2</w:t>
      </w:r>
      <w:r>
        <w:rPr>
          <w:rFonts w:hint="eastAsia" w:ascii="仿宋_GB2312" w:hAnsi="仿宋_GB2312" w:eastAsia="仿宋_GB2312" w:cs="仿宋_GB2312"/>
          <w:b w:val="0"/>
          <w:bCs/>
          <w:color w:val="000000"/>
          <w:sz w:val="30"/>
          <w:szCs w:val="30"/>
          <w:lang w:eastAsia="zh-CN"/>
        </w:rPr>
        <w:t>：</w:t>
      </w:r>
    </w:p>
    <w:p w14:paraId="36946EB2">
      <w:pPr>
        <w:pStyle w:val="11"/>
        <w:keepNext w:val="0"/>
        <w:keepLines w:val="0"/>
        <w:pageBreakBefore w:val="0"/>
        <w:widowControl w:val="0"/>
        <w:kinsoku/>
        <w:wordWrap/>
        <w:overflowPunct/>
        <w:topLinePunct w:val="0"/>
        <w:autoSpaceDE w:val="0"/>
        <w:autoSpaceDN w:val="0"/>
        <w:bidi w:val="0"/>
        <w:adjustRightInd/>
        <w:snapToGrid w:val="0"/>
        <w:spacing w:after="0" w:line="560" w:lineRule="exact"/>
        <w:ind w:left="0" w:leftChars="0" w:right="0" w:firstLine="0" w:firstLineChars="0"/>
        <w:jc w:val="center"/>
        <w:textAlignment w:val="auto"/>
        <w:rPr>
          <w:rFonts w:hint="eastAsia" w:ascii="仿宋_GB2312" w:hAnsi="仿宋_GB2312" w:eastAsia="仿宋_GB2312" w:cs="仿宋_GB2312"/>
          <w:sz w:val="32"/>
          <w:szCs w:val="32"/>
        </w:rPr>
      </w:pPr>
    </w:p>
    <w:p w14:paraId="43341463">
      <w:pPr>
        <w:pStyle w:val="11"/>
        <w:keepNext w:val="0"/>
        <w:keepLines w:val="0"/>
        <w:pageBreakBefore w:val="0"/>
        <w:widowControl w:val="0"/>
        <w:kinsoku/>
        <w:wordWrap/>
        <w:overflowPunct/>
        <w:topLinePunct w:val="0"/>
        <w:autoSpaceDE w:val="0"/>
        <w:autoSpaceDN w:val="0"/>
        <w:bidi w:val="0"/>
        <w:adjustRightInd/>
        <w:snapToGrid w:val="0"/>
        <w:spacing w:after="0" w:line="500" w:lineRule="exact"/>
        <w:ind w:left="0" w:leftChars="0" w:right="0" w:firstLine="0" w:firstLineChars="0"/>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采购项目需求一览表</w:t>
      </w:r>
    </w:p>
    <w:p w14:paraId="3C4E9B0D">
      <w:pPr>
        <w:pStyle w:val="11"/>
        <w:keepNext w:val="0"/>
        <w:keepLines w:val="0"/>
        <w:pageBreakBefore w:val="0"/>
        <w:widowControl w:val="0"/>
        <w:kinsoku/>
        <w:wordWrap/>
        <w:overflowPunct/>
        <w:topLinePunct w:val="0"/>
        <w:autoSpaceDE w:val="0"/>
        <w:autoSpaceDN w:val="0"/>
        <w:bidi w:val="0"/>
        <w:adjustRightInd/>
        <w:snapToGrid w:val="0"/>
        <w:spacing w:after="0" w:line="560" w:lineRule="exact"/>
        <w:ind w:left="0" w:leftChars="0" w:right="0" w:firstLine="0" w:firstLineChars="0"/>
        <w:jc w:val="center"/>
        <w:textAlignment w:val="auto"/>
        <w:rPr>
          <w:rFonts w:hint="eastAsia" w:ascii="方正公文小标宋" w:hAnsi="方正公文小标宋" w:eastAsia="方正公文小标宋" w:cs="方正公文小标宋"/>
          <w:sz w:val="32"/>
          <w:szCs w:val="32"/>
          <w:lang w:eastAsia="zh-CN"/>
        </w:rPr>
      </w:pPr>
    </w:p>
    <w:tbl>
      <w:tblPr>
        <w:tblStyle w:val="1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670"/>
        <w:gridCol w:w="159"/>
        <w:gridCol w:w="766"/>
        <w:gridCol w:w="1125"/>
        <w:gridCol w:w="2178"/>
        <w:gridCol w:w="936"/>
        <w:gridCol w:w="928"/>
        <w:gridCol w:w="2092"/>
      </w:tblGrid>
      <w:tr w14:paraId="281EC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1619" w:type="dxa"/>
            <w:vMerge w:val="restart"/>
            <w:tcBorders>
              <w:top w:val="single" w:color="000000" w:sz="4" w:space="0"/>
              <w:left w:val="single" w:color="000000" w:sz="4" w:space="0"/>
              <w:bottom w:val="nil"/>
              <w:right w:val="single" w:color="000000" w:sz="4" w:space="0"/>
            </w:tcBorders>
            <w:shd w:val="clear" w:color="auto" w:fill="auto"/>
            <w:vAlign w:val="center"/>
          </w:tcPr>
          <w:p w14:paraId="54BCCA28">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一、设备年度试验报价表（每年一次）</w:t>
            </w:r>
          </w:p>
        </w:tc>
        <w:tc>
          <w:tcPr>
            <w:tcW w:w="823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826C7C">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相思湖校区</w:t>
            </w:r>
          </w:p>
        </w:tc>
      </w:tr>
      <w:tr w14:paraId="37C13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3BC001EE">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C46F6D">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序号</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C4596">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设备名称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58865">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规格</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8BBC9">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单位</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2F2F6">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680E23">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单项报价（元）</w:t>
            </w:r>
          </w:p>
        </w:tc>
      </w:tr>
      <w:tr w14:paraId="254FF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2DEAEF06">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D59A4D">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w:t>
            </w:r>
          </w:p>
        </w:tc>
        <w:tc>
          <w:tcPr>
            <w:tcW w:w="12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87F360">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变压器</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0BB4C">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500KVA</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A3BB0">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台</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4363B">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00A15A">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0F605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38F88B6D">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E54FCE">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21C6DF">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31774">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630KVA</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EE600">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台</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16C2C">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5C472D">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40927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39599F4C">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49C68E">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2E92F1">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2A96D">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800KVA</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6BD48">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台</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83678">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40CE46">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6C16B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3CC3D7CE">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D6516F">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2197F3">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481C0">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1000KVA</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474DF">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台</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774DA">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9D3003">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02BFD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5BB7844C">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8DC4F8">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EF0882">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1B7C0">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1250KVA</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989DE">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台</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450FC">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A5A7A2">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10D20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4CC8EFC4">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BFF520">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2</w:t>
            </w:r>
          </w:p>
        </w:tc>
        <w:tc>
          <w:tcPr>
            <w:tcW w:w="12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9B0666">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配电柜</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827D4">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高压柜</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411C4">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台</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4093C">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49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6A9CBA">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1AA02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330CC040">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B73EED">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A3CFCA">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D6E90">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低压柜</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DCCDB">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台</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DB0B2">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84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5B1B96">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5616F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3A206A0F">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403156">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3</w:t>
            </w:r>
          </w:p>
        </w:tc>
        <w:tc>
          <w:tcPr>
            <w:tcW w:w="12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738514">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高压柜继电保护</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6C570">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温超保护</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CBF5F">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27AC4">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538BBF">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535A7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60F124DC">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38E3EA">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BDD352">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B1C6B">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速断保护</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12527">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EC32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B6FBE7">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55BB1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42AB61CE">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CE4E99">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1AEB94">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DB740">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零序保护</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8C96B">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EC02D">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F77066">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49FCB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14A3D35E">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3B9EF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4</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19D74">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出柜电缆</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6537C">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电力电缆</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C2EE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条</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E86CB">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BBF1F5">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0B89C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7983CD35">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0E367A">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5</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9A93B">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自备电源</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94789">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蓄电池系统</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E1B32">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03D68">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87CB7D">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12DA9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1E806FB5">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10F6D9">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6</w:t>
            </w:r>
          </w:p>
        </w:tc>
        <w:tc>
          <w:tcPr>
            <w:tcW w:w="12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DBA3FE">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接地装置</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EEAEE">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接地极</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D8BE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根</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D890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DA6268">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3A742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4AF6DC78">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F1EE28">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E65CE0">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D0067">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接地网</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10C04">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网</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5A61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6F0C49">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493F9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196DC9F2">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823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32633DD">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黎塘校区</w:t>
            </w:r>
          </w:p>
        </w:tc>
      </w:tr>
      <w:tr w14:paraId="6DA02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04678B6E">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D67F5F">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序号</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DE043">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设备名称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11E22">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规格</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370A8">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单位</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544D9">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324268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单项报价（元）</w:t>
            </w:r>
          </w:p>
        </w:tc>
      </w:tr>
      <w:tr w14:paraId="7D480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69E65404">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1945A7">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w:t>
            </w:r>
          </w:p>
        </w:tc>
        <w:tc>
          <w:tcPr>
            <w:tcW w:w="12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3C8FAC">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变压器</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ABAD9">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800KVA</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5EB6E">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台</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6955E">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932C02">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1C2C1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6D13F9D1">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7BFF80">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EF0378">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B5402">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160KVA</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A4B43">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台</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8CE35">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E990EA">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761A8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2A64E526">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CAAD15">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2</w:t>
            </w:r>
          </w:p>
        </w:tc>
        <w:tc>
          <w:tcPr>
            <w:tcW w:w="12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21A918">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配电柜</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6AD18">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高压柜</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1A1C4">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台</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96D72">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B65125">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45069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65108791">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02D5C7">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26A4BD">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3B77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低压柜</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83E3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台</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74D89">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121F50">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3620F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6AECA6C8">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6C4384">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3</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D1E8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出柜电缆</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C7B45">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电力电缆</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0EF05">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条</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E3804">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312DDD">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25096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29D48E83">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6C962B">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4</w:t>
            </w:r>
          </w:p>
        </w:tc>
        <w:tc>
          <w:tcPr>
            <w:tcW w:w="12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2A30F9">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接地装置</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47878">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接地极</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FA85D">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根</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3CA92">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C05942">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42C9D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0F5860D2">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B314B1">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38E88">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519E6">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接地网</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4EC43">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网</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1D360">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90318B">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666F2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3E36DBE8">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823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1B2E1ED">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安全工器具年度定期试验</w:t>
            </w:r>
          </w:p>
        </w:tc>
      </w:tr>
      <w:tr w14:paraId="1A8BB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2BDF06B1">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3CE764">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序号</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F6CFC">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设备名称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30434">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规格</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9D7E2">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单位</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DFBE7">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CBEDB8">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单项报价（元）</w:t>
            </w:r>
          </w:p>
        </w:tc>
      </w:tr>
      <w:tr w14:paraId="29187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7B5DB94A">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C4B1CD">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DDEE9">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高压绝缘手套</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DD79C">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耐压12KV</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BDDB5">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21FE7">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82B5F2">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0AC6E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20F79790">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0360C2">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2</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E6730">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高压绝缘鞋</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3C7D5">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耐压20KV</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E8FDB">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C2BDB">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BC8861">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6904B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41939D9F">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603F8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3</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5845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高压验电器</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6E8CE">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10KV</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515E2">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34718">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7A19E4">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4BAD6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7B06CB2D">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B9EB95">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4</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C718F">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低压验电器</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043CF">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0.4KV</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17373">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9DB5D">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7A0937">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40FF3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nil"/>
              <w:right w:val="single" w:color="000000" w:sz="4" w:space="0"/>
            </w:tcBorders>
            <w:shd w:val="clear" w:color="auto" w:fill="auto"/>
            <w:vAlign w:val="center"/>
          </w:tcPr>
          <w:p w14:paraId="3C1DE4E8">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B37032">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5</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881EE">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绝缘操作棒</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2352D">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10KV</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0E6EF">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11B85">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E22724">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31DEF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A78BC9">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（2）设备年度巡检报价表</w:t>
            </w:r>
          </w:p>
        </w:tc>
        <w:tc>
          <w:tcPr>
            <w:tcW w:w="9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D98298">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序号</w:t>
            </w:r>
          </w:p>
        </w:tc>
        <w:tc>
          <w:tcPr>
            <w:tcW w:w="43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0218D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服务需求</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72A6B">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0975B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单项报价（元）</w:t>
            </w:r>
          </w:p>
        </w:tc>
      </w:tr>
      <w:tr w14:paraId="1A158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33ECBD">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b/>
                <w:bCs/>
                <w:i w:val="0"/>
                <w:iCs w:val="0"/>
                <w:color w:val="000000"/>
                <w:sz w:val="28"/>
                <w:szCs w:val="28"/>
                <w:u w:val="none"/>
              </w:rPr>
            </w:pPr>
          </w:p>
        </w:tc>
        <w:tc>
          <w:tcPr>
            <w:tcW w:w="913" w:type="dxa"/>
            <w:gridSpan w:val="2"/>
            <w:tcBorders>
              <w:top w:val="single" w:color="000000" w:sz="4" w:space="0"/>
              <w:left w:val="single" w:color="000000" w:sz="4" w:space="0"/>
              <w:bottom w:val="nil"/>
              <w:right w:val="single" w:color="000000" w:sz="4" w:space="0"/>
            </w:tcBorders>
            <w:shd w:val="clear" w:color="auto" w:fill="auto"/>
            <w:vAlign w:val="center"/>
          </w:tcPr>
          <w:p w14:paraId="0D68E7D6">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w:t>
            </w:r>
          </w:p>
        </w:tc>
        <w:tc>
          <w:tcPr>
            <w:tcW w:w="4314" w:type="dxa"/>
            <w:gridSpan w:val="3"/>
            <w:tcBorders>
              <w:top w:val="single" w:color="000000" w:sz="4" w:space="0"/>
              <w:left w:val="single" w:color="000000" w:sz="4" w:space="0"/>
              <w:bottom w:val="nil"/>
              <w:right w:val="single" w:color="000000" w:sz="4" w:space="0"/>
            </w:tcBorders>
            <w:shd w:val="clear" w:color="auto" w:fill="auto"/>
            <w:vAlign w:val="top"/>
          </w:tcPr>
          <w:p w14:paraId="60FF923F">
            <w:pPr>
              <w:keepNext w:val="0"/>
              <w:keepLines w:val="0"/>
              <w:pageBreakBefore w:val="0"/>
              <w:widowControl/>
              <w:suppressLineNumbers w:val="0"/>
              <w:kinsoku/>
              <w:wordWrap/>
              <w:overflowPunct/>
              <w:topLinePunct w:val="0"/>
              <w:autoSpaceDE/>
              <w:autoSpaceDN/>
              <w:bidi w:val="0"/>
              <w:spacing w:line="520" w:lineRule="exact"/>
              <w:jc w:val="both"/>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每月1次对服务范围内的配电设备进行日常巡视（运维人员两人一组，严格按规程共同作业），及时排查电气缺陷，将配电系统的不安全因素消除或控制在萌芽状态。</w:t>
            </w:r>
            <w:r>
              <w:rPr>
                <w:rFonts w:hint="eastAsia" w:ascii="仿宋_GB2312" w:hAnsi="仿宋_GB2312" w:eastAsia="仿宋_GB2312" w:cs="仿宋_GB2312"/>
                <w:i w:val="0"/>
                <w:iCs w:val="0"/>
                <w:color w:val="000000"/>
                <w:kern w:val="0"/>
                <w:sz w:val="28"/>
                <w:szCs w:val="28"/>
                <w:u w:val="none"/>
                <w:lang w:val="en-US" w:eastAsia="zh-CN" w:bidi="ar"/>
              </w:rPr>
              <w:br w:type="textWrapping"/>
            </w:r>
            <w:r>
              <w:rPr>
                <w:rFonts w:hint="eastAsia" w:ascii="仿宋_GB2312" w:hAnsi="仿宋_GB2312" w:eastAsia="仿宋_GB2312" w:cs="仿宋_GB2312"/>
                <w:i w:val="0"/>
                <w:iCs w:val="0"/>
                <w:color w:val="000000"/>
                <w:kern w:val="0"/>
                <w:sz w:val="28"/>
                <w:szCs w:val="28"/>
                <w:u w:val="none"/>
                <w:lang w:val="en-US" w:eastAsia="zh-CN" w:bidi="ar"/>
              </w:rPr>
              <w:t>全天候24小时受理客户事故报障处理，接报障3小时内人员、车辆、机具协同到场，快速处置故障，高效复电。</w:t>
            </w:r>
            <w:r>
              <w:rPr>
                <w:rFonts w:hint="eastAsia" w:ascii="仿宋_GB2312" w:hAnsi="仿宋_GB2312" w:eastAsia="仿宋_GB2312" w:cs="仿宋_GB2312"/>
                <w:i w:val="0"/>
                <w:iCs w:val="0"/>
                <w:color w:val="000000"/>
                <w:kern w:val="0"/>
                <w:sz w:val="28"/>
                <w:szCs w:val="28"/>
                <w:u w:val="none"/>
                <w:lang w:val="en-US" w:eastAsia="zh-CN" w:bidi="ar"/>
              </w:rPr>
              <w:br w:type="textWrapping"/>
            </w:r>
            <w:r>
              <w:rPr>
                <w:rFonts w:hint="eastAsia" w:ascii="仿宋_GB2312" w:hAnsi="仿宋_GB2312" w:eastAsia="仿宋_GB2312" w:cs="仿宋_GB2312"/>
                <w:i w:val="0"/>
                <w:iCs w:val="0"/>
                <w:color w:val="000000"/>
                <w:kern w:val="0"/>
                <w:sz w:val="28"/>
                <w:szCs w:val="28"/>
                <w:u w:val="none"/>
                <w:lang w:val="en-US" w:eastAsia="zh-CN" w:bidi="ar"/>
              </w:rPr>
              <w:t>免人工费和故障检测费（大额材料费、土建费和涉及的大型施工机具费等由客户负责）为服务范围内的配电设备进行抢修、检修工作，减少因设备故障造成的损失。对设备零部件如果不超过500元的进行免费更换。</w:t>
            </w:r>
            <w:r>
              <w:rPr>
                <w:rFonts w:hint="eastAsia" w:ascii="仿宋_GB2312" w:hAnsi="仿宋_GB2312" w:eastAsia="仿宋_GB2312" w:cs="仿宋_GB2312"/>
                <w:i w:val="0"/>
                <w:iCs w:val="0"/>
                <w:color w:val="000000"/>
                <w:kern w:val="0"/>
                <w:sz w:val="28"/>
                <w:szCs w:val="28"/>
                <w:u w:val="none"/>
                <w:lang w:val="en-US" w:eastAsia="zh-CN" w:bidi="ar"/>
              </w:rPr>
              <w:br w:type="textWrapping"/>
            </w:r>
            <w:r>
              <w:rPr>
                <w:rFonts w:hint="eastAsia" w:ascii="仿宋_GB2312" w:hAnsi="仿宋_GB2312" w:eastAsia="仿宋_GB2312" w:cs="仿宋_GB2312"/>
                <w:i w:val="0"/>
                <w:iCs w:val="0"/>
                <w:color w:val="000000"/>
                <w:kern w:val="0"/>
                <w:sz w:val="28"/>
                <w:szCs w:val="28"/>
                <w:u w:val="none"/>
                <w:lang w:val="en-US" w:eastAsia="zh-CN" w:bidi="ar"/>
              </w:rPr>
              <w:t>根据学校需求，提供校内大型活动（校运会、考试等）提供免费值班保供电服务</w:t>
            </w:r>
          </w:p>
        </w:tc>
        <w:tc>
          <w:tcPr>
            <w:tcW w:w="917" w:type="dxa"/>
            <w:tcBorders>
              <w:top w:val="single" w:color="000000" w:sz="4" w:space="0"/>
              <w:left w:val="single" w:color="000000" w:sz="4" w:space="0"/>
              <w:bottom w:val="nil"/>
              <w:right w:val="single" w:color="000000" w:sz="4" w:space="0"/>
            </w:tcBorders>
            <w:shd w:val="clear" w:color="auto" w:fill="auto"/>
            <w:vAlign w:val="center"/>
          </w:tcPr>
          <w:p w14:paraId="45DC7E0F">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12</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15A62774">
            <w:pPr>
              <w:keepNext w:val="0"/>
              <w:keepLines w:val="0"/>
              <w:pageBreakBefore w:val="0"/>
              <w:kinsoku/>
              <w:wordWrap/>
              <w:overflowPunct/>
              <w:topLinePunct w:val="0"/>
              <w:autoSpaceDE/>
              <w:autoSpaceDN/>
              <w:bidi w:val="0"/>
              <w:spacing w:line="520" w:lineRule="exact"/>
              <w:jc w:val="center"/>
              <w:rPr>
                <w:rFonts w:hint="eastAsia" w:ascii="仿宋_GB2312" w:hAnsi="仿宋_GB2312" w:eastAsia="仿宋_GB2312" w:cs="仿宋_GB2312"/>
                <w:i w:val="0"/>
                <w:iCs w:val="0"/>
                <w:color w:val="000000"/>
                <w:sz w:val="28"/>
                <w:szCs w:val="28"/>
                <w:u w:val="none"/>
              </w:rPr>
            </w:pPr>
          </w:p>
        </w:tc>
      </w:tr>
      <w:tr w14:paraId="7318D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0" w:type="auto"/>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17A404D">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合计金额：大写：                             （小写：¥           元）</w:t>
            </w:r>
          </w:p>
        </w:tc>
      </w:tr>
      <w:tr w14:paraId="223E4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0" w:type="auto"/>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A3634B1">
            <w:pPr>
              <w:keepNext w:val="0"/>
              <w:keepLines w:val="0"/>
              <w:pageBreakBefore w:val="0"/>
              <w:widowControl/>
              <w:suppressLineNumbers w:val="0"/>
              <w:kinsoku/>
              <w:wordWrap/>
              <w:overflowPunct/>
              <w:topLinePunct w:val="0"/>
              <w:autoSpaceDE/>
              <w:autoSpaceDN/>
              <w:bidi w:val="0"/>
              <w:spacing w:line="520" w:lineRule="exact"/>
              <w:jc w:val="center"/>
              <w:textAlignment w:val="center"/>
              <w:rPr>
                <w:rFonts w:hint="eastAsia" w:ascii="仿宋_GB2312" w:hAnsi="仿宋_GB2312" w:eastAsia="仿宋_GB2312" w:cs="仿宋_GB2312"/>
                <w:b/>
                <w:bCs/>
                <w:i w:val="0"/>
                <w:iCs w:val="0"/>
                <w:color w:val="000000"/>
                <w:sz w:val="28"/>
                <w:szCs w:val="28"/>
                <w:u w:val="none"/>
              </w:rPr>
            </w:pPr>
            <w:r>
              <w:rPr>
                <w:rFonts w:hint="eastAsia" w:ascii="仿宋_GB2312" w:hAnsi="仿宋_GB2312" w:eastAsia="仿宋_GB2312" w:cs="仿宋_GB2312"/>
                <w:b/>
                <w:bCs/>
                <w:i w:val="0"/>
                <w:iCs w:val="0"/>
                <w:color w:val="000000"/>
                <w:kern w:val="0"/>
                <w:sz w:val="28"/>
                <w:szCs w:val="28"/>
                <w:u w:val="none"/>
                <w:lang w:val="en-US" w:eastAsia="zh-CN" w:bidi="ar"/>
              </w:rPr>
              <w:t>商务条款</w:t>
            </w:r>
          </w:p>
        </w:tc>
      </w:tr>
      <w:tr w14:paraId="69289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0" w:type="auto"/>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1544841">
            <w:pPr>
              <w:pStyle w:val="3"/>
              <w:pageBreakBefore w:val="0"/>
              <w:widowControl w:val="0"/>
              <w:numPr>
                <w:ilvl w:val="1"/>
                <w:numId w:val="0"/>
              </w:numPr>
              <w:tabs>
                <w:tab w:val="left" w:pos="720"/>
              </w:tabs>
              <w:kinsoku/>
              <w:wordWrap/>
              <w:overflowPunct/>
              <w:topLinePunct w:val="0"/>
              <w:autoSpaceDE/>
              <w:autoSpaceDN/>
              <w:bidi w:val="0"/>
              <w:spacing w:before="0" w:after="0" w:line="520" w:lineRule="exact"/>
              <w:ind w:firstLine="562"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一、维保范围</w:t>
            </w:r>
          </w:p>
          <w:p w14:paraId="35A24385">
            <w:pPr>
              <w:pageBreakBefore w:val="0"/>
              <w:widowControl w:val="0"/>
              <w:kinsoku/>
              <w:wordWrap/>
              <w:overflowPunct/>
              <w:topLinePunct w:val="0"/>
              <w:autoSpaceDE/>
              <w:autoSpaceDN/>
              <w:bidi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相思湖、黎塘校区及各教学点配电设备</w:t>
            </w:r>
          </w:p>
          <w:p w14:paraId="25AC303B">
            <w:pPr>
              <w:pStyle w:val="3"/>
              <w:pageBreakBefore w:val="0"/>
              <w:widowControl w:val="0"/>
              <w:numPr>
                <w:ilvl w:val="1"/>
                <w:numId w:val="0"/>
              </w:numPr>
              <w:tabs>
                <w:tab w:val="left" w:pos="720"/>
              </w:tabs>
              <w:kinsoku/>
              <w:wordWrap/>
              <w:overflowPunct/>
              <w:topLinePunct w:val="0"/>
              <w:autoSpaceDE/>
              <w:autoSpaceDN/>
              <w:bidi w:val="0"/>
              <w:spacing w:before="0" w:after="0" w:line="520" w:lineRule="exact"/>
              <w:ind w:firstLine="562"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二、</w:t>
            </w:r>
            <w:r>
              <w:rPr>
                <w:rFonts w:hint="eastAsia" w:ascii="仿宋_GB2312" w:hAnsi="仿宋_GB2312" w:eastAsia="仿宋_GB2312" w:cs="仿宋_GB2312"/>
                <w:sz w:val="28"/>
                <w:szCs w:val="28"/>
                <w:lang w:eastAsia="zh-CN"/>
              </w:rPr>
              <w:t>服务</w:t>
            </w:r>
            <w:r>
              <w:rPr>
                <w:rFonts w:hint="eastAsia" w:ascii="仿宋_GB2312" w:hAnsi="仿宋_GB2312" w:eastAsia="仿宋_GB2312" w:cs="仿宋_GB2312"/>
                <w:sz w:val="28"/>
                <w:szCs w:val="28"/>
              </w:rPr>
              <w:t>要求</w:t>
            </w:r>
          </w:p>
          <w:p w14:paraId="2D27A783">
            <w:pPr>
              <w:pageBreakBefore w:val="0"/>
              <w:widowControl w:val="0"/>
              <w:kinsoku/>
              <w:wordWrap/>
              <w:overflowPunct/>
              <w:topLinePunct w:val="0"/>
              <w:autoSpaceDE/>
              <w:autoSpaceDN/>
              <w:bidi w:val="0"/>
              <w:spacing w:line="520" w:lineRule="exact"/>
              <w:ind w:firstLine="562" w:firstLineChars="200"/>
              <w:textAlignment w:val="auto"/>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1.</w:t>
            </w:r>
            <w:r>
              <w:rPr>
                <w:rFonts w:hint="eastAsia" w:ascii="仿宋_GB2312" w:hAnsi="仿宋_GB2312" w:eastAsia="仿宋_GB2312" w:cs="仿宋_GB2312"/>
                <w:b/>
                <w:bCs/>
                <w:sz w:val="28"/>
                <w:szCs w:val="28"/>
                <w:lang w:val="hr-HR"/>
              </w:rPr>
              <w:t>项目简述</w:t>
            </w:r>
          </w:p>
          <w:p w14:paraId="7BE4EFE2">
            <w:pPr>
              <w:pageBreakBefore w:val="0"/>
              <w:widowControl w:val="0"/>
              <w:kinsoku/>
              <w:wordWrap/>
              <w:overflowPunct/>
              <w:topLinePunct w:val="0"/>
              <w:autoSpaceDE/>
              <w:autoSpaceDN/>
              <w:bidi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hr-HR" w:eastAsia="zh-CN"/>
              </w:rPr>
              <w:t>（</w:t>
            </w: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lang w:val="hr-HR" w:eastAsia="zh-CN"/>
              </w:rPr>
              <w:t>）</w:t>
            </w:r>
            <w:r>
              <w:rPr>
                <w:rFonts w:hint="eastAsia" w:ascii="仿宋_GB2312" w:hAnsi="仿宋_GB2312" w:eastAsia="仿宋_GB2312" w:cs="仿宋_GB2312"/>
                <w:sz w:val="28"/>
                <w:szCs w:val="28"/>
              </w:rPr>
              <w:t>南宁市卫生学校（相思湖校区、黎塘校区）高/低压配电房（高压配电房内高压盘柜，低压配电房内低压盘柜、变压器等）维护、试验与保养：</w:t>
            </w:r>
          </w:p>
          <w:p w14:paraId="356BC00C">
            <w:pPr>
              <w:pageBreakBefore w:val="0"/>
              <w:widowControl w:val="0"/>
              <w:kinsoku/>
              <w:wordWrap/>
              <w:overflowPunct/>
              <w:topLinePunct w:val="0"/>
              <w:autoSpaceDE/>
              <w:autoSpaceDN/>
              <w:bidi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color w:val="000000"/>
                <w:kern w:val="0"/>
                <w:sz w:val="28"/>
                <w:szCs w:val="28"/>
                <w:lang w:bidi="ar"/>
              </w:rPr>
              <w:t>（</w:t>
            </w:r>
            <w:r>
              <w:rPr>
                <w:rFonts w:hint="eastAsia" w:ascii="仿宋_GB2312" w:hAnsi="仿宋_GB2312" w:eastAsia="仿宋_GB2312" w:cs="仿宋_GB2312"/>
                <w:color w:val="000000"/>
                <w:kern w:val="0"/>
                <w:sz w:val="28"/>
                <w:szCs w:val="28"/>
                <w:lang w:val="en-US" w:eastAsia="zh-CN" w:bidi="ar"/>
              </w:rPr>
              <w:t>2</w:t>
            </w:r>
            <w:r>
              <w:rPr>
                <w:rFonts w:hint="eastAsia" w:ascii="仿宋_GB2312" w:hAnsi="仿宋_GB2312" w:eastAsia="仿宋_GB2312" w:cs="仿宋_GB2312"/>
                <w:color w:val="000000"/>
                <w:kern w:val="0"/>
                <w:sz w:val="28"/>
                <w:szCs w:val="28"/>
                <w:lang w:bidi="ar"/>
              </w:rPr>
              <w:t>）配电设备试验周期每年一次。</w:t>
            </w:r>
          </w:p>
          <w:p w14:paraId="0BE6BE07">
            <w:pPr>
              <w:pageBreakBefore w:val="0"/>
              <w:widowControl w:val="0"/>
              <w:kinsoku/>
              <w:wordWrap/>
              <w:overflowPunct/>
              <w:topLinePunct w:val="0"/>
              <w:autoSpaceDE/>
              <w:autoSpaceDN/>
              <w:bidi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color w:val="000000"/>
                <w:kern w:val="0"/>
                <w:sz w:val="28"/>
                <w:szCs w:val="28"/>
                <w:lang w:bidi="ar"/>
              </w:rPr>
              <w:t>（</w:t>
            </w:r>
            <w:r>
              <w:rPr>
                <w:rFonts w:hint="eastAsia" w:ascii="仿宋_GB2312" w:hAnsi="仿宋_GB2312" w:eastAsia="仿宋_GB2312" w:cs="仿宋_GB2312"/>
                <w:color w:val="000000"/>
                <w:kern w:val="0"/>
                <w:sz w:val="28"/>
                <w:szCs w:val="28"/>
                <w:lang w:val="en-US" w:eastAsia="zh-CN" w:bidi="ar"/>
              </w:rPr>
              <w:t>3</w:t>
            </w:r>
            <w:r>
              <w:rPr>
                <w:rFonts w:hint="eastAsia" w:ascii="仿宋_GB2312" w:hAnsi="仿宋_GB2312" w:eastAsia="仿宋_GB2312" w:cs="仿宋_GB2312"/>
                <w:color w:val="000000"/>
                <w:kern w:val="0"/>
                <w:sz w:val="28"/>
                <w:szCs w:val="28"/>
                <w:lang w:bidi="ar"/>
              </w:rPr>
              <w:t>）每</w:t>
            </w:r>
            <w:r>
              <w:rPr>
                <w:rFonts w:hint="eastAsia" w:ascii="仿宋_GB2312" w:hAnsi="仿宋_GB2312" w:eastAsia="仿宋_GB2312" w:cs="仿宋_GB2312"/>
                <w:color w:val="000000"/>
                <w:kern w:val="0"/>
                <w:sz w:val="28"/>
                <w:szCs w:val="28"/>
                <w:lang w:eastAsia="zh-CN" w:bidi="ar"/>
              </w:rPr>
              <w:t>月</w:t>
            </w:r>
            <w:r>
              <w:rPr>
                <w:rFonts w:hint="eastAsia" w:ascii="仿宋_GB2312" w:hAnsi="仿宋_GB2312" w:eastAsia="仿宋_GB2312" w:cs="仿宋_GB2312"/>
                <w:color w:val="000000"/>
                <w:kern w:val="0"/>
                <w:sz w:val="28"/>
                <w:szCs w:val="28"/>
                <w:lang w:bidi="ar"/>
              </w:rPr>
              <w:t>对所有维护配电系统设备维护检（巡）查。</w:t>
            </w:r>
          </w:p>
          <w:p w14:paraId="09C0511C">
            <w:pPr>
              <w:pageBreakBefore w:val="0"/>
              <w:widowControl w:val="0"/>
              <w:kinsoku/>
              <w:wordWrap/>
              <w:overflowPunct/>
              <w:topLinePunct w:val="0"/>
              <w:autoSpaceDE/>
              <w:autoSpaceDN/>
              <w:bidi w:val="0"/>
              <w:spacing w:line="520" w:lineRule="exact"/>
              <w:ind w:firstLine="562" w:firstLineChars="200"/>
              <w:textAlignment w:val="auto"/>
              <w:rPr>
                <w:rFonts w:hint="eastAsia" w:ascii="仿宋_GB2312" w:hAnsi="仿宋_GB2312" w:eastAsia="仿宋_GB2312" w:cs="仿宋_GB2312"/>
                <w:b/>
                <w:bCs/>
                <w:sz w:val="28"/>
                <w:szCs w:val="28"/>
                <w:lang w:val="hr-HR"/>
              </w:rPr>
            </w:pPr>
            <w:r>
              <w:rPr>
                <w:rFonts w:hint="eastAsia" w:ascii="仿宋_GB2312" w:hAnsi="仿宋_GB2312" w:eastAsia="仿宋_GB2312" w:cs="仿宋_GB2312"/>
                <w:b/>
                <w:bCs/>
                <w:sz w:val="28"/>
                <w:szCs w:val="28"/>
                <w:lang w:val="en-US" w:eastAsia="zh-CN"/>
              </w:rPr>
              <w:t>2.</w:t>
            </w:r>
            <w:r>
              <w:rPr>
                <w:rFonts w:hint="eastAsia" w:ascii="仿宋_GB2312" w:hAnsi="仿宋_GB2312" w:eastAsia="仿宋_GB2312" w:cs="仿宋_GB2312"/>
                <w:b/>
                <w:bCs/>
                <w:sz w:val="28"/>
                <w:szCs w:val="28"/>
                <w:lang w:val="hr-HR"/>
              </w:rPr>
              <w:t>具体</w:t>
            </w:r>
            <w:r>
              <w:rPr>
                <w:rFonts w:hint="eastAsia" w:ascii="仿宋_GB2312" w:hAnsi="仿宋_GB2312" w:eastAsia="仿宋_GB2312" w:cs="仿宋_GB2312"/>
                <w:b/>
                <w:bCs/>
                <w:sz w:val="28"/>
                <w:szCs w:val="28"/>
                <w:lang w:val="hr-HR" w:eastAsia="zh-CN"/>
              </w:rPr>
              <w:t>服务</w:t>
            </w:r>
            <w:r>
              <w:rPr>
                <w:rFonts w:hint="eastAsia" w:ascii="仿宋_GB2312" w:hAnsi="仿宋_GB2312" w:eastAsia="仿宋_GB2312" w:cs="仿宋_GB2312"/>
                <w:b/>
                <w:bCs/>
                <w:sz w:val="28"/>
                <w:szCs w:val="28"/>
                <w:lang w:val="hr-HR"/>
              </w:rPr>
              <w:t>要求</w:t>
            </w:r>
          </w:p>
          <w:p w14:paraId="23C67550">
            <w:pPr>
              <w:pageBreakBefore w:val="0"/>
              <w:widowControl w:val="0"/>
              <w:tabs>
                <w:tab w:val="left" w:pos="425"/>
              </w:tabs>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（1）维护方需配备一名中级职称电气工程师作为项目技术负责人，专业技术与现场作业人员（不少于4人），必须持有特种作业操作证电工证（</w:t>
            </w:r>
            <w:r>
              <w:rPr>
                <w:rFonts w:hint="eastAsia" w:ascii="仿宋_GB2312" w:hAnsi="仿宋_GB2312" w:eastAsia="仿宋_GB2312" w:cs="仿宋_GB2312"/>
                <w:sz w:val="28"/>
                <w:szCs w:val="28"/>
                <w:lang w:eastAsia="zh-CN"/>
              </w:rPr>
              <w:t>如</w:t>
            </w:r>
            <w:r>
              <w:rPr>
                <w:rFonts w:hint="eastAsia" w:ascii="仿宋_GB2312" w:hAnsi="仿宋_GB2312" w:eastAsia="仿宋_GB2312" w:cs="仿宋_GB2312"/>
                <w:sz w:val="28"/>
                <w:szCs w:val="28"/>
              </w:rPr>
              <w:t>高压电工证</w:t>
            </w:r>
            <w:r>
              <w:rPr>
                <w:rFonts w:hint="eastAsia" w:ascii="仿宋_GB2312" w:hAnsi="仿宋_GB2312" w:eastAsia="仿宋_GB2312" w:cs="仿宋_GB2312"/>
                <w:sz w:val="28"/>
                <w:szCs w:val="28"/>
                <w:lang w:eastAsia="zh-CN"/>
              </w:rPr>
              <w:t>等</w:t>
            </w:r>
            <w:r>
              <w:rPr>
                <w:rFonts w:hint="eastAsia" w:ascii="仿宋_GB2312" w:hAnsi="仿宋_GB2312" w:eastAsia="仿宋_GB2312" w:cs="仿宋_GB2312"/>
                <w:sz w:val="28"/>
                <w:szCs w:val="28"/>
              </w:rPr>
              <w:t>），入网作业许可证/电工进网作业许可证。（竞标时需提供以上证件复印件并加盖公章。</w:t>
            </w:r>
          </w:p>
          <w:p w14:paraId="0BE555B1">
            <w:pPr>
              <w:pageBreakBefore w:val="0"/>
              <w:widowControl w:val="0"/>
              <w:tabs>
                <w:tab w:val="left" w:pos="425"/>
              </w:tabs>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（2）维护方应配备相应的试验设备，以满足年检试验工作需要，主要包含以下设备；</w:t>
            </w:r>
          </w:p>
          <w:p w14:paraId="2EBCFD17">
            <w:pPr>
              <w:pageBreakBefore w:val="0"/>
              <w:widowControl w:val="0"/>
              <w:numPr>
                <w:ilvl w:val="0"/>
                <w:numId w:val="1"/>
              </w:numPr>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变压器直阻测试仪；</w:t>
            </w:r>
          </w:p>
          <w:p w14:paraId="5DDBBE03">
            <w:pPr>
              <w:pageBreakBefore w:val="0"/>
              <w:widowControl w:val="0"/>
              <w:numPr>
                <w:ilvl w:val="0"/>
                <w:numId w:val="1"/>
              </w:numPr>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变压器变比测试仪；</w:t>
            </w:r>
          </w:p>
          <w:p w14:paraId="67826CD8">
            <w:pPr>
              <w:pageBreakBefore w:val="0"/>
              <w:widowControl w:val="0"/>
              <w:numPr>
                <w:ilvl w:val="0"/>
                <w:numId w:val="1"/>
              </w:numPr>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高压开关机械特性测试仪；</w:t>
            </w:r>
          </w:p>
          <w:p w14:paraId="06820705">
            <w:pPr>
              <w:pageBreakBefore w:val="0"/>
              <w:widowControl w:val="0"/>
              <w:numPr>
                <w:ilvl w:val="0"/>
                <w:numId w:val="1"/>
              </w:numPr>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高压开关回路电阻测试仪；</w:t>
            </w:r>
          </w:p>
          <w:p w14:paraId="7E6900CE">
            <w:pPr>
              <w:pageBreakBefore w:val="0"/>
              <w:widowControl w:val="0"/>
              <w:numPr>
                <w:ilvl w:val="0"/>
                <w:numId w:val="1"/>
              </w:numPr>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互感器测试仪；</w:t>
            </w:r>
          </w:p>
          <w:p w14:paraId="7A0762D3">
            <w:pPr>
              <w:pageBreakBefore w:val="0"/>
              <w:widowControl w:val="0"/>
              <w:numPr>
                <w:ilvl w:val="0"/>
                <w:numId w:val="1"/>
              </w:numPr>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避雷器直流泄漏试验装置；</w:t>
            </w:r>
          </w:p>
          <w:p w14:paraId="3C00CC7A">
            <w:pPr>
              <w:pageBreakBefore w:val="0"/>
              <w:widowControl w:val="0"/>
              <w:numPr>
                <w:ilvl w:val="0"/>
                <w:numId w:val="1"/>
              </w:numPr>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工频耐压设备（≧50kV)；</w:t>
            </w:r>
          </w:p>
          <w:p w14:paraId="25D64E16">
            <w:pPr>
              <w:pageBreakBefore w:val="0"/>
              <w:widowControl w:val="0"/>
              <w:numPr>
                <w:ilvl w:val="0"/>
                <w:numId w:val="1"/>
              </w:numPr>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电动摇表（≧2500V）；</w:t>
            </w:r>
          </w:p>
          <w:p w14:paraId="7B891058">
            <w:pPr>
              <w:pageBreakBefore w:val="0"/>
              <w:widowControl w:val="0"/>
              <w:numPr>
                <w:ilvl w:val="0"/>
                <w:numId w:val="1"/>
              </w:numPr>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微机保护校验仪器；</w:t>
            </w:r>
          </w:p>
          <w:p w14:paraId="338C81AC">
            <w:pPr>
              <w:pageBreakBefore w:val="0"/>
              <w:widowControl w:val="0"/>
              <w:numPr>
                <w:ilvl w:val="0"/>
                <w:numId w:val="1"/>
              </w:numPr>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红外线测温仪。</w:t>
            </w:r>
          </w:p>
          <w:p w14:paraId="31E8B671">
            <w:pPr>
              <w:pageBreakBefore w:val="0"/>
              <w:widowControl w:val="0"/>
              <w:tabs>
                <w:tab w:val="left" w:pos="425"/>
              </w:tabs>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lang w:val="en-US" w:eastAsia="zh-CN"/>
              </w:rPr>
              <w:t>3</w:t>
            </w:r>
            <w:r>
              <w:rPr>
                <w:rFonts w:hint="eastAsia" w:ascii="仿宋_GB2312" w:hAnsi="仿宋_GB2312" w:eastAsia="仿宋_GB2312" w:cs="仿宋_GB2312"/>
                <w:color w:val="000000"/>
                <w:sz w:val="28"/>
                <w:szCs w:val="28"/>
              </w:rPr>
              <w:t>）</w:t>
            </w:r>
            <w:r>
              <w:rPr>
                <w:rFonts w:hint="eastAsia" w:ascii="仿宋_GB2312" w:hAnsi="仿宋_GB2312" w:eastAsia="仿宋_GB2312" w:cs="仿宋_GB2312"/>
                <w:sz w:val="28"/>
                <w:szCs w:val="28"/>
              </w:rPr>
              <w:t>配备的巡查人员，必须每</w:t>
            </w:r>
            <w:r>
              <w:rPr>
                <w:rFonts w:hint="eastAsia" w:ascii="仿宋_GB2312" w:hAnsi="仿宋_GB2312" w:eastAsia="仿宋_GB2312" w:cs="仿宋_GB2312"/>
                <w:sz w:val="28"/>
                <w:szCs w:val="28"/>
                <w:lang w:eastAsia="zh-CN"/>
              </w:rPr>
              <w:t>月</w:t>
            </w:r>
            <w:r>
              <w:rPr>
                <w:rFonts w:hint="eastAsia" w:ascii="仿宋_GB2312" w:hAnsi="仿宋_GB2312" w:eastAsia="仿宋_GB2312" w:cs="仿宋_GB2312"/>
                <w:sz w:val="28"/>
                <w:szCs w:val="28"/>
              </w:rPr>
              <w:t>对设备深度巡检，每次巡查应提交巡检总结报告或详细的巡检记录，记录运行数据并分析负荷平衡、无功补偿效率等发现安全隐患及时处理，并交采购人签名确认，同时提交给采购人年度维保工作计划。</w:t>
            </w:r>
          </w:p>
          <w:p w14:paraId="48425551">
            <w:pPr>
              <w:pageBreakBefore w:val="0"/>
              <w:widowControl w:val="0"/>
              <w:tabs>
                <w:tab w:val="left" w:pos="425"/>
              </w:tabs>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lang w:val="en-US" w:eastAsia="zh-CN"/>
              </w:rPr>
              <w:t>4</w:t>
            </w:r>
            <w:r>
              <w:rPr>
                <w:rFonts w:hint="eastAsia" w:ascii="仿宋_GB2312" w:hAnsi="仿宋_GB2312" w:eastAsia="仿宋_GB2312" w:cs="仿宋_GB2312"/>
                <w:color w:val="000000"/>
                <w:sz w:val="28"/>
                <w:szCs w:val="28"/>
              </w:rPr>
              <w:t>）</w:t>
            </w:r>
            <w:r>
              <w:rPr>
                <w:rFonts w:hint="eastAsia" w:ascii="仿宋_GB2312" w:hAnsi="仿宋_GB2312" w:eastAsia="仿宋_GB2312" w:cs="仿宋_GB2312"/>
                <w:sz w:val="28"/>
                <w:szCs w:val="28"/>
              </w:rPr>
              <w:t>维护方应对地下室的配电房内卫生进行清洁，无杂物,线槽、盖板规范放置；室外的变压器旁边杂草进行清理</w:t>
            </w:r>
            <w:r>
              <w:rPr>
                <w:rFonts w:hint="eastAsia" w:ascii="仿宋_GB2312" w:hAnsi="仿宋_GB2312" w:eastAsia="仿宋_GB2312" w:cs="仿宋_GB2312"/>
                <w:sz w:val="28"/>
                <w:szCs w:val="28"/>
                <w:lang w:eastAsia="zh-CN"/>
              </w:rPr>
              <w:t>。</w:t>
            </w:r>
          </w:p>
          <w:p w14:paraId="359FD302">
            <w:pPr>
              <w:pageBreakBefore w:val="0"/>
              <w:widowControl w:val="0"/>
              <w:tabs>
                <w:tab w:val="left" w:pos="425"/>
              </w:tabs>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lang w:val="en-US" w:eastAsia="zh-CN"/>
              </w:rPr>
              <w:t>5</w:t>
            </w:r>
            <w:r>
              <w:rPr>
                <w:rFonts w:hint="eastAsia" w:ascii="仿宋_GB2312" w:hAnsi="仿宋_GB2312" w:eastAsia="仿宋_GB2312" w:cs="仿宋_GB2312"/>
                <w:sz w:val="28"/>
                <w:szCs w:val="28"/>
              </w:rPr>
              <w:t>）设备年检试验项目的指标应符合南方电网预防性试验规程（2011版）的要求，不得存在漏项或降低标准的现象。</w:t>
            </w:r>
          </w:p>
          <w:p w14:paraId="7FB1E668">
            <w:pPr>
              <w:pageBreakBefore w:val="0"/>
              <w:widowControl w:val="0"/>
              <w:tabs>
                <w:tab w:val="left" w:pos="425"/>
              </w:tabs>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lang w:val="en-US" w:eastAsia="zh-CN"/>
              </w:rPr>
              <w:t>6</w:t>
            </w:r>
            <w:r>
              <w:rPr>
                <w:rFonts w:hint="eastAsia" w:ascii="仿宋_GB2312" w:hAnsi="仿宋_GB2312" w:eastAsia="仿宋_GB2312" w:cs="仿宋_GB2312"/>
                <w:sz w:val="28"/>
                <w:szCs w:val="28"/>
              </w:rPr>
              <w:t>）维护方售后服务所在地距离采购人</w:t>
            </w:r>
            <w:r>
              <w:rPr>
                <w:rFonts w:hint="eastAsia" w:ascii="仿宋_GB2312" w:hAnsi="仿宋_GB2312" w:eastAsia="仿宋_GB2312" w:cs="仿宋_GB2312"/>
                <w:bCs/>
                <w:color w:val="000000"/>
                <w:sz w:val="28"/>
                <w:szCs w:val="28"/>
              </w:rPr>
              <w:t>配电房</w:t>
            </w:r>
            <w:r>
              <w:rPr>
                <w:rFonts w:hint="eastAsia" w:ascii="仿宋_GB2312" w:hAnsi="仿宋_GB2312" w:eastAsia="仿宋_GB2312" w:cs="仿宋_GB2312"/>
                <w:sz w:val="28"/>
                <w:szCs w:val="28"/>
              </w:rPr>
              <w:t>的空间距离不得超过30km，以确保故障抢修快速到位的可行性：在30分钟内给予响应电话答复，并在2小时内赶赴现场处理安排。发生维保项内电力系统设施设备应急事件时，维护方应在无条件情况下尽快赶到现场，12小时内恢复供电（高压系统）；低压系统则要求60分钟内到场处理；重大故障需要48小时内修复，否则需书面备案。根据现场实际情况进行处理恢复正常用电，并保障校方的用电安全。如维保方未按以上条款，维保不到位等造成设备故障，造成校方用电存在一定影响，校方可一次性扣款1000元整，在当季度维保费中扣除。</w:t>
            </w:r>
          </w:p>
          <w:p w14:paraId="798EEF04">
            <w:pPr>
              <w:pageBreakBefore w:val="0"/>
              <w:widowControl w:val="0"/>
              <w:tabs>
                <w:tab w:val="left" w:pos="425"/>
              </w:tabs>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lang w:val="hr-HR"/>
              </w:rPr>
            </w:pPr>
            <w:r>
              <w:rPr>
                <w:rFonts w:hint="eastAsia" w:ascii="仿宋_GB2312" w:hAnsi="仿宋_GB2312" w:eastAsia="仿宋_GB2312" w:cs="仿宋_GB2312"/>
                <w:sz w:val="28"/>
                <w:szCs w:val="28"/>
                <w:lang w:val="hr-HR"/>
              </w:rPr>
              <w:t>（</w:t>
            </w:r>
            <w:r>
              <w:rPr>
                <w:rFonts w:hint="eastAsia" w:ascii="仿宋_GB2312" w:hAnsi="仿宋_GB2312" w:eastAsia="仿宋_GB2312" w:cs="仿宋_GB2312"/>
                <w:sz w:val="28"/>
                <w:szCs w:val="28"/>
                <w:lang w:val="en-US" w:eastAsia="zh-CN"/>
              </w:rPr>
              <w:t>7</w:t>
            </w:r>
            <w:r>
              <w:rPr>
                <w:rFonts w:hint="eastAsia" w:ascii="仿宋_GB2312" w:hAnsi="仿宋_GB2312" w:eastAsia="仿宋_GB2312" w:cs="仿宋_GB2312"/>
                <w:sz w:val="28"/>
                <w:szCs w:val="28"/>
                <w:lang w:val="hr-HR"/>
              </w:rPr>
              <w:t>）</w:t>
            </w:r>
            <w:r>
              <w:rPr>
                <w:rFonts w:hint="eastAsia" w:ascii="仿宋_GB2312" w:hAnsi="仿宋_GB2312" w:eastAsia="仿宋_GB2312" w:cs="仿宋_GB2312"/>
                <w:sz w:val="28"/>
                <w:szCs w:val="28"/>
              </w:rPr>
              <w:t>维护方</w:t>
            </w:r>
            <w:r>
              <w:rPr>
                <w:rFonts w:hint="eastAsia" w:ascii="仿宋_GB2312" w:hAnsi="仿宋_GB2312" w:eastAsia="仿宋_GB2312" w:cs="仿宋_GB2312"/>
                <w:sz w:val="28"/>
                <w:szCs w:val="28"/>
                <w:lang w:val="hr-HR"/>
              </w:rPr>
              <w:t>出现重大管理失误或严重违约，</w:t>
            </w:r>
            <w:r>
              <w:rPr>
                <w:rFonts w:hint="eastAsia" w:ascii="仿宋_GB2312" w:hAnsi="仿宋_GB2312" w:eastAsia="仿宋_GB2312" w:cs="仿宋_GB2312"/>
                <w:sz w:val="28"/>
                <w:szCs w:val="28"/>
              </w:rPr>
              <w:t>学校</w:t>
            </w:r>
            <w:r>
              <w:rPr>
                <w:rFonts w:hint="eastAsia" w:ascii="仿宋_GB2312" w:hAnsi="仿宋_GB2312" w:eastAsia="仿宋_GB2312" w:cs="仿宋_GB2312"/>
                <w:sz w:val="28"/>
                <w:szCs w:val="28"/>
                <w:lang w:val="hr-HR"/>
              </w:rPr>
              <w:t>相关部门和管理小组有权取消合同并按违约责任条款执行，</w:t>
            </w:r>
            <w:r>
              <w:rPr>
                <w:rFonts w:hint="eastAsia" w:ascii="仿宋_GB2312" w:hAnsi="仿宋_GB2312" w:eastAsia="仿宋_GB2312" w:cs="仿宋_GB2312"/>
                <w:sz w:val="28"/>
                <w:szCs w:val="28"/>
              </w:rPr>
              <w:t>维护方</w:t>
            </w:r>
            <w:r>
              <w:rPr>
                <w:rFonts w:hint="eastAsia" w:ascii="仿宋_GB2312" w:hAnsi="仿宋_GB2312" w:eastAsia="仿宋_GB2312" w:cs="仿宋_GB2312"/>
                <w:sz w:val="28"/>
                <w:szCs w:val="28"/>
                <w:lang w:val="hr-HR"/>
              </w:rPr>
              <w:t>应及时赔偿由此造成的</w:t>
            </w:r>
            <w:r>
              <w:rPr>
                <w:rFonts w:hint="eastAsia" w:ascii="仿宋_GB2312" w:hAnsi="仿宋_GB2312" w:eastAsia="仿宋_GB2312" w:cs="仿宋_GB2312"/>
                <w:sz w:val="28"/>
                <w:szCs w:val="28"/>
              </w:rPr>
              <w:t>学校</w:t>
            </w:r>
            <w:r>
              <w:rPr>
                <w:rFonts w:hint="eastAsia" w:ascii="仿宋_GB2312" w:hAnsi="仿宋_GB2312" w:eastAsia="仿宋_GB2312" w:cs="仿宋_GB2312"/>
                <w:sz w:val="28"/>
                <w:szCs w:val="28"/>
                <w:lang w:val="hr-HR"/>
              </w:rPr>
              <w:t>的经济损失。</w:t>
            </w:r>
          </w:p>
          <w:p w14:paraId="3E1C7CB6">
            <w:pPr>
              <w:pageBreakBefore w:val="0"/>
              <w:widowControl w:val="0"/>
              <w:tabs>
                <w:tab w:val="left" w:pos="425"/>
              </w:tabs>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lang w:val="hr-HR"/>
              </w:rPr>
            </w:pPr>
            <w:r>
              <w:rPr>
                <w:rFonts w:hint="eastAsia" w:ascii="仿宋_GB2312" w:hAnsi="仿宋_GB2312" w:eastAsia="仿宋_GB2312" w:cs="仿宋_GB2312"/>
                <w:sz w:val="28"/>
                <w:szCs w:val="28"/>
                <w:lang w:val="hr-HR"/>
              </w:rPr>
              <w:t>（</w:t>
            </w:r>
            <w:r>
              <w:rPr>
                <w:rFonts w:hint="eastAsia" w:ascii="仿宋_GB2312" w:hAnsi="仿宋_GB2312" w:eastAsia="仿宋_GB2312" w:cs="仿宋_GB2312"/>
                <w:sz w:val="28"/>
                <w:szCs w:val="28"/>
                <w:lang w:val="en-US" w:eastAsia="zh-CN"/>
              </w:rPr>
              <w:t>8</w:t>
            </w:r>
            <w:r>
              <w:rPr>
                <w:rFonts w:hint="eastAsia" w:ascii="仿宋_GB2312" w:hAnsi="仿宋_GB2312" w:eastAsia="仿宋_GB2312" w:cs="仿宋_GB2312"/>
                <w:sz w:val="28"/>
                <w:szCs w:val="28"/>
                <w:lang w:val="hr-HR"/>
              </w:rPr>
              <w:t>）采购人发生突发、紧急、特殊的应急事件时，或有特殊任务需要紧急临时增加人员投入时，</w:t>
            </w:r>
            <w:r>
              <w:rPr>
                <w:rFonts w:hint="eastAsia" w:ascii="仿宋_GB2312" w:hAnsi="仿宋_GB2312" w:eastAsia="仿宋_GB2312" w:cs="仿宋_GB2312"/>
                <w:sz w:val="28"/>
                <w:szCs w:val="28"/>
              </w:rPr>
              <w:t>维护方</w:t>
            </w:r>
            <w:r>
              <w:rPr>
                <w:rFonts w:hint="eastAsia" w:ascii="仿宋_GB2312" w:hAnsi="仿宋_GB2312" w:eastAsia="仿宋_GB2312" w:cs="仿宋_GB2312"/>
                <w:sz w:val="28"/>
                <w:szCs w:val="28"/>
                <w:lang w:val="hr-HR"/>
              </w:rPr>
              <w:t>及其员工应服从采购人相关管理者的调遣和指挥并参与应急或加班工作。</w:t>
            </w:r>
          </w:p>
          <w:p w14:paraId="6A2C6BC9">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bCs/>
                <w:color w:val="000000"/>
                <w:sz w:val="28"/>
                <w:szCs w:val="28"/>
              </w:rPr>
            </w:pPr>
            <w:r>
              <w:rPr>
                <w:rFonts w:hint="eastAsia" w:ascii="仿宋_GB2312" w:hAnsi="仿宋_GB2312" w:eastAsia="仿宋_GB2312" w:cs="仿宋_GB2312"/>
                <w:sz w:val="28"/>
                <w:szCs w:val="28"/>
                <w:lang w:val="hr-HR"/>
              </w:rPr>
              <w:t>（</w:t>
            </w:r>
            <w:r>
              <w:rPr>
                <w:rFonts w:hint="eastAsia" w:ascii="仿宋_GB2312" w:hAnsi="仿宋_GB2312" w:eastAsia="仿宋_GB2312" w:cs="仿宋_GB2312"/>
                <w:sz w:val="28"/>
                <w:szCs w:val="28"/>
                <w:lang w:val="en-US" w:eastAsia="zh-CN"/>
              </w:rPr>
              <w:t>9</w:t>
            </w:r>
            <w:r>
              <w:rPr>
                <w:rFonts w:hint="eastAsia" w:ascii="仿宋_GB2312" w:hAnsi="仿宋_GB2312" w:eastAsia="仿宋_GB2312" w:cs="仿宋_GB2312"/>
                <w:sz w:val="28"/>
                <w:szCs w:val="28"/>
                <w:lang w:val="hr-HR"/>
              </w:rPr>
              <w:t>）</w:t>
            </w:r>
            <w:r>
              <w:rPr>
                <w:rFonts w:hint="eastAsia" w:ascii="仿宋_GB2312" w:hAnsi="仿宋_GB2312" w:eastAsia="仿宋_GB2312" w:cs="仿宋_GB2312"/>
                <w:sz w:val="28"/>
                <w:szCs w:val="28"/>
              </w:rPr>
              <w:t>维护方</w:t>
            </w:r>
            <w:r>
              <w:rPr>
                <w:rFonts w:hint="eastAsia" w:ascii="仿宋_GB2312" w:hAnsi="仿宋_GB2312" w:eastAsia="仿宋_GB2312" w:cs="仿宋_GB2312"/>
                <w:sz w:val="28"/>
                <w:szCs w:val="28"/>
                <w:lang w:val="hr-HR"/>
              </w:rPr>
              <w:t>员工的着装应配备专门的工作服。</w:t>
            </w:r>
            <w:r>
              <w:rPr>
                <w:rFonts w:hint="eastAsia" w:ascii="仿宋_GB2312" w:hAnsi="仿宋_GB2312" w:eastAsia="仿宋_GB2312" w:cs="仿宋_GB2312"/>
                <w:sz w:val="28"/>
                <w:szCs w:val="28"/>
              </w:rPr>
              <w:t>维护方</w:t>
            </w:r>
            <w:r>
              <w:rPr>
                <w:rFonts w:hint="eastAsia" w:ascii="仿宋_GB2312" w:hAnsi="仿宋_GB2312" w:eastAsia="仿宋_GB2312" w:cs="仿宋_GB2312"/>
                <w:sz w:val="28"/>
                <w:szCs w:val="28"/>
                <w:lang w:val="hr-HR"/>
              </w:rPr>
              <w:t>员工上岗工作期间应配戴标有员工姓名和编号的胸卡，上岗期间应讲究文明礼貌，注意仪表仪容。</w:t>
            </w:r>
          </w:p>
          <w:p w14:paraId="197FF9D0">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Fonts w:hint="eastAsia" w:ascii="仿宋_GB2312" w:hAnsi="仿宋_GB2312" w:eastAsia="仿宋_GB2312" w:cs="仿宋_GB2312"/>
                <w:sz w:val="28"/>
                <w:szCs w:val="28"/>
                <w:lang w:val="hr-HR"/>
              </w:rPr>
            </w:pP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lang w:val="en-US" w:eastAsia="zh-CN"/>
              </w:rPr>
              <w:t>10</w:t>
            </w:r>
            <w:r>
              <w:rPr>
                <w:rFonts w:hint="eastAsia" w:ascii="仿宋_GB2312" w:hAnsi="仿宋_GB2312" w:eastAsia="仿宋_GB2312" w:cs="仿宋_GB2312"/>
                <w:sz w:val="28"/>
                <w:szCs w:val="28"/>
              </w:rPr>
              <w:t>）维护方</w:t>
            </w:r>
            <w:r>
              <w:rPr>
                <w:rFonts w:hint="eastAsia" w:ascii="仿宋_GB2312" w:hAnsi="仿宋_GB2312" w:eastAsia="仿宋_GB2312" w:cs="仿宋_GB2312"/>
                <w:sz w:val="28"/>
                <w:szCs w:val="28"/>
                <w:lang w:val="hr-HR"/>
              </w:rPr>
              <w:t>及其员工在工作中发现各种问题和安全隐患，有责任报告所在科室和采购人相关部门处理，以提高管理质量和效率。</w:t>
            </w:r>
          </w:p>
          <w:p w14:paraId="4056306D">
            <w:pPr>
              <w:pageBreakBefore w:val="0"/>
              <w:widowControl w:val="0"/>
              <w:kinsoku/>
              <w:wordWrap/>
              <w:overflowPunct/>
              <w:topLinePunct w:val="0"/>
              <w:autoSpaceDE/>
              <w:autoSpaceDN/>
              <w:bidi w:val="0"/>
              <w:spacing w:line="520" w:lineRule="exact"/>
              <w:ind w:firstLine="560" w:firstLineChars="200"/>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hr-HR"/>
              </w:rPr>
              <w:t>（</w:t>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lang w:val="hr-HR"/>
              </w:rPr>
              <w:t>）</w:t>
            </w:r>
            <w:r>
              <w:rPr>
                <w:rFonts w:hint="eastAsia" w:ascii="仿宋_GB2312" w:hAnsi="仿宋_GB2312" w:eastAsia="仿宋_GB2312" w:cs="仿宋_GB2312"/>
                <w:sz w:val="28"/>
                <w:szCs w:val="28"/>
              </w:rPr>
              <w:t>维护方</w:t>
            </w:r>
            <w:r>
              <w:rPr>
                <w:rFonts w:hint="eastAsia" w:ascii="仿宋_GB2312" w:hAnsi="仿宋_GB2312" w:eastAsia="仿宋_GB2312" w:cs="仿宋_GB2312"/>
                <w:sz w:val="28"/>
                <w:szCs w:val="28"/>
                <w:lang w:eastAsia="zh-CN"/>
              </w:rPr>
              <w:t>在校内维保期间的</w:t>
            </w:r>
            <w:r>
              <w:rPr>
                <w:rFonts w:hint="eastAsia" w:ascii="仿宋_GB2312" w:hAnsi="仿宋_GB2312" w:eastAsia="仿宋_GB2312" w:cs="仿宋_GB2312"/>
                <w:sz w:val="28"/>
                <w:szCs w:val="28"/>
              </w:rPr>
              <w:t>员工工资、福利、工伤、疾病乃至</w:t>
            </w:r>
            <w:r>
              <w:rPr>
                <w:rFonts w:hint="eastAsia" w:ascii="仿宋_GB2312" w:hAnsi="仿宋_GB2312" w:eastAsia="仿宋_GB2312" w:cs="仿宋_GB2312"/>
                <w:sz w:val="28"/>
                <w:szCs w:val="28"/>
                <w:lang w:eastAsia="zh-CN"/>
              </w:rPr>
              <w:t>意外</w:t>
            </w:r>
            <w:r>
              <w:rPr>
                <w:rFonts w:hint="eastAsia" w:ascii="仿宋_GB2312" w:hAnsi="仿宋_GB2312" w:eastAsia="仿宋_GB2312" w:cs="仿宋_GB2312"/>
                <w:sz w:val="28"/>
                <w:szCs w:val="28"/>
              </w:rPr>
              <w:t>死亡等责任及费用由维护方全部负责；维护方应严格遵守国家有关的法律、法规及行业标准，并承担相应的费用</w:t>
            </w:r>
            <w:r>
              <w:rPr>
                <w:rFonts w:hint="eastAsia" w:ascii="仿宋_GB2312" w:hAnsi="仿宋_GB2312" w:eastAsia="仿宋_GB2312" w:cs="仿宋_GB2312"/>
                <w:sz w:val="28"/>
                <w:szCs w:val="28"/>
                <w:lang w:eastAsia="zh-CN"/>
              </w:rPr>
              <w:t>。</w:t>
            </w:r>
          </w:p>
          <w:p w14:paraId="6C96254D">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color w:val="000000"/>
                <w:kern w:val="0"/>
                <w:sz w:val="28"/>
                <w:szCs w:val="28"/>
                <w:lang w:bidi="ar"/>
              </w:rPr>
              <w:t>（1</w:t>
            </w:r>
            <w:r>
              <w:rPr>
                <w:rFonts w:hint="eastAsia" w:ascii="仿宋_GB2312" w:hAnsi="仿宋_GB2312" w:eastAsia="仿宋_GB2312" w:cs="仿宋_GB2312"/>
                <w:color w:val="000000"/>
                <w:kern w:val="0"/>
                <w:sz w:val="28"/>
                <w:szCs w:val="28"/>
                <w:lang w:val="en-US" w:eastAsia="zh-CN" w:bidi="ar"/>
              </w:rPr>
              <w:t>2</w:t>
            </w:r>
            <w:r>
              <w:rPr>
                <w:rFonts w:hint="eastAsia" w:ascii="仿宋_GB2312" w:hAnsi="仿宋_GB2312" w:eastAsia="仿宋_GB2312" w:cs="仿宋_GB2312"/>
                <w:color w:val="000000"/>
                <w:kern w:val="0"/>
                <w:sz w:val="28"/>
                <w:szCs w:val="28"/>
                <w:lang w:bidi="ar"/>
              </w:rPr>
              <w:t>）所有配电设备维护检查过程中</w:t>
            </w: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bidi="ar"/>
              </w:rPr>
              <w:t>发现配件故障及更换配件500（含500元）元以下的，由维护方负责采购配件免费更换；</w:t>
            </w:r>
            <w:r>
              <w:rPr>
                <w:rFonts w:hint="eastAsia" w:ascii="仿宋_GB2312" w:hAnsi="仿宋_GB2312" w:eastAsia="仿宋_GB2312" w:cs="仿宋_GB2312"/>
                <w:color w:val="000000"/>
                <w:kern w:val="0"/>
                <w:sz w:val="28"/>
                <w:szCs w:val="28"/>
                <w:lang w:eastAsia="zh-CN" w:bidi="ar"/>
              </w:rPr>
              <w:t>超过价值</w:t>
            </w:r>
            <w:r>
              <w:rPr>
                <w:rFonts w:hint="eastAsia" w:ascii="仿宋_GB2312" w:hAnsi="仿宋_GB2312" w:eastAsia="仿宋_GB2312" w:cs="仿宋_GB2312"/>
                <w:color w:val="000000"/>
                <w:kern w:val="0"/>
                <w:sz w:val="28"/>
                <w:szCs w:val="28"/>
                <w:lang w:bidi="ar"/>
              </w:rPr>
              <w:t>500元</w:t>
            </w:r>
            <w:r>
              <w:rPr>
                <w:rFonts w:hint="eastAsia" w:ascii="仿宋_GB2312" w:hAnsi="仿宋_GB2312" w:eastAsia="仿宋_GB2312" w:cs="仿宋_GB2312"/>
                <w:color w:val="000000"/>
                <w:kern w:val="0"/>
                <w:sz w:val="28"/>
                <w:szCs w:val="28"/>
                <w:lang w:eastAsia="zh-CN" w:bidi="ar"/>
              </w:rPr>
              <w:t>至</w:t>
            </w:r>
            <w:r>
              <w:rPr>
                <w:rFonts w:hint="eastAsia" w:ascii="仿宋_GB2312" w:hAnsi="仿宋_GB2312" w:eastAsia="仿宋_GB2312" w:cs="仿宋_GB2312"/>
                <w:color w:val="000000"/>
                <w:kern w:val="0"/>
                <w:sz w:val="28"/>
                <w:szCs w:val="28"/>
                <w:lang w:val="en-US" w:eastAsia="zh-CN" w:bidi="ar"/>
              </w:rPr>
              <w:t>2万元以内的</w:t>
            </w:r>
            <w:r>
              <w:rPr>
                <w:rFonts w:hint="eastAsia" w:ascii="仿宋_GB2312" w:hAnsi="仿宋_GB2312" w:eastAsia="仿宋_GB2312" w:cs="仿宋_GB2312"/>
                <w:color w:val="000000"/>
                <w:kern w:val="0"/>
                <w:sz w:val="28"/>
                <w:szCs w:val="28"/>
                <w:lang w:bidi="ar"/>
              </w:rPr>
              <w:t>配件更换，维护方通知校方采购免费更换或维护方报价给校方采购免费更换。</w:t>
            </w:r>
            <w:r>
              <w:rPr>
                <w:rFonts w:hint="eastAsia" w:ascii="仿宋_GB2312" w:hAnsi="仿宋_GB2312" w:eastAsia="仿宋_GB2312" w:cs="仿宋_GB2312"/>
                <w:color w:val="000000"/>
                <w:kern w:val="0"/>
                <w:sz w:val="28"/>
                <w:szCs w:val="28"/>
                <w:lang w:eastAsia="zh-CN" w:bidi="ar"/>
              </w:rPr>
              <w:t>配件</w:t>
            </w:r>
            <w:r>
              <w:rPr>
                <w:rFonts w:hint="eastAsia" w:ascii="仿宋_GB2312" w:hAnsi="仿宋_GB2312" w:eastAsia="仿宋_GB2312" w:cs="仿宋_GB2312"/>
                <w:color w:val="000000"/>
                <w:kern w:val="0"/>
                <w:sz w:val="28"/>
                <w:szCs w:val="28"/>
                <w:lang w:bidi="ar"/>
              </w:rPr>
              <w:t>更换</w:t>
            </w:r>
            <w:r>
              <w:rPr>
                <w:rFonts w:hint="eastAsia" w:ascii="仿宋_GB2312" w:hAnsi="仿宋_GB2312" w:eastAsia="仿宋_GB2312" w:cs="仿宋_GB2312"/>
                <w:color w:val="000000"/>
                <w:kern w:val="0"/>
                <w:sz w:val="28"/>
                <w:szCs w:val="28"/>
                <w:lang w:eastAsia="zh-CN" w:bidi="ar"/>
              </w:rPr>
              <w:t>价值</w:t>
            </w:r>
            <w:r>
              <w:rPr>
                <w:rFonts w:hint="eastAsia" w:ascii="仿宋_GB2312" w:hAnsi="仿宋_GB2312" w:eastAsia="仿宋_GB2312" w:cs="仿宋_GB2312"/>
                <w:color w:val="000000"/>
                <w:kern w:val="0"/>
                <w:sz w:val="28"/>
                <w:szCs w:val="28"/>
                <w:lang w:val="en-US" w:eastAsia="zh-CN" w:bidi="ar"/>
              </w:rPr>
              <w:t>2万（含2万）</w:t>
            </w:r>
            <w:r>
              <w:rPr>
                <w:rFonts w:hint="eastAsia" w:ascii="仿宋_GB2312" w:hAnsi="仿宋_GB2312" w:eastAsia="仿宋_GB2312" w:cs="仿宋_GB2312"/>
                <w:color w:val="000000"/>
                <w:kern w:val="0"/>
                <w:sz w:val="28"/>
                <w:szCs w:val="28"/>
                <w:lang w:bidi="ar"/>
              </w:rPr>
              <w:t>元以</w:t>
            </w:r>
            <w:r>
              <w:rPr>
                <w:rFonts w:hint="eastAsia" w:ascii="仿宋_GB2312" w:hAnsi="仿宋_GB2312" w:eastAsia="仿宋_GB2312" w:cs="仿宋_GB2312"/>
                <w:color w:val="000000"/>
                <w:kern w:val="0"/>
                <w:sz w:val="28"/>
                <w:szCs w:val="28"/>
                <w:lang w:eastAsia="zh-CN" w:bidi="ar"/>
              </w:rPr>
              <w:t>上</w:t>
            </w:r>
            <w:r>
              <w:rPr>
                <w:rFonts w:hint="eastAsia" w:ascii="仿宋_GB2312" w:hAnsi="仿宋_GB2312" w:eastAsia="仿宋_GB2312" w:cs="仿宋_GB2312"/>
                <w:color w:val="000000"/>
                <w:kern w:val="0"/>
                <w:sz w:val="28"/>
                <w:szCs w:val="28"/>
                <w:lang w:bidi="ar"/>
              </w:rPr>
              <w:t>配件费，</w:t>
            </w:r>
            <w:r>
              <w:rPr>
                <w:rFonts w:hint="eastAsia" w:ascii="仿宋_GB2312" w:hAnsi="仿宋_GB2312" w:eastAsia="仿宋_GB2312" w:cs="仿宋_GB2312"/>
                <w:color w:val="000000"/>
                <w:kern w:val="0"/>
                <w:sz w:val="28"/>
                <w:szCs w:val="28"/>
                <w:lang w:eastAsia="zh-CN" w:bidi="ar"/>
              </w:rPr>
              <w:t>由校方自行询价</w:t>
            </w:r>
            <w:r>
              <w:rPr>
                <w:rFonts w:hint="eastAsia" w:ascii="仿宋_GB2312" w:hAnsi="仿宋_GB2312" w:eastAsia="仿宋_GB2312" w:cs="仿宋_GB2312"/>
                <w:color w:val="000000"/>
                <w:kern w:val="0"/>
                <w:sz w:val="28"/>
                <w:szCs w:val="28"/>
                <w:lang w:bidi="ar"/>
              </w:rPr>
              <w:t>第三方</w:t>
            </w:r>
            <w:r>
              <w:rPr>
                <w:rFonts w:hint="eastAsia" w:ascii="仿宋_GB2312" w:hAnsi="仿宋_GB2312" w:eastAsia="仿宋_GB2312" w:cs="仿宋_GB2312"/>
                <w:color w:val="000000"/>
                <w:kern w:val="0"/>
                <w:sz w:val="28"/>
                <w:szCs w:val="28"/>
                <w:lang w:eastAsia="zh-CN" w:bidi="ar"/>
              </w:rPr>
              <w:t>服务公司自行</w:t>
            </w:r>
            <w:r>
              <w:rPr>
                <w:rFonts w:hint="eastAsia" w:ascii="仿宋_GB2312" w:hAnsi="仿宋_GB2312" w:eastAsia="仿宋_GB2312" w:cs="仿宋_GB2312"/>
                <w:color w:val="000000"/>
                <w:kern w:val="0"/>
                <w:sz w:val="28"/>
                <w:szCs w:val="28"/>
                <w:lang w:bidi="ar"/>
              </w:rPr>
              <w:t>采购更换。</w:t>
            </w:r>
            <w:r>
              <w:rPr>
                <w:rFonts w:hint="eastAsia" w:ascii="仿宋_GB2312" w:hAnsi="仿宋_GB2312" w:eastAsia="仿宋_GB2312" w:cs="仿宋_GB2312"/>
                <w:color w:val="000000"/>
                <w:kern w:val="0"/>
                <w:sz w:val="28"/>
                <w:szCs w:val="28"/>
                <w:lang w:eastAsia="zh-CN" w:bidi="ar"/>
              </w:rPr>
              <w:t>（维保方提供价值</w:t>
            </w:r>
            <w:r>
              <w:rPr>
                <w:rFonts w:hint="eastAsia" w:ascii="仿宋_GB2312" w:hAnsi="仿宋_GB2312" w:eastAsia="仿宋_GB2312" w:cs="仿宋_GB2312"/>
                <w:color w:val="000000"/>
                <w:kern w:val="0"/>
                <w:sz w:val="28"/>
                <w:szCs w:val="28"/>
                <w:lang w:val="en-US" w:eastAsia="zh-CN" w:bidi="ar"/>
              </w:rPr>
              <w:t>500元以下的易损坏配件清单表</w:t>
            </w:r>
            <w:r>
              <w:rPr>
                <w:rFonts w:hint="eastAsia" w:ascii="仿宋_GB2312" w:hAnsi="仿宋_GB2312" w:eastAsia="仿宋_GB2312" w:cs="仿宋_GB2312"/>
                <w:color w:val="000000"/>
                <w:kern w:val="0"/>
                <w:sz w:val="28"/>
                <w:szCs w:val="28"/>
                <w:lang w:eastAsia="zh-CN" w:bidi="ar"/>
              </w:rPr>
              <w:t>）</w:t>
            </w:r>
          </w:p>
          <w:p w14:paraId="7AC511E1">
            <w:pPr>
              <w:pageBreakBefore w:val="0"/>
              <w:widowControl w:val="0"/>
              <w:kinsoku/>
              <w:wordWrap/>
              <w:overflowPunct/>
              <w:topLinePunct w:val="0"/>
              <w:autoSpaceDE/>
              <w:autoSpaceDN/>
              <w:bidi w:val="0"/>
              <w:spacing w:line="520" w:lineRule="exact"/>
              <w:ind w:firstLine="560" w:firstLineChars="200"/>
              <w:textAlignment w:val="auto"/>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w:t>
            </w:r>
            <w:r>
              <w:rPr>
                <w:rFonts w:hint="eastAsia" w:ascii="仿宋_GB2312" w:hAnsi="仿宋_GB2312" w:eastAsia="仿宋_GB2312" w:cs="仿宋_GB2312"/>
                <w:color w:val="000000"/>
                <w:kern w:val="0"/>
                <w:sz w:val="28"/>
                <w:szCs w:val="28"/>
                <w:lang w:val="en-US" w:eastAsia="zh-CN" w:bidi="ar"/>
              </w:rPr>
              <w:t>3</w:t>
            </w:r>
            <w:r>
              <w:rPr>
                <w:rFonts w:hint="eastAsia" w:ascii="仿宋_GB2312" w:hAnsi="仿宋_GB2312" w:eastAsia="仿宋_GB2312" w:cs="仿宋_GB2312"/>
                <w:color w:val="000000"/>
                <w:kern w:val="0"/>
                <w:sz w:val="28"/>
                <w:szCs w:val="28"/>
                <w:lang w:bidi="ar"/>
              </w:rPr>
              <w:t>）</w:t>
            </w:r>
            <w:r>
              <w:rPr>
                <w:rStyle w:val="18"/>
                <w:rFonts w:hint="eastAsia" w:ascii="仿宋_GB2312" w:hAnsi="仿宋_GB2312" w:eastAsia="仿宋_GB2312" w:cs="仿宋_GB2312"/>
                <w:snapToGrid w:val="0"/>
                <w:color w:val="000000"/>
                <w:sz w:val="28"/>
                <w:szCs w:val="28"/>
                <w:lang w:bidi="ar"/>
              </w:rPr>
              <w:t>校内大型活动（校运会、考试等）提供</w:t>
            </w:r>
            <w:r>
              <w:rPr>
                <w:rStyle w:val="19"/>
                <w:rFonts w:hint="eastAsia" w:ascii="仿宋_GB2312" w:hAnsi="仿宋_GB2312" w:eastAsia="仿宋_GB2312" w:cs="仿宋_GB2312"/>
                <w:b w:val="0"/>
                <w:bCs w:val="0"/>
                <w:snapToGrid w:val="0"/>
                <w:color w:val="000000"/>
                <w:sz w:val="28"/>
                <w:szCs w:val="28"/>
                <w:lang w:bidi="ar"/>
              </w:rPr>
              <w:t>免费</w:t>
            </w:r>
            <w:r>
              <w:rPr>
                <w:rStyle w:val="18"/>
                <w:rFonts w:hint="eastAsia" w:ascii="仿宋_GB2312" w:hAnsi="仿宋_GB2312" w:eastAsia="仿宋_GB2312" w:cs="仿宋_GB2312"/>
                <w:snapToGrid w:val="0"/>
                <w:color w:val="000000"/>
                <w:sz w:val="28"/>
                <w:szCs w:val="28"/>
                <w:lang w:bidi="ar"/>
              </w:rPr>
              <w:t>值班保供电服务。</w:t>
            </w:r>
          </w:p>
          <w:p w14:paraId="73F8F81A">
            <w:pPr>
              <w:pStyle w:val="12"/>
              <w:pageBreakBefore w:val="0"/>
              <w:widowControl w:val="0"/>
              <w:kinsoku/>
              <w:wordWrap/>
              <w:overflowPunct/>
              <w:topLinePunct w:val="0"/>
              <w:autoSpaceDE/>
              <w:autoSpaceDN/>
              <w:bidi w:val="0"/>
              <w:spacing w:line="520" w:lineRule="exact"/>
              <w:ind w:left="0" w:leftChars="0" w:firstLine="546" w:firstLineChars="20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3、验收要求及标准：</w:t>
            </w:r>
          </w:p>
          <w:p w14:paraId="17275699">
            <w:pPr>
              <w:pStyle w:val="12"/>
              <w:keepNext w:val="0"/>
              <w:keepLines w:val="0"/>
              <w:pageBreakBefore w:val="0"/>
              <w:widowControl w:val="0"/>
              <w:kinsoku/>
              <w:wordWrap/>
              <w:overflowPunct/>
              <w:topLinePunct w:val="0"/>
              <w:autoSpaceDE/>
              <w:autoSpaceDN/>
              <w:bidi w:val="0"/>
              <w:adjustRightInd/>
              <w:snapToGrid/>
              <w:spacing w:line="520" w:lineRule="exact"/>
              <w:ind w:left="0" w:leftChars="0" w:firstLine="544" w:firstLineChars="200"/>
              <w:textAlignment w:val="auto"/>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（1）</w:t>
            </w:r>
            <w:r>
              <w:rPr>
                <w:rFonts w:hint="eastAsia" w:ascii="仿宋_GB2312" w:hAnsi="仿宋_GB2312" w:eastAsia="仿宋_GB2312" w:cs="仿宋_GB2312"/>
                <w:sz w:val="28"/>
                <w:szCs w:val="28"/>
              </w:rPr>
              <w:t>严格按照《电力安全工作规程》等国家标准，分季度、半年、年度开展分层级专项检测，出具具备法律效力的检测报告</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napToGrid w:val="0"/>
                <w:color w:val="000000"/>
                <w:kern w:val="0"/>
                <w:sz w:val="28"/>
                <w:szCs w:val="28"/>
                <w:lang w:val="en-US" w:eastAsia="en-US" w:bidi="ar-SA"/>
              </w:rPr>
              <w:t>预防性测试报告年度提交</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napToGrid w:val="0"/>
                <w:color w:val="000000"/>
                <w:kern w:val="0"/>
                <w:sz w:val="28"/>
                <w:szCs w:val="28"/>
                <w:lang w:val="en-US" w:eastAsia="en-US" w:bidi="ar-SA"/>
              </w:rPr>
              <w:t>。</w:t>
            </w:r>
          </w:p>
          <w:p w14:paraId="733945AF">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（2）维保方需提供当（月）季提交巡检总结报告及详细的巡检记录表、故障处理单等。</w:t>
            </w:r>
          </w:p>
          <w:p w14:paraId="37B83BB0">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（3）预防性测试报告（年度</w:t>
            </w:r>
            <w:r>
              <w:rPr>
                <w:rFonts w:hint="eastAsia" w:ascii="仿宋_GB2312" w:hAnsi="仿宋_GB2312" w:eastAsia="仿宋_GB2312" w:cs="仿宋_GB2312"/>
                <w:sz w:val="28"/>
                <w:szCs w:val="28"/>
                <w:lang w:eastAsia="zh-CN"/>
              </w:rPr>
              <w:t>内</w:t>
            </w:r>
            <w:r>
              <w:rPr>
                <w:rFonts w:hint="eastAsia" w:ascii="仿宋_GB2312" w:hAnsi="仿宋_GB2312" w:eastAsia="仿宋_GB2312" w:cs="仿宋_GB2312"/>
                <w:sz w:val="28"/>
                <w:szCs w:val="28"/>
              </w:rPr>
              <w:t>提交）。</w:t>
            </w:r>
          </w:p>
          <w:p w14:paraId="3DDF0901">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（4）配电房内无杂物、地板干净无积尘、杂物；电气设施设备运行无明显异响，报警声等。</w:t>
            </w:r>
          </w:p>
          <w:p w14:paraId="7D26210D">
            <w:pPr>
              <w:keepNext w:val="0"/>
              <w:keepLines w:val="0"/>
              <w:pageBreakBefore w:val="0"/>
              <w:widowControl w:val="0"/>
              <w:kinsoku/>
              <w:wordWrap/>
              <w:overflowPunct/>
              <w:topLinePunct w:val="0"/>
              <w:autoSpaceDE/>
              <w:autoSpaceDN/>
              <w:bidi w:val="0"/>
              <w:spacing w:line="520" w:lineRule="exact"/>
              <w:ind w:firstLine="560" w:firstLineChars="200"/>
              <w:jc w:val="both"/>
              <w:textAlignment w:val="auto"/>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sz w:val="28"/>
                <w:szCs w:val="28"/>
              </w:rPr>
              <w:t>（5）现场验收不通过需限期整改，否则视为违约。</w:t>
            </w:r>
          </w:p>
        </w:tc>
      </w:tr>
      <w:tr w14:paraId="074BB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7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AF5C7C">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仿宋_GB2312" w:hAnsi="仿宋_GB2312" w:eastAsia="仿宋_GB2312" w:cs="仿宋_GB2312"/>
                <w:b/>
                <w:kern w:val="2"/>
                <w:sz w:val="28"/>
                <w:szCs w:val="28"/>
                <w:lang w:val="en-US" w:eastAsia="zh-CN" w:bidi="ar-SA"/>
              </w:rPr>
            </w:pPr>
            <w:r>
              <w:rPr>
                <w:rFonts w:hint="eastAsia" w:ascii="仿宋_GB2312" w:hAnsi="仿宋_GB2312" w:eastAsia="仿宋_GB2312" w:cs="仿宋_GB2312"/>
                <w:kern w:val="0"/>
                <w:sz w:val="28"/>
                <w:szCs w:val="28"/>
              </w:rPr>
              <w:t>合同签订期</w:t>
            </w:r>
          </w:p>
        </w:tc>
        <w:tc>
          <w:tcPr>
            <w:tcW w:w="81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602B3A2">
            <w:pPr>
              <w:keepNext w:val="0"/>
              <w:keepLines w:val="0"/>
              <w:pageBreakBefore w:val="0"/>
              <w:widowControl w:val="0"/>
              <w:kinsoku/>
              <w:wordWrap/>
              <w:overflowPunct/>
              <w:topLinePunct w:val="0"/>
              <w:autoSpaceDE/>
              <w:autoSpaceDN/>
              <w:bidi w:val="0"/>
              <w:adjustRightInd/>
              <w:spacing w:line="520" w:lineRule="exact"/>
              <w:ind w:firstLine="560" w:firstLineChars="200"/>
              <w:textAlignment w:val="auto"/>
              <w:rPr>
                <w:rFonts w:hint="eastAsia" w:ascii="仿宋_GB2312" w:hAnsi="仿宋_GB2312" w:eastAsia="仿宋_GB2312" w:cs="仿宋_GB2312"/>
                <w:b/>
                <w:kern w:val="2"/>
                <w:sz w:val="28"/>
                <w:szCs w:val="28"/>
                <w:lang w:val="en-US" w:eastAsia="zh-CN" w:bidi="ar-SA"/>
              </w:rPr>
            </w:pPr>
            <w:r>
              <w:rPr>
                <w:rFonts w:hint="eastAsia" w:ascii="仿宋_GB2312" w:hAnsi="仿宋_GB2312" w:eastAsia="仿宋_GB2312" w:cs="仿宋_GB2312"/>
                <w:bCs/>
                <w:sz w:val="28"/>
                <w:szCs w:val="28"/>
              </w:rPr>
              <w:t>自成交通知书发出之日起25个日内。</w:t>
            </w:r>
          </w:p>
        </w:tc>
      </w:tr>
      <w:tr w14:paraId="2C3CF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7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2BA778">
            <w:pPr>
              <w:keepNext w:val="0"/>
              <w:keepLines w:val="0"/>
              <w:pageBreakBefore w:val="0"/>
              <w:widowControl w:val="0"/>
              <w:kinsoku/>
              <w:wordWrap/>
              <w:overflowPunct/>
              <w:topLinePunct w:val="0"/>
              <w:autoSpaceDE/>
              <w:autoSpaceDN/>
              <w:bidi w:val="0"/>
              <w:adjustRightInd/>
              <w:snapToGrid w:val="0"/>
              <w:spacing w:line="520"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0"/>
                <w:sz w:val="28"/>
                <w:szCs w:val="28"/>
              </w:rPr>
              <w:t>服务期限</w:t>
            </w:r>
            <w:r>
              <w:rPr>
                <w:rFonts w:hint="eastAsia" w:ascii="仿宋_GB2312" w:hAnsi="仿宋_GB2312" w:eastAsia="仿宋_GB2312" w:cs="仿宋_GB2312"/>
                <w:sz w:val="28"/>
                <w:szCs w:val="28"/>
              </w:rPr>
              <w:t>、</w:t>
            </w:r>
            <w:r>
              <w:rPr>
                <w:rFonts w:hint="eastAsia" w:ascii="仿宋_GB2312" w:hAnsi="仿宋_GB2312" w:eastAsia="仿宋_GB2312" w:cs="仿宋_GB2312"/>
                <w:kern w:val="0"/>
                <w:sz w:val="28"/>
                <w:szCs w:val="28"/>
              </w:rPr>
              <w:t>服务</w:t>
            </w:r>
            <w:r>
              <w:rPr>
                <w:rFonts w:hint="eastAsia" w:ascii="仿宋_GB2312" w:hAnsi="仿宋_GB2312" w:eastAsia="仿宋_GB2312" w:cs="仿宋_GB2312"/>
                <w:sz w:val="28"/>
                <w:szCs w:val="28"/>
              </w:rPr>
              <w:t>地点</w:t>
            </w:r>
          </w:p>
        </w:tc>
        <w:tc>
          <w:tcPr>
            <w:tcW w:w="81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DA21D94">
            <w:pPr>
              <w:keepNext w:val="0"/>
              <w:keepLines w:val="0"/>
              <w:pageBreakBefore w:val="0"/>
              <w:widowControl w:val="0"/>
              <w:kinsoku/>
              <w:wordWrap/>
              <w:overflowPunct/>
              <w:topLinePunct w:val="0"/>
              <w:autoSpaceDE/>
              <w:autoSpaceDN/>
              <w:bidi w:val="0"/>
              <w:adjustRightInd/>
              <w:spacing w:line="520" w:lineRule="exact"/>
              <w:ind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r>
              <w:rPr>
                <w:rFonts w:hint="eastAsia" w:ascii="仿宋_GB2312" w:hAnsi="仿宋_GB2312" w:eastAsia="仿宋_GB2312" w:cs="仿宋_GB2312"/>
                <w:kern w:val="0"/>
                <w:sz w:val="28"/>
                <w:szCs w:val="28"/>
              </w:rPr>
              <w:t>服务期限</w:t>
            </w:r>
            <w:r>
              <w:rPr>
                <w:rFonts w:hint="eastAsia" w:ascii="仿宋_GB2312" w:hAnsi="仿宋_GB2312" w:eastAsia="仿宋_GB2312" w:cs="仿宋_GB2312"/>
                <w:sz w:val="28"/>
                <w:szCs w:val="28"/>
              </w:rPr>
              <w:t>：自合同签订之日起一年，自签订合同之日起计算。服务期满后将视履约情况采取重新招标或续签合同，如需续签合同，总服务期限不能超过3年。</w:t>
            </w:r>
          </w:p>
          <w:p w14:paraId="12A47804">
            <w:pPr>
              <w:keepNext w:val="0"/>
              <w:keepLines w:val="0"/>
              <w:pageBreakBefore w:val="0"/>
              <w:widowControl w:val="0"/>
              <w:kinsoku/>
              <w:wordWrap/>
              <w:overflowPunct/>
              <w:topLinePunct w:val="0"/>
              <w:autoSpaceDE/>
              <w:autoSpaceDN/>
              <w:bidi w:val="0"/>
              <w:adjustRightInd/>
              <w:spacing w:line="520" w:lineRule="exact"/>
              <w:ind w:firstLine="560" w:firstLineChars="200"/>
              <w:jc w:val="left"/>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rPr>
              <w:t>2、</w:t>
            </w:r>
            <w:r>
              <w:rPr>
                <w:rFonts w:hint="eastAsia" w:ascii="仿宋_GB2312" w:hAnsi="仿宋_GB2312" w:eastAsia="仿宋_GB2312" w:cs="仿宋_GB2312"/>
                <w:kern w:val="0"/>
                <w:sz w:val="28"/>
                <w:szCs w:val="28"/>
              </w:rPr>
              <w:t>服务</w:t>
            </w:r>
            <w:r>
              <w:rPr>
                <w:rFonts w:hint="eastAsia" w:ascii="仿宋_GB2312" w:hAnsi="仿宋_GB2312" w:eastAsia="仿宋_GB2312" w:cs="仿宋_GB2312"/>
                <w:sz w:val="28"/>
                <w:szCs w:val="28"/>
              </w:rPr>
              <w:t>地点：采购人指定地点。</w:t>
            </w:r>
          </w:p>
        </w:tc>
      </w:tr>
      <w:tr w14:paraId="5A34C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17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0358D8">
            <w:pPr>
              <w:keepNext w:val="0"/>
              <w:keepLines w:val="0"/>
              <w:pageBreakBefore w:val="0"/>
              <w:widowControl w:val="0"/>
              <w:kinsoku/>
              <w:wordWrap/>
              <w:overflowPunct/>
              <w:topLinePunct w:val="0"/>
              <w:autoSpaceDE/>
              <w:autoSpaceDN/>
              <w:bidi w:val="0"/>
              <w:adjustRightInd/>
              <w:snapToGrid w:val="0"/>
              <w:spacing w:line="520"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rPr>
              <w:t>报价要求</w:t>
            </w:r>
          </w:p>
        </w:tc>
        <w:tc>
          <w:tcPr>
            <w:tcW w:w="81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A62B52">
            <w:pPr>
              <w:keepNext w:val="0"/>
              <w:keepLines w:val="0"/>
              <w:pageBreakBefore w:val="0"/>
              <w:widowControl w:val="0"/>
              <w:kinsoku/>
              <w:wordWrap/>
              <w:overflowPunct/>
              <w:topLinePunct w:val="0"/>
              <w:autoSpaceDE/>
              <w:autoSpaceDN/>
              <w:bidi w:val="0"/>
              <w:adjustRightInd/>
              <w:snapToGrid w:val="0"/>
              <w:spacing w:line="520" w:lineRule="exact"/>
              <w:ind w:firstLine="560" w:firstLineChars="200"/>
              <w:jc w:val="left"/>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磋商报价包括：</w:t>
            </w:r>
          </w:p>
          <w:p w14:paraId="04219588">
            <w:pPr>
              <w:keepNext w:val="0"/>
              <w:keepLines w:val="0"/>
              <w:pageBreakBefore w:val="0"/>
              <w:widowControl w:val="0"/>
              <w:kinsoku/>
              <w:wordWrap/>
              <w:overflowPunct/>
              <w:topLinePunct w:val="0"/>
              <w:autoSpaceDE/>
              <w:autoSpaceDN/>
              <w:bidi w:val="0"/>
              <w:adjustRightInd/>
              <w:snapToGrid w:val="0"/>
              <w:spacing w:line="520" w:lineRule="exact"/>
              <w:ind w:firstLine="560" w:firstLineChars="200"/>
              <w:jc w:val="left"/>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（1）服务的价格；</w:t>
            </w:r>
          </w:p>
          <w:p w14:paraId="2BCB070F">
            <w:pPr>
              <w:keepNext w:val="0"/>
              <w:keepLines w:val="0"/>
              <w:pageBreakBefore w:val="0"/>
              <w:widowControl w:val="0"/>
              <w:kinsoku/>
              <w:wordWrap/>
              <w:overflowPunct/>
              <w:topLinePunct w:val="0"/>
              <w:autoSpaceDE/>
              <w:autoSpaceDN/>
              <w:bidi w:val="0"/>
              <w:adjustRightInd/>
              <w:snapToGrid w:val="0"/>
              <w:spacing w:line="520" w:lineRule="exact"/>
              <w:ind w:firstLine="560" w:firstLineChars="200"/>
              <w:jc w:val="left"/>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（2）服务的标准附件、备品、工具的价格；</w:t>
            </w:r>
          </w:p>
          <w:p w14:paraId="41CEA91F">
            <w:pPr>
              <w:keepNext w:val="0"/>
              <w:keepLines w:val="0"/>
              <w:pageBreakBefore w:val="0"/>
              <w:widowControl w:val="0"/>
              <w:kinsoku/>
              <w:wordWrap/>
              <w:overflowPunct/>
              <w:topLinePunct w:val="0"/>
              <w:autoSpaceDE/>
              <w:autoSpaceDN/>
              <w:bidi w:val="0"/>
              <w:adjustRightInd/>
              <w:snapToGrid w:val="0"/>
              <w:spacing w:line="520" w:lineRule="exact"/>
              <w:ind w:firstLine="560" w:firstLineChars="200"/>
              <w:jc w:val="left"/>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（3）运输、装卸、调试、培训、技术支持、售后服务等费用；</w:t>
            </w:r>
          </w:p>
          <w:p w14:paraId="661C933E">
            <w:pPr>
              <w:keepNext w:val="0"/>
              <w:keepLines w:val="0"/>
              <w:pageBreakBefore w:val="0"/>
              <w:widowControl w:val="0"/>
              <w:kinsoku/>
              <w:wordWrap/>
              <w:overflowPunct/>
              <w:topLinePunct w:val="0"/>
              <w:autoSpaceDE/>
              <w:autoSpaceDN/>
              <w:bidi w:val="0"/>
              <w:adjustRightInd/>
              <w:snapToGrid w:val="0"/>
              <w:spacing w:line="520" w:lineRule="exact"/>
              <w:ind w:firstLine="560" w:firstLineChars="200"/>
              <w:jc w:val="left"/>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（4）必要的保险费用和各项税费；</w:t>
            </w:r>
          </w:p>
          <w:p w14:paraId="319BA4C1">
            <w:pPr>
              <w:keepNext w:val="0"/>
              <w:keepLines w:val="0"/>
              <w:pageBreakBefore w:val="0"/>
              <w:widowControl w:val="0"/>
              <w:kinsoku/>
              <w:wordWrap/>
              <w:overflowPunct/>
              <w:topLinePunct w:val="0"/>
              <w:autoSpaceDE/>
              <w:autoSpaceDN/>
              <w:bidi w:val="0"/>
              <w:adjustRightInd/>
              <w:snapToGrid w:val="0"/>
              <w:spacing w:line="520" w:lineRule="exact"/>
              <w:ind w:firstLine="560" w:firstLineChars="200"/>
              <w:jc w:val="left"/>
              <w:textAlignment w:val="auto"/>
              <w:rPr>
                <w:rFonts w:hint="eastAsia" w:ascii="仿宋_GB2312" w:hAnsi="仿宋_GB2312" w:eastAsia="仿宋_GB2312" w:cs="仿宋_GB2312"/>
                <w:color w:val="000000"/>
                <w:kern w:val="2"/>
                <w:sz w:val="28"/>
                <w:szCs w:val="28"/>
                <w:lang w:val="en-US" w:eastAsia="zh-CN" w:bidi="ar-SA"/>
              </w:rPr>
            </w:pPr>
            <w:r>
              <w:rPr>
                <w:rFonts w:hint="eastAsia" w:ascii="仿宋_GB2312" w:hAnsi="仿宋_GB2312" w:eastAsia="仿宋_GB2312" w:cs="仿宋_GB2312"/>
                <w:color w:val="000000"/>
                <w:sz w:val="28"/>
                <w:szCs w:val="28"/>
              </w:rPr>
              <w:t>（5）包括安装费用。</w:t>
            </w:r>
          </w:p>
        </w:tc>
      </w:tr>
    </w:tbl>
    <w:p w14:paraId="6EB97222">
      <w:pPr>
        <w:snapToGrid w:val="0"/>
        <w:spacing w:line="300" w:lineRule="auto"/>
        <w:rPr>
          <w:rFonts w:hint="default" w:ascii="仿宋" w:hAnsi="仿宋" w:eastAsia="仿宋" w:cs="仿宋"/>
          <w:sz w:val="30"/>
          <w:szCs w:val="30"/>
          <w:lang w:val="en-US" w:eastAsia="zh-CN"/>
        </w:rPr>
      </w:pPr>
      <w:r>
        <w:rPr>
          <w:rFonts w:hint="eastAsia" w:ascii="仿宋_GB2312" w:hAnsi="仿宋_GB2312" w:eastAsia="仿宋_GB2312" w:cs="仿宋_GB2312"/>
          <w:color w:val="000000"/>
          <w:sz w:val="24"/>
          <w:szCs w:val="24"/>
        </w:rPr>
        <w:t>说明</w:t>
      </w: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rPr>
        <w:t>所有价格均用人民币表示，单位为元，精确到个位数。</w:t>
      </w:r>
    </w:p>
    <w:sectPr>
      <w:footerReference r:id="rId3" w:type="default"/>
      <w:pgSz w:w="11906" w:h="16838"/>
      <w:pgMar w:top="1134" w:right="1134" w:bottom="1134" w:left="113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Arial Unicode MS"/>
    <w:panose1 w:val="02000000000000000000"/>
    <w:charset w:val="86"/>
    <w:family w:val="script"/>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1" w:fontKey="{925C8F68-B75B-45B5-AA3F-9F596F5CFA3C}"/>
  </w:font>
  <w:font w:name="仿宋_GB2312">
    <w:panose1 w:val="02010609030101010101"/>
    <w:charset w:val="86"/>
    <w:family w:val="modern"/>
    <w:pitch w:val="default"/>
    <w:sig w:usb0="00000001" w:usb1="080E0000" w:usb2="00000000" w:usb3="00000000" w:csb0="00040000" w:csb1="00000000"/>
    <w:embedRegular r:id="rId2" w:fontKey="{436D1A4F-A476-46E0-83E4-6777D44CC994}"/>
  </w:font>
  <w:font w:name="方正仿宋_GB2312">
    <w:altName w:val="仿宋"/>
    <w:panose1 w:val="02000000000000000000"/>
    <w:charset w:val="86"/>
    <w:family w:val="auto"/>
    <w:pitch w:val="default"/>
    <w:sig w:usb0="00000000" w:usb1="00000000" w:usb2="00000012" w:usb3="00000000" w:csb0="00040001" w:csb1="00000000"/>
  </w:font>
  <w:font w:name="方正公文小标宋">
    <w:panose1 w:val="02000500000000000000"/>
    <w:charset w:val="86"/>
    <w:family w:val="auto"/>
    <w:pitch w:val="default"/>
    <w:sig w:usb0="A00002BF" w:usb1="38CF7CFA" w:usb2="00000016" w:usb3="00000000" w:csb0="00040001" w:csb1="00000000"/>
    <w:embedRegular r:id="rId3" w:fontKey="{D53B7809-5247-4FD9-868A-90B6CC8CD831}"/>
  </w:font>
  <w:font w:name="WPSEMBED1">
    <w:panose1 w:val="02000500000000000000"/>
    <w:charset w:val="86"/>
    <w:family w:val="auto"/>
    <w:pitch w:val="default"/>
    <w:sig w:usb0="A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87B3E9">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83C290">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983C290">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1C"/>
    <w:multiLevelType w:val="singleLevel"/>
    <w:tmpl w:val="0000001C"/>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695859"/>
    <w:rsid w:val="003577A2"/>
    <w:rsid w:val="00443541"/>
    <w:rsid w:val="004901D4"/>
    <w:rsid w:val="00586FEC"/>
    <w:rsid w:val="00CE72AE"/>
    <w:rsid w:val="010B5723"/>
    <w:rsid w:val="01934780"/>
    <w:rsid w:val="01D929A8"/>
    <w:rsid w:val="021D3C05"/>
    <w:rsid w:val="027A1446"/>
    <w:rsid w:val="02867DB1"/>
    <w:rsid w:val="029F443D"/>
    <w:rsid w:val="02C95F7F"/>
    <w:rsid w:val="038A4E15"/>
    <w:rsid w:val="03906A9D"/>
    <w:rsid w:val="03CC1E33"/>
    <w:rsid w:val="03D45919"/>
    <w:rsid w:val="043164D2"/>
    <w:rsid w:val="04FA68C4"/>
    <w:rsid w:val="05C018BB"/>
    <w:rsid w:val="064707DC"/>
    <w:rsid w:val="06862B05"/>
    <w:rsid w:val="06A74829"/>
    <w:rsid w:val="07287718"/>
    <w:rsid w:val="077D7BEA"/>
    <w:rsid w:val="07B216D8"/>
    <w:rsid w:val="07F817E1"/>
    <w:rsid w:val="07FA0816"/>
    <w:rsid w:val="080C528C"/>
    <w:rsid w:val="081B3BDB"/>
    <w:rsid w:val="085D4882"/>
    <w:rsid w:val="08E8202A"/>
    <w:rsid w:val="08F17FDE"/>
    <w:rsid w:val="09603C0E"/>
    <w:rsid w:val="09954E0D"/>
    <w:rsid w:val="09A04AED"/>
    <w:rsid w:val="09AC2C7C"/>
    <w:rsid w:val="09BF626E"/>
    <w:rsid w:val="09C3197A"/>
    <w:rsid w:val="09CD2C33"/>
    <w:rsid w:val="09E638BB"/>
    <w:rsid w:val="0A0B50CF"/>
    <w:rsid w:val="0A123BB9"/>
    <w:rsid w:val="0A157CFC"/>
    <w:rsid w:val="0A747118"/>
    <w:rsid w:val="0A79028B"/>
    <w:rsid w:val="0AC110ED"/>
    <w:rsid w:val="0B093D05"/>
    <w:rsid w:val="0B6158EF"/>
    <w:rsid w:val="0B641412"/>
    <w:rsid w:val="0B7A7000"/>
    <w:rsid w:val="0B9D7743"/>
    <w:rsid w:val="0C126BE9"/>
    <w:rsid w:val="0C6D2071"/>
    <w:rsid w:val="0C992E66"/>
    <w:rsid w:val="0CC32CB5"/>
    <w:rsid w:val="0CDD71F7"/>
    <w:rsid w:val="0CE42333"/>
    <w:rsid w:val="0CFD33F5"/>
    <w:rsid w:val="0D160588"/>
    <w:rsid w:val="0D1A101C"/>
    <w:rsid w:val="0D4A5F0F"/>
    <w:rsid w:val="0D645222"/>
    <w:rsid w:val="0D8B5CA5"/>
    <w:rsid w:val="0DF201AC"/>
    <w:rsid w:val="0E5A2621"/>
    <w:rsid w:val="0E775F27"/>
    <w:rsid w:val="0F474DFC"/>
    <w:rsid w:val="0F73174D"/>
    <w:rsid w:val="0F9A4F2B"/>
    <w:rsid w:val="0FA15118"/>
    <w:rsid w:val="0FB81855"/>
    <w:rsid w:val="0FF85EDB"/>
    <w:rsid w:val="10196798"/>
    <w:rsid w:val="10323EE1"/>
    <w:rsid w:val="10F1795F"/>
    <w:rsid w:val="11567CCE"/>
    <w:rsid w:val="118714DF"/>
    <w:rsid w:val="11AE592F"/>
    <w:rsid w:val="11B54A9B"/>
    <w:rsid w:val="11D02E86"/>
    <w:rsid w:val="11FA43A7"/>
    <w:rsid w:val="1214532B"/>
    <w:rsid w:val="12347C54"/>
    <w:rsid w:val="123E24E6"/>
    <w:rsid w:val="12541464"/>
    <w:rsid w:val="125B4710"/>
    <w:rsid w:val="12681C41"/>
    <w:rsid w:val="12A54EC2"/>
    <w:rsid w:val="12BF3465"/>
    <w:rsid w:val="13BC5DB8"/>
    <w:rsid w:val="14042896"/>
    <w:rsid w:val="140B5688"/>
    <w:rsid w:val="14706BA3"/>
    <w:rsid w:val="147274C4"/>
    <w:rsid w:val="149219C3"/>
    <w:rsid w:val="149C463D"/>
    <w:rsid w:val="14D62EA9"/>
    <w:rsid w:val="15CC150A"/>
    <w:rsid w:val="15EC08FC"/>
    <w:rsid w:val="164756E1"/>
    <w:rsid w:val="1653052A"/>
    <w:rsid w:val="16E15B36"/>
    <w:rsid w:val="170610F8"/>
    <w:rsid w:val="171034DF"/>
    <w:rsid w:val="17231CAA"/>
    <w:rsid w:val="176645F2"/>
    <w:rsid w:val="17CD749A"/>
    <w:rsid w:val="17D62327"/>
    <w:rsid w:val="18B84674"/>
    <w:rsid w:val="19375EE1"/>
    <w:rsid w:val="195C2E49"/>
    <w:rsid w:val="19BD0194"/>
    <w:rsid w:val="19D72D72"/>
    <w:rsid w:val="1A2C607F"/>
    <w:rsid w:val="1A5A1E87"/>
    <w:rsid w:val="1A6836E2"/>
    <w:rsid w:val="1A6F1FEC"/>
    <w:rsid w:val="1AC76DF0"/>
    <w:rsid w:val="1AE43998"/>
    <w:rsid w:val="1AF91E57"/>
    <w:rsid w:val="1B2B2B54"/>
    <w:rsid w:val="1B34092A"/>
    <w:rsid w:val="1C1E6277"/>
    <w:rsid w:val="1C34594F"/>
    <w:rsid w:val="1CA473E9"/>
    <w:rsid w:val="1CC96E50"/>
    <w:rsid w:val="1CFE5B1D"/>
    <w:rsid w:val="1D5F6D7A"/>
    <w:rsid w:val="1DAB6F3A"/>
    <w:rsid w:val="1DB418AE"/>
    <w:rsid w:val="1DC67833"/>
    <w:rsid w:val="1DE40399"/>
    <w:rsid w:val="1DFE701D"/>
    <w:rsid w:val="1E122A78"/>
    <w:rsid w:val="1E1C7B69"/>
    <w:rsid w:val="1E397B74"/>
    <w:rsid w:val="1E641DBE"/>
    <w:rsid w:val="1F303A5C"/>
    <w:rsid w:val="1FF70178"/>
    <w:rsid w:val="203E7B55"/>
    <w:rsid w:val="2040567B"/>
    <w:rsid w:val="21366A7E"/>
    <w:rsid w:val="21510035"/>
    <w:rsid w:val="219226BE"/>
    <w:rsid w:val="219E0135"/>
    <w:rsid w:val="220A4192"/>
    <w:rsid w:val="2245259A"/>
    <w:rsid w:val="229D5007"/>
    <w:rsid w:val="22CA1B74"/>
    <w:rsid w:val="22EC7098"/>
    <w:rsid w:val="22FE5379"/>
    <w:rsid w:val="231B747C"/>
    <w:rsid w:val="240128C0"/>
    <w:rsid w:val="24957DD5"/>
    <w:rsid w:val="24C271F2"/>
    <w:rsid w:val="25780CA3"/>
    <w:rsid w:val="25B74631"/>
    <w:rsid w:val="25D24FC7"/>
    <w:rsid w:val="25DB004C"/>
    <w:rsid w:val="25DF76E4"/>
    <w:rsid w:val="265C41DF"/>
    <w:rsid w:val="267B25B1"/>
    <w:rsid w:val="26B62374"/>
    <w:rsid w:val="27D019DA"/>
    <w:rsid w:val="27DF3C33"/>
    <w:rsid w:val="27E115FA"/>
    <w:rsid w:val="27EC60E8"/>
    <w:rsid w:val="27FE623F"/>
    <w:rsid w:val="284C6040"/>
    <w:rsid w:val="28B119B2"/>
    <w:rsid w:val="28BC5ABB"/>
    <w:rsid w:val="29514455"/>
    <w:rsid w:val="295B325B"/>
    <w:rsid w:val="2B057BED"/>
    <w:rsid w:val="2B261911"/>
    <w:rsid w:val="2B702BE4"/>
    <w:rsid w:val="2BA430B1"/>
    <w:rsid w:val="2BA95732"/>
    <w:rsid w:val="2BBF4052"/>
    <w:rsid w:val="2C026199"/>
    <w:rsid w:val="2C42788B"/>
    <w:rsid w:val="2C7E7C57"/>
    <w:rsid w:val="2CE21C41"/>
    <w:rsid w:val="2DEB6CBF"/>
    <w:rsid w:val="2E3F536B"/>
    <w:rsid w:val="2E4E3659"/>
    <w:rsid w:val="2ECB6A58"/>
    <w:rsid w:val="2FE803AA"/>
    <w:rsid w:val="2FFE5A1F"/>
    <w:rsid w:val="300C37CC"/>
    <w:rsid w:val="30156AF1"/>
    <w:rsid w:val="304F751B"/>
    <w:rsid w:val="307512D6"/>
    <w:rsid w:val="310B3A83"/>
    <w:rsid w:val="315C6645"/>
    <w:rsid w:val="31A83080"/>
    <w:rsid w:val="31C4506B"/>
    <w:rsid w:val="31ED1D5A"/>
    <w:rsid w:val="31F2254D"/>
    <w:rsid w:val="32221084"/>
    <w:rsid w:val="325250B2"/>
    <w:rsid w:val="33260700"/>
    <w:rsid w:val="33F26834"/>
    <w:rsid w:val="34075F64"/>
    <w:rsid w:val="35006703"/>
    <w:rsid w:val="354873D0"/>
    <w:rsid w:val="356A4F5A"/>
    <w:rsid w:val="359A3628"/>
    <w:rsid w:val="35DF434D"/>
    <w:rsid w:val="371E7EBA"/>
    <w:rsid w:val="37386C54"/>
    <w:rsid w:val="373A0C1E"/>
    <w:rsid w:val="375FAEE1"/>
    <w:rsid w:val="3786210B"/>
    <w:rsid w:val="37D270A9"/>
    <w:rsid w:val="37F30DCD"/>
    <w:rsid w:val="380E11B5"/>
    <w:rsid w:val="381E409C"/>
    <w:rsid w:val="387463B2"/>
    <w:rsid w:val="38A511FB"/>
    <w:rsid w:val="38B247E4"/>
    <w:rsid w:val="39241B86"/>
    <w:rsid w:val="393A114C"/>
    <w:rsid w:val="39785A2E"/>
    <w:rsid w:val="39AA35E8"/>
    <w:rsid w:val="3A361B71"/>
    <w:rsid w:val="3A6A35C8"/>
    <w:rsid w:val="3AE96BE3"/>
    <w:rsid w:val="3B091033"/>
    <w:rsid w:val="3B365BA1"/>
    <w:rsid w:val="3BA527DC"/>
    <w:rsid w:val="3BEF6BD6"/>
    <w:rsid w:val="3BFB1E09"/>
    <w:rsid w:val="3C3B116F"/>
    <w:rsid w:val="3C6E4EC6"/>
    <w:rsid w:val="3C706E90"/>
    <w:rsid w:val="3C8C2C72"/>
    <w:rsid w:val="3CEF24AB"/>
    <w:rsid w:val="3D22018A"/>
    <w:rsid w:val="3D3D3216"/>
    <w:rsid w:val="3D4C3459"/>
    <w:rsid w:val="3D684A0B"/>
    <w:rsid w:val="3D8F15CC"/>
    <w:rsid w:val="3D9C247F"/>
    <w:rsid w:val="3DD57B16"/>
    <w:rsid w:val="3E0C543F"/>
    <w:rsid w:val="3E0E1A8B"/>
    <w:rsid w:val="3E6D18D9"/>
    <w:rsid w:val="3E8B1D5F"/>
    <w:rsid w:val="3ED25BE0"/>
    <w:rsid w:val="3EEB2D19"/>
    <w:rsid w:val="3F370BCB"/>
    <w:rsid w:val="3F744EE9"/>
    <w:rsid w:val="40AD420F"/>
    <w:rsid w:val="4101356D"/>
    <w:rsid w:val="412D2400"/>
    <w:rsid w:val="414636F0"/>
    <w:rsid w:val="4168282C"/>
    <w:rsid w:val="416E27E2"/>
    <w:rsid w:val="416F3801"/>
    <w:rsid w:val="41EF2605"/>
    <w:rsid w:val="42401BEA"/>
    <w:rsid w:val="428E37C9"/>
    <w:rsid w:val="429940CC"/>
    <w:rsid w:val="42E6744A"/>
    <w:rsid w:val="43086074"/>
    <w:rsid w:val="43827BD5"/>
    <w:rsid w:val="43A37B4B"/>
    <w:rsid w:val="43C95804"/>
    <w:rsid w:val="44213794"/>
    <w:rsid w:val="44B87626"/>
    <w:rsid w:val="44C164DB"/>
    <w:rsid w:val="44DB3186"/>
    <w:rsid w:val="454A5318"/>
    <w:rsid w:val="459B1AAA"/>
    <w:rsid w:val="45B222C8"/>
    <w:rsid w:val="45BB22F1"/>
    <w:rsid w:val="45EE1552"/>
    <w:rsid w:val="46081EE8"/>
    <w:rsid w:val="464F7B16"/>
    <w:rsid w:val="465D66D7"/>
    <w:rsid w:val="46A317DF"/>
    <w:rsid w:val="46D0453B"/>
    <w:rsid w:val="46F36A6E"/>
    <w:rsid w:val="47680E90"/>
    <w:rsid w:val="483A1661"/>
    <w:rsid w:val="48D3302F"/>
    <w:rsid w:val="48EF7956"/>
    <w:rsid w:val="493354CD"/>
    <w:rsid w:val="497004D0"/>
    <w:rsid w:val="49770275"/>
    <w:rsid w:val="49B05835"/>
    <w:rsid w:val="49B77EAC"/>
    <w:rsid w:val="49E76148"/>
    <w:rsid w:val="49EF3AEA"/>
    <w:rsid w:val="4A0F5F3A"/>
    <w:rsid w:val="4A7933B4"/>
    <w:rsid w:val="4AE50A49"/>
    <w:rsid w:val="4AFF5FAF"/>
    <w:rsid w:val="4B2C6678"/>
    <w:rsid w:val="4B4B2FA2"/>
    <w:rsid w:val="4B76442C"/>
    <w:rsid w:val="4B895879"/>
    <w:rsid w:val="4C63273B"/>
    <w:rsid w:val="4C786019"/>
    <w:rsid w:val="4D07532D"/>
    <w:rsid w:val="4D2717ED"/>
    <w:rsid w:val="4DBB3CB6"/>
    <w:rsid w:val="4DBC1F35"/>
    <w:rsid w:val="4DCD6F24"/>
    <w:rsid w:val="4DEB6377"/>
    <w:rsid w:val="4DED0341"/>
    <w:rsid w:val="4E306565"/>
    <w:rsid w:val="4E353A96"/>
    <w:rsid w:val="4E6D0ABA"/>
    <w:rsid w:val="4EC33BA0"/>
    <w:rsid w:val="4F0B3174"/>
    <w:rsid w:val="4F3B1580"/>
    <w:rsid w:val="4F764366"/>
    <w:rsid w:val="50103002"/>
    <w:rsid w:val="50211405"/>
    <w:rsid w:val="503A5393"/>
    <w:rsid w:val="507E6413"/>
    <w:rsid w:val="508B3E41"/>
    <w:rsid w:val="50966A6E"/>
    <w:rsid w:val="50A13664"/>
    <w:rsid w:val="50B82DD6"/>
    <w:rsid w:val="50D35F69"/>
    <w:rsid w:val="514C1822"/>
    <w:rsid w:val="51586419"/>
    <w:rsid w:val="51F90505"/>
    <w:rsid w:val="526F3A1A"/>
    <w:rsid w:val="52727F85"/>
    <w:rsid w:val="52CA6EA2"/>
    <w:rsid w:val="52F201A7"/>
    <w:rsid w:val="530571DB"/>
    <w:rsid w:val="53073C53"/>
    <w:rsid w:val="53202F66"/>
    <w:rsid w:val="53522541"/>
    <w:rsid w:val="53E2021C"/>
    <w:rsid w:val="540B1BC6"/>
    <w:rsid w:val="54216091"/>
    <w:rsid w:val="548C158B"/>
    <w:rsid w:val="54CF254E"/>
    <w:rsid w:val="54F473FF"/>
    <w:rsid w:val="551F080C"/>
    <w:rsid w:val="552328B1"/>
    <w:rsid w:val="554C0043"/>
    <w:rsid w:val="559D264C"/>
    <w:rsid w:val="55A27C63"/>
    <w:rsid w:val="55D65B5E"/>
    <w:rsid w:val="56000B25"/>
    <w:rsid w:val="560E354A"/>
    <w:rsid w:val="5637484F"/>
    <w:rsid w:val="56C634EA"/>
    <w:rsid w:val="56D57C04"/>
    <w:rsid w:val="5749313E"/>
    <w:rsid w:val="576F626A"/>
    <w:rsid w:val="578A6C00"/>
    <w:rsid w:val="57975564"/>
    <w:rsid w:val="57C32112"/>
    <w:rsid w:val="58300AA6"/>
    <w:rsid w:val="583F3E8F"/>
    <w:rsid w:val="58935F89"/>
    <w:rsid w:val="58B96B20"/>
    <w:rsid w:val="59036487"/>
    <w:rsid w:val="59CF6EB1"/>
    <w:rsid w:val="59E20F76"/>
    <w:rsid w:val="59F50DCE"/>
    <w:rsid w:val="5A235F34"/>
    <w:rsid w:val="5A556D96"/>
    <w:rsid w:val="5ABD7CE2"/>
    <w:rsid w:val="5ABF4E13"/>
    <w:rsid w:val="5B637E94"/>
    <w:rsid w:val="5BC86C25"/>
    <w:rsid w:val="5BDD7C46"/>
    <w:rsid w:val="5BEC60DC"/>
    <w:rsid w:val="5C25339C"/>
    <w:rsid w:val="5C3F445D"/>
    <w:rsid w:val="5C5F7B9D"/>
    <w:rsid w:val="5C7D4F86"/>
    <w:rsid w:val="5C9F314E"/>
    <w:rsid w:val="5D080CF3"/>
    <w:rsid w:val="5D6D6DA8"/>
    <w:rsid w:val="5D9F0F2C"/>
    <w:rsid w:val="5DDB01B6"/>
    <w:rsid w:val="5DE331B2"/>
    <w:rsid w:val="5E75720F"/>
    <w:rsid w:val="5F200575"/>
    <w:rsid w:val="5F820FCF"/>
    <w:rsid w:val="5F903222"/>
    <w:rsid w:val="5FB863F5"/>
    <w:rsid w:val="5FBA4A30"/>
    <w:rsid w:val="6094063A"/>
    <w:rsid w:val="60C018E5"/>
    <w:rsid w:val="60C864D5"/>
    <w:rsid w:val="60F5227A"/>
    <w:rsid w:val="611D2DF6"/>
    <w:rsid w:val="6129748A"/>
    <w:rsid w:val="612C6F7A"/>
    <w:rsid w:val="61637BA0"/>
    <w:rsid w:val="617B18E1"/>
    <w:rsid w:val="619F78E4"/>
    <w:rsid w:val="61DC274E"/>
    <w:rsid w:val="621320E0"/>
    <w:rsid w:val="62145A44"/>
    <w:rsid w:val="62481B92"/>
    <w:rsid w:val="62695859"/>
    <w:rsid w:val="62E418BB"/>
    <w:rsid w:val="63041F5D"/>
    <w:rsid w:val="63D277F1"/>
    <w:rsid w:val="63D5361B"/>
    <w:rsid w:val="63D537D1"/>
    <w:rsid w:val="63D75258"/>
    <w:rsid w:val="64270A9F"/>
    <w:rsid w:val="64596B4E"/>
    <w:rsid w:val="646002BB"/>
    <w:rsid w:val="647E189B"/>
    <w:rsid w:val="64A01811"/>
    <w:rsid w:val="64DF023C"/>
    <w:rsid w:val="65053D6A"/>
    <w:rsid w:val="651D65B4"/>
    <w:rsid w:val="652341F0"/>
    <w:rsid w:val="653930C7"/>
    <w:rsid w:val="65D648DA"/>
    <w:rsid w:val="65E252B4"/>
    <w:rsid w:val="66287D10"/>
    <w:rsid w:val="66862101"/>
    <w:rsid w:val="66FD0664"/>
    <w:rsid w:val="674F332C"/>
    <w:rsid w:val="676E5FAF"/>
    <w:rsid w:val="67896ED4"/>
    <w:rsid w:val="67C20952"/>
    <w:rsid w:val="67E95C0D"/>
    <w:rsid w:val="67ED7463"/>
    <w:rsid w:val="68060525"/>
    <w:rsid w:val="68183DB4"/>
    <w:rsid w:val="683F0A35"/>
    <w:rsid w:val="68680C6F"/>
    <w:rsid w:val="688E4077"/>
    <w:rsid w:val="689B59A1"/>
    <w:rsid w:val="690F6C80"/>
    <w:rsid w:val="69875790"/>
    <w:rsid w:val="69B45116"/>
    <w:rsid w:val="69B72B89"/>
    <w:rsid w:val="69DB27B6"/>
    <w:rsid w:val="69F10D61"/>
    <w:rsid w:val="69FD7706"/>
    <w:rsid w:val="6A23552C"/>
    <w:rsid w:val="6A5512F0"/>
    <w:rsid w:val="6A6B28C1"/>
    <w:rsid w:val="6AA66486"/>
    <w:rsid w:val="6ABF3227"/>
    <w:rsid w:val="6AC412B9"/>
    <w:rsid w:val="6ADC65C6"/>
    <w:rsid w:val="6BE26BB3"/>
    <w:rsid w:val="6C0618C6"/>
    <w:rsid w:val="6C4007A6"/>
    <w:rsid w:val="6C67530A"/>
    <w:rsid w:val="6CC835E5"/>
    <w:rsid w:val="6DE035C6"/>
    <w:rsid w:val="6EB365E5"/>
    <w:rsid w:val="6F26325B"/>
    <w:rsid w:val="6F466764"/>
    <w:rsid w:val="702F4391"/>
    <w:rsid w:val="710C2D52"/>
    <w:rsid w:val="71970440"/>
    <w:rsid w:val="71C4397A"/>
    <w:rsid w:val="720C6CA8"/>
    <w:rsid w:val="726A4AC3"/>
    <w:rsid w:val="727F0FDB"/>
    <w:rsid w:val="72F316A6"/>
    <w:rsid w:val="73016C5F"/>
    <w:rsid w:val="7384594D"/>
    <w:rsid w:val="738A200A"/>
    <w:rsid w:val="73C07EA6"/>
    <w:rsid w:val="73EC4A73"/>
    <w:rsid w:val="740238DF"/>
    <w:rsid w:val="740C0C71"/>
    <w:rsid w:val="74324450"/>
    <w:rsid w:val="74674561"/>
    <w:rsid w:val="74FF23ED"/>
    <w:rsid w:val="75501031"/>
    <w:rsid w:val="755723C0"/>
    <w:rsid w:val="756B3942"/>
    <w:rsid w:val="75A1188D"/>
    <w:rsid w:val="75EC2506"/>
    <w:rsid w:val="762322A2"/>
    <w:rsid w:val="762F1526"/>
    <w:rsid w:val="764346F2"/>
    <w:rsid w:val="767805CF"/>
    <w:rsid w:val="776158EB"/>
    <w:rsid w:val="777F5BFE"/>
    <w:rsid w:val="77B533CE"/>
    <w:rsid w:val="77CE269B"/>
    <w:rsid w:val="77E37F3B"/>
    <w:rsid w:val="78395DAD"/>
    <w:rsid w:val="7881167C"/>
    <w:rsid w:val="78C064CE"/>
    <w:rsid w:val="78C935D5"/>
    <w:rsid w:val="795A422D"/>
    <w:rsid w:val="79835BAD"/>
    <w:rsid w:val="799D1612"/>
    <w:rsid w:val="79F80A27"/>
    <w:rsid w:val="7A432BAD"/>
    <w:rsid w:val="7A435623"/>
    <w:rsid w:val="7AB12572"/>
    <w:rsid w:val="7ADE75AE"/>
    <w:rsid w:val="7B127FDA"/>
    <w:rsid w:val="7B3867F0"/>
    <w:rsid w:val="7B7900AD"/>
    <w:rsid w:val="7B9A4DB4"/>
    <w:rsid w:val="7C5C2629"/>
    <w:rsid w:val="7C920038"/>
    <w:rsid w:val="7CB41EA6"/>
    <w:rsid w:val="7CBB1486"/>
    <w:rsid w:val="7CFE66BC"/>
    <w:rsid w:val="7D8C697F"/>
    <w:rsid w:val="7D9871FF"/>
    <w:rsid w:val="7DFA7AE0"/>
    <w:rsid w:val="7EB20667"/>
    <w:rsid w:val="7EC34622"/>
    <w:rsid w:val="7ECE06A9"/>
    <w:rsid w:val="7EDD25AB"/>
    <w:rsid w:val="7F525CF0"/>
    <w:rsid w:val="7F686F78"/>
    <w:rsid w:val="7FF56A5D"/>
    <w:rsid w:val="7FFC3D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120" w:beforeLines="0" w:after="120" w:afterLines="0" w:line="240" w:lineRule="auto"/>
      <w:jc w:val="left"/>
      <w:outlineLvl w:val="0"/>
    </w:pPr>
    <w:rPr>
      <w:rFonts w:ascii="Times New Roman" w:hAnsi="Times New Roman" w:eastAsia="宋体" w:cstheme="minorBidi"/>
      <w:b/>
      <w:bCs/>
      <w:kern w:val="44"/>
      <w:sz w:val="28"/>
      <w:szCs w:val="44"/>
      <w:lang w:eastAsia="zh-CN"/>
    </w:rPr>
  </w:style>
  <w:style w:type="paragraph" w:styleId="3">
    <w:name w:val="heading 2"/>
    <w:basedOn w:val="1"/>
    <w:next w:val="1"/>
    <w:semiHidden/>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4">
    <w:name w:val="Body Text"/>
    <w:basedOn w:val="1"/>
    <w:next w:val="5"/>
    <w:qFormat/>
    <w:uiPriority w:val="0"/>
    <w:pPr>
      <w:autoSpaceDE w:val="0"/>
      <w:autoSpaceDN w:val="0"/>
      <w:spacing w:after="120"/>
      <w:jc w:val="left"/>
    </w:pPr>
    <w:rPr>
      <w:rFonts w:ascii="宋体"/>
      <w:kern w:val="0"/>
      <w:sz w:val="34"/>
      <w:szCs w:val="20"/>
    </w:rPr>
  </w:style>
  <w:style w:type="paragraph" w:styleId="5">
    <w:name w:val="Plain Text"/>
    <w:basedOn w:val="1"/>
    <w:qFormat/>
    <w:uiPriority w:val="0"/>
    <w:rPr>
      <w:rFonts w:ascii="宋体" w:hAnsi="Courier New"/>
      <w:szCs w:val="20"/>
    </w:rPr>
  </w:style>
  <w:style w:type="paragraph" w:styleId="6">
    <w:name w:val="Body Text Indent"/>
    <w:basedOn w:val="1"/>
    <w:qFormat/>
    <w:uiPriority w:val="0"/>
    <w:pPr>
      <w:spacing w:line="200" w:lineRule="exact"/>
      <w:ind w:firstLine="301"/>
    </w:pPr>
    <w:rPr>
      <w:rFonts w:ascii="宋体" w:hAnsi="Courier New"/>
      <w:spacing w:val="-4"/>
      <w:sz w:val="18"/>
      <w:szCs w:val="20"/>
    </w:rPr>
  </w:style>
  <w:style w:type="paragraph" w:styleId="7">
    <w:name w:val="footer"/>
    <w:basedOn w:val="1"/>
    <w:qFormat/>
    <w:uiPriority w:val="0"/>
    <w:pPr>
      <w:tabs>
        <w:tab w:val="center" w:pos="4153"/>
        <w:tab w:val="right" w:pos="8306"/>
      </w:tabs>
      <w:snapToGrid w:val="0"/>
      <w:jc w:val="left"/>
    </w:pPr>
    <w:rPr>
      <w:sz w:val="18"/>
    </w:rPr>
  </w:style>
  <w:style w:type="paragraph" w:styleId="8">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1">
    <w:name w:val="Body Text First Indent"/>
    <w:basedOn w:val="4"/>
    <w:qFormat/>
    <w:uiPriority w:val="0"/>
    <w:pPr>
      <w:snapToGrid w:val="0"/>
      <w:spacing w:line="360" w:lineRule="auto"/>
      <w:ind w:right="240" w:firstLine="420" w:firstLineChars="100"/>
    </w:pPr>
    <w:rPr>
      <w:rFonts w:hAnsi="宋体" w:eastAsia="方正仿宋_GBK"/>
      <w:kern w:val="2"/>
      <w:sz w:val="21"/>
      <w:szCs w:val="28"/>
    </w:rPr>
  </w:style>
  <w:style w:type="paragraph" w:styleId="12">
    <w:name w:val="Body Text First Indent 2"/>
    <w:basedOn w:val="6"/>
    <w:next w:val="4"/>
    <w:qFormat/>
    <w:uiPriority w:val="0"/>
    <w:pPr>
      <w:ind w:firstLine="420" w:firstLineChars="200"/>
    </w:pPr>
  </w:style>
  <w:style w:type="paragraph" w:styleId="15">
    <w:name w:val="Intense Quote"/>
    <w:basedOn w:val="1"/>
    <w:next w:val="1"/>
    <w:qFormat/>
    <w:uiPriority w:val="0"/>
    <w:pPr>
      <w:pBdr>
        <w:bottom w:val="single" w:color="4F81BD" w:sz="4" w:space="4"/>
      </w:pBdr>
      <w:spacing w:before="200" w:beforeLines="0" w:after="280" w:afterLines="0"/>
      <w:ind w:left="936" w:right="936"/>
    </w:pPr>
    <w:rPr>
      <w:b/>
      <w:bCs/>
      <w:i/>
      <w:iCs/>
      <w:color w:val="4F81BD"/>
      <w:szCs w:val="22"/>
    </w:rPr>
  </w:style>
  <w:style w:type="paragraph" w:customStyle="1" w:styleId="1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17">
    <w:name w:val="NormalCharacter"/>
    <w:qFormat/>
    <w:uiPriority w:val="0"/>
  </w:style>
  <w:style w:type="character" w:customStyle="1" w:styleId="18">
    <w:name w:val="font21"/>
    <w:qFormat/>
    <w:uiPriority w:val="0"/>
    <w:rPr>
      <w:rFonts w:hint="default" w:ascii="Calibri" w:hAnsi="Calibri" w:cs="Calibri"/>
      <w:color w:val="333333"/>
      <w:sz w:val="21"/>
      <w:szCs w:val="21"/>
      <w:u w:val="none"/>
    </w:rPr>
  </w:style>
  <w:style w:type="character" w:customStyle="1" w:styleId="19">
    <w:name w:val="font41"/>
    <w:qFormat/>
    <w:uiPriority w:val="0"/>
    <w:rPr>
      <w:rFonts w:hint="default" w:ascii="Calibri" w:hAnsi="Calibri" w:cs="Calibri"/>
      <w:b/>
      <w:bCs/>
      <w:color w:val="333333"/>
      <w:sz w:val="21"/>
      <w:szCs w:val="21"/>
      <w:u w:val="none"/>
    </w:rPr>
  </w:style>
  <w:style w:type="character" w:customStyle="1" w:styleId="20">
    <w:name w:val="font31"/>
    <w:basedOn w:val="14"/>
    <w:qFormat/>
    <w:uiPriority w:val="0"/>
    <w:rPr>
      <w:rFonts w:hint="eastAsia" w:ascii="宋体" w:hAnsi="宋体" w:eastAsia="宋体" w:cs="宋体"/>
      <w:b/>
      <w:bCs/>
      <w:color w:val="000000"/>
      <w:sz w:val="24"/>
      <w:szCs w:val="24"/>
      <w:u w:val="none"/>
    </w:rPr>
  </w:style>
  <w:style w:type="character" w:customStyle="1" w:styleId="21">
    <w:name w:val="font51"/>
    <w:basedOn w:val="14"/>
    <w:qFormat/>
    <w:uiPriority w:val="0"/>
    <w:rPr>
      <w:rFonts w:hint="default" w:ascii="Calibri" w:hAnsi="Calibri" w:cs="Calibri"/>
      <w:color w:val="000000"/>
      <w:sz w:val="24"/>
      <w:szCs w:val="24"/>
      <w:u w:val="none"/>
    </w:rPr>
  </w:style>
  <w:style w:type="character" w:customStyle="1" w:styleId="22">
    <w:name w:val="font61"/>
    <w:basedOn w:val="14"/>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2440</Words>
  <Characters>2611</Characters>
  <Lines>0</Lines>
  <Paragraphs>0</Paragraphs>
  <TotalTime>12</TotalTime>
  <ScaleCrop>false</ScaleCrop>
  <LinksUpToDate>false</LinksUpToDate>
  <CharactersWithSpaces>2754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2026-01-27T15:09:00Z</dcterms:created>
  <dc:creator>shimmer</dc:creator>
  <cp:lastModifiedBy>龍猫圈圈</cp:lastModifiedBy>
  <dcterms:modified xsi:type="dcterms:W3CDTF">2026-04-24T10:15:35Z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C20D5EE4B8A74983A5EF0F64D0A17A99_13</vt:lpwstr>
  </property>
  <property fmtid="{D5CDD505-2E9C-101B-9397-08002B2CF9AE}" pid="4" name="KSOTemplateDocerSaveRecord">
    <vt:lpwstr>eyJoZGlkIjoiZDJiN2I3Y2NlNDkyOWVkYWI4MjYzY2IyNmQ5MzQ2YjIiLCJ1c2VySWQiOiIzNjIyMTYyOTgifQ==</vt:lpwstr>
  </property>
</Properties>
</file>