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A30E2A">
      <w:pPr>
        <w:spacing w:line="520" w:lineRule="exact"/>
        <w:jc w:val="center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2026年广西职业院校技能大赛参赛设备采购文件</w:t>
      </w:r>
    </w:p>
    <w:p w14:paraId="767FBFBE">
      <w:pPr>
        <w:spacing w:line="520" w:lineRule="exact"/>
        <w:ind w:firstLine="880"/>
        <w:jc w:val="center"/>
        <w:rPr>
          <w:rFonts w:ascii="宋体" w:hAnsi="宋体" w:eastAsia="宋体"/>
          <w:b/>
          <w:sz w:val="44"/>
          <w:szCs w:val="44"/>
        </w:rPr>
      </w:pPr>
    </w:p>
    <w:p w14:paraId="2A9B3DF1">
      <w:pPr>
        <w:spacing w:line="520" w:lineRule="exact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 xml:space="preserve">    </w:t>
      </w:r>
      <w:r>
        <w:rPr>
          <w:rFonts w:hint="eastAsia" w:ascii="仿宋" w:hAnsi="仿宋" w:eastAsia="仿宋"/>
          <w:color w:val="000000"/>
          <w:sz w:val="30"/>
          <w:szCs w:val="30"/>
        </w:rPr>
        <w:t>现对“22026年广西职业院校技能大赛参赛设备”进行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零星</w:t>
      </w:r>
      <w:r>
        <w:rPr>
          <w:rFonts w:hint="eastAsia" w:ascii="仿宋" w:hAnsi="仿宋" w:eastAsia="仿宋"/>
          <w:color w:val="000000"/>
          <w:sz w:val="30"/>
          <w:szCs w:val="30"/>
        </w:rPr>
        <w:t>询价采购，欢迎满足资格要求的相关单位前来参加，具体事宜如下：</w:t>
      </w:r>
    </w:p>
    <w:p w14:paraId="19EEB4EE">
      <w:pPr>
        <w:spacing w:line="520" w:lineRule="exact"/>
        <w:ind w:firstLine="600" w:firstLineChars="200"/>
        <w:rPr>
          <w:rFonts w:hint="eastAsia"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一、项目名称：2026年广西职业院校技能大赛参赛设备</w:t>
      </w:r>
    </w:p>
    <w:p w14:paraId="31017573">
      <w:pPr>
        <w:numPr>
          <w:ilvl w:val="0"/>
          <w:numId w:val="1"/>
        </w:numPr>
        <w:spacing w:line="520" w:lineRule="exact"/>
        <w:ind w:firstLine="600" w:firstLineChars="200"/>
        <w:rPr>
          <w:rFonts w:hint="eastAsia"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采购内容：详见附件</w:t>
      </w:r>
    </w:p>
    <w:p w14:paraId="4D5A0D20">
      <w:pPr>
        <w:spacing w:line="520" w:lineRule="exact"/>
        <w:ind w:firstLine="600" w:firstLineChars="200"/>
        <w:rPr>
          <w:rFonts w:hint="eastAsia"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三、采购</w:t>
      </w:r>
      <w:r>
        <w:rPr>
          <w:rFonts w:ascii="仿宋" w:hAnsi="仿宋" w:eastAsia="仿宋"/>
          <w:color w:val="000000"/>
          <w:sz w:val="30"/>
          <w:szCs w:val="30"/>
        </w:rPr>
        <w:t>预算</w:t>
      </w:r>
      <w:r>
        <w:rPr>
          <w:rFonts w:hint="eastAsia" w:ascii="仿宋" w:hAnsi="仿宋" w:eastAsia="仿宋"/>
          <w:color w:val="000000"/>
          <w:sz w:val="30"/>
          <w:szCs w:val="30"/>
        </w:rPr>
        <w:t>：</w:t>
      </w: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29400.00</w:t>
      </w:r>
      <w:r>
        <w:rPr>
          <w:rFonts w:hint="eastAsia" w:ascii="仿宋" w:hAnsi="仿宋" w:eastAsia="仿宋"/>
          <w:color w:val="000000"/>
          <w:sz w:val="30"/>
          <w:szCs w:val="30"/>
        </w:rPr>
        <w:t>元</w:t>
      </w:r>
    </w:p>
    <w:p w14:paraId="00E6C9D6">
      <w:pPr>
        <w:spacing w:line="520" w:lineRule="exact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四、采购方式：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零星</w:t>
      </w:r>
      <w:r>
        <w:rPr>
          <w:rFonts w:hint="eastAsia" w:ascii="仿宋" w:hAnsi="仿宋" w:eastAsia="仿宋"/>
          <w:color w:val="000000"/>
          <w:sz w:val="30"/>
          <w:szCs w:val="30"/>
        </w:rPr>
        <w:t>询价</w:t>
      </w:r>
    </w:p>
    <w:p w14:paraId="1374A20D">
      <w:pPr>
        <w:spacing w:line="520" w:lineRule="exact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五、供应商资格要求：</w:t>
      </w:r>
      <w:r>
        <w:rPr>
          <w:rFonts w:hint="eastAsia" w:ascii="仿宋" w:hAnsi="仿宋" w:eastAsia="仿宋"/>
          <w:bCs/>
          <w:sz w:val="30"/>
          <w:szCs w:val="30"/>
        </w:rPr>
        <w:t>1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.</w:t>
      </w:r>
      <w:r>
        <w:rPr>
          <w:rFonts w:hint="eastAsia" w:ascii="仿宋" w:hAnsi="仿宋" w:eastAsia="仿宋"/>
          <w:bCs/>
          <w:sz w:val="30"/>
          <w:szCs w:val="30"/>
        </w:rPr>
        <w:t>投标人应符合《中华人民共和国政府采购法》第二十二条规定；2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.</w:t>
      </w:r>
      <w:r>
        <w:rPr>
          <w:rFonts w:hint="eastAsia" w:ascii="仿宋" w:hAnsi="仿宋" w:eastAsia="仿宋"/>
          <w:bCs/>
          <w:sz w:val="30"/>
          <w:szCs w:val="30"/>
        </w:rPr>
        <w:t>具有国内法人资格，生产或经营能力满足采购内容；3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.</w:t>
      </w:r>
      <w:r>
        <w:rPr>
          <w:rFonts w:hint="eastAsia" w:ascii="仿宋" w:hAnsi="仿宋" w:eastAsia="仿宋"/>
          <w:bCs/>
          <w:sz w:val="30"/>
          <w:szCs w:val="30"/>
        </w:rPr>
        <w:t>不接受联合体投标</w:t>
      </w:r>
      <w:r>
        <w:rPr>
          <w:rFonts w:hint="eastAsia" w:ascii="仿宋" w:hAnsi="仿宋" w:eastAsia="仿宋"/>
          <w:bCs/>
          <w:sz w:val="30"/>
          <w:szCs w:val="30"/>
          <w:lang w:eastAsia="zh-CN"/>
        </w:rPr>
        <w:t>，4.本采购目录涉及第二类或三类医疗器械，须提供与投标产品对应的有效《医疗器械经营备案凭证》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。</w:t>
      </w:r>
    </w:p>
    <w:p w14:paraId="7B73DBF3">
      <w:pPr>
        <w:spacing w:line="520" w:lineRule="exact"/>
        <w:ind w:firstLine="600" w:firstLineChars="200"/>
        <w:jc w:val="left"/>
        <w:rPr>
          <w:rFonts w:hint="eastAsia" w:ascii="仿宋" w:hAnsi="仿宋" w:eastAsia="仿宋"/>
          <w:bCs/>
          <w:sz w:val="30"/>
          <w:szCs w:val="30"/>
        </w:rPr>
      </w:pPr>
      <w:r>
        <w:rPr>
          <w:rFonts w:hint="eastAsia" w:ascii="仿宋" w:hAnsi="仿宋" w:eastAsia="仿宋"/>
          <w:bCs/>
          <w:sz w:val="30"/>
          <w:szCs w:val="30"/>
        </w:rPr>
        <w:t>六、递交竞价文件时间：供应商将</w:t>
      </w:r>
      <w:r>
        <w:rPr>
          <w:rFonts w:hint="eastAsia" w:ascii="仿宋" w:hAnsi="仿宋" w:eastAsia="仿宋"/>
          <w:bCs/>
          <w:sz w:val="30"/>
          <w:szCs w:val="30"/>
          <w:lang w:eastAsia="zh-CN"/>
        </w:rPr>
        <w:t>投标</w:t>
      </w:r>
      <w:r>
        <w:rPr>
          <w:rFonts w:hint="eastAsia" w:ascii="仿宋" w:hAnsi="仿宋" w:eastAsia="仿宋"/>
          <w:bCs/>
          <w:sz w:val="30"/>
          <w:szCs w:val="30"/>
        </w:rPr>
        <w:t>文件在202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bCs/>
          <w:sz w:val="30"/>
          <w:szCs w:val="30"/>
        </w:rPr>
        <w:t>年</w:t>
      </w:r>
      <w:r>
        <w:rPr>
          <w:rFonts w:hint="eastAsia" w:ascii="仿宋" w:hAnsi="仿宋" w:eastAsia="仿宋"/>
          <w:bCs/>
          <w:sz w:val="30"/>
          <w:szCs w:val="30"/>
          <w:u w:val="single"/>
          <w:lang w:val="en-US" w:eastAsia="zh-CN"/>
        </w:rPr>
        <w:t xml:space="preserve"> 2 </w:t>
      </w:r>
      <w:r>
        <w:rPr>
          <w:rFonts w:hint="eastAsia" w:ascii="仿宋" w:hAnsi="仿宋" w:eastAsia="仿宋"/>
          <w:bCs/>
          <w:sz w:val="30"/>
          <w:szCs w:val="30"/>
        </w:rPr>
        <w:t>月</w:t>
      </w:r>
      <w:r>
        <w:rPr>
          <w:rFonts w:hint="eastAsia" w:ascii="仿宋" w:hAnsi="仿宋" w:eastAsia="仿宋"/>
          <w:bCs/>
          <w:sz w:val="30"/>
          <w:szCs w:val="30"/>
          <w:u w:val="single"/>
          <w:lang w:val="en-US" w:eastAsia="zh-CN"/>
        </w:rPr>
        <w:t xml:space="preserve"> 6</w:t>
      </w:r>
      <w:r>
        <w:rPr>
          <w:rFonts w:hint="eastAsia" w:ascii="仿宋" w:hAnsi="仿宋" w:eastAsia="仿宋"/>
          <w:bCs/>
          <w:sz w:val="30"/>
          <w:szCs w:val="30"/>
        </w:rPr>
        <w:t>日</w:t>
      </w:r>
      <w:r>
        <w:rPr>
          <w:rFonts w:hint="eastAsia" w:ascii="仿宋" w:hAnsi="仿宋" w:eastAsia="仿宋"/>
          <w:bCs/>
          <w:sz w:val="30"/>
          <w:szCs w:val="30"/>
          <w:u w:val="single"/>
          <w:lang w:val="en-US" w:eastAsia="zh-CN"/>
        </w:rPr>
        <w:t xml:space="preserve">  9 </w:t>
      </w:r>
      <w:r>
        <w:rPr>
          <w:rFonts w:hint="eastAsia" w:ascii="仿宋" w:hAnsi="仿宋" w:eastAsia="仿宋"/>
          <w:bCs/>
          <w:sz w:val="30"/>
          <w:szCs w:val="30"/>
          <w:u w:val="none"/>
          <w:lang w:val="en-US" w:eastAsia="zh-CN"/>
        </w:rPr>
        <w:t>时</w:t>
      </w:r>
      <w:r>
        <w:rPr>
          <w:rFonts w:hint="eastAsia" w:ascii="仿宋" w:hAnsi="仿宋" w:eastAsia="仿宋"/>
          <w:bCs/>
          <w:sz w:val="30"/>
          <w:szCs w:val="30"/>
          <w:u w:val="single"/>
          <w:lang w:val="en-US" w:eastAsia="zh-CN"/>
        </w:rPr>
        <w:t xml:space="preserve">  30 </w:t>
      </w:r>
      <w:r>
        <w:rPr>
          <w:rFonts w:hint="eastAsia" w:ascii="仿宋" w:hAnsi="仿宋" w:eastAsia="仿宋"/>
          <w:bCs/>
          <w:sz w:val="30"/>
          <w:szCs w:val="30"/>
          <w:u w:val="none"/>
          <w:lang w:val="en-US" w:eastAsia="zh-CN"/>
        </w:rPr>
        <w:t>分</w:t>
      </w:r>
      <w:r>
        <w:rPr>
          <w:rFonts w:hint="eastAsia" w:ascii="仿宋" w:hAnsi="仿宋" w:eastAsia="仿宋"/>
          <w:bCs/>
          <w:sz w:val="30"/>
          <w:szCs w:val="30"/>
        </w:rPr>
        <w:t>前送至南宁市卫生学校相思湖校区图书馆综合楼16楼16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11</w:t>
      </w:r>
      <w:r>
        <w:rPr>
          <w:rFonts w:hint="eastAsia" w:ascii="仿宋" w:hAnsi="仿宋" w:eastAsia="仿宋"/>
          <w:bCs/>
          <w:sz w:val="30"/>
          <w:szCs w:val="30"/>
        </w:rPr>
        <w:t>室，所有文件需提供</w:t>
      </w:r>
      <w:r>
        <w:rPr>
          <w:rFonts w:hint="eastAsia" w:ascii="仿宋" w:hAnsi="仿宋" w:eastAsia="仿宋"/>
          <w:bCs/>
          <w:sz w:val="30"/>
          <w:szCs w:val="30"/>
          <w:lang w:eastAsia="zh-CN"/>
        </w:rPr>
        <w:t>一式一</w:t>
      </w:r>
      <w:r>
        <w:rPr>
          <w:rFonts w:hint="eastAsia" w:ascii="仿宋" w:hAnsi="仿宋" w:eastAsia="仿宋"/>
          <w:bCs/>
          <w:sz w:val="30"/>
          <w:szCs w:val="30"/>
        </w:rPr>
        <w:t>份，装入档案袋密封并在骑缝处加盖单位公章，档案袋上注明项目名称、报名单位、联系人、联系方式。</w:t>
      </w:r>
    </w:p>
    <w:p w14:paraId="79444DA6">
      <w:pPr>
        <w:spacing w:line="520" w:lineRule="exact"/>
        <w:ind w:firstLine="600" w:firstLineChars="200"/>
        <w:jc w:val="left"/>
        <w:rPr>
          <w:rFonts w:hint="eastAsia" w:ascii="仿宋" w:hAnsi="仿宋" w:eastAsia="仿宋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七</w:t>
      </w:r>
      <w:r>
        <w:rPr>
          <w:rFonts w:hint="eastAsia" w:ascii="仿宋" w:hAnsi="仿宋" w:eastAsia="仿宋"/>
          <w:bCs/>
          <w:sz w:val="30"/>
          <w:szCs w:val="30"/>
        </w:rPr>
        <w:t>、咨询电话：0771-3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939372</w:t>
      </w:r>
      <w:r>
        <w:rPr>
          <w:rFonts w:hint="eastAsia" w:ascii="仿宋" w:hAnsi="仿宋" w:eastAsia="仿宋"/>
          <w:bCs/>
          <w:sz w:val="30"/>
          <w:szCs w:val="30"/>
        </w:rPr>
        <w:t xml:space="preserve"> </w:t>
      </w:r>
      <w:r>
        <w:rPr>
          <w:rFonts w:hint="eastAsia" w:ascii="仿宋" w:hAnsi="仿宋" w:eastAsia="仿宋"/>
          <w:bCs/>
          <w:sz w:val="30"/>
          <w:szCs w:val="30"/>
          <w:lang w:val="en-US" w:eastAsia="zh-CN"/>
        </w:rPr>
        <w:t>13711597956</w:t>
      </w:r>
      <w:r>
        <w:rPr>
          <w:rFonts w:hint="eastAsia" w:ascii="仿宋" w:hAnsi="仿宋" w:eastAsia="仿宋"/>
          <w:bCs/>
          <w:sz w:val="30"/>
          <w:szCs w:val="30"/>
        </w:rPr>
        <w:t>杨老师</w:t>
      </w:r>
    </w:p>
    <w:p w14:paraId="3A5626DC">
      <w:pPr>
        <w:spacing w:line="520" w:lineRule="exact"/>
        <w:ind w:left="5880" w:leftChars="2800"/>
        <w:rPr>
          <w:rFonts w:ascii="仿宋" w:hAnsi="仿宋" w:eastAsia="仿宋"/>
          <w:color w:val="000000"/>
          <w:sz w:val="32"/>
          <w:szCs w:val="32"/>
        </w:rPr>
      </w:pPr>
    </w:p>
    <w:p w14:paraId="4CA0DDC1">
      <w:pPr>
        <w:spacing w:line="520" w:lineRule="exact"/>
        <w:ind w:left="5880" w:leftChars="2800"/>
        <w:rPr>
          <w:rFonts w:ascii="仿宋" w:hAnsi="仿宋" w:eastAsia="仿宋"/>
          <w:color w:val="000000"/>
          <w:sz w:val="32"/>
          <w:szCs w:val="32"/>
        </w:rPr>
      </w:pPr>
    </w:p>
    <w:p w14:paraId="59EF3D25">
      <w:pPr>
        <w:spacing w:line="520" w:lineRule="exact"/>
        <w:ind w:left="5880" w:leftChars="2800"/>
        <w:rPr>
          <w:rFonts w:hint="eastAsia"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南宁市卫生学校</w:t>
      </w:r>
    </w:p>
    <w:p w14:paraId="5B618C8C">
      <w:pPr>
        <w:spacing w:line="520" w:lineRule="exact"/>
        <w:ind w:firstLine="5760" w:firstLineChars="1800"/>
        <w:rPr>
          <w:rFonts w:hint="eastAsia"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202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" w:hAnsi="仿宋" w:eastAsia="仿宋"/>
          <w:color w:val="000000"/>
          <w:sz w:val="32"/>
          <w:szCs w:val="32"/>
        </w:rPr>
        <w:t>月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val="en-US" w:eastAsia="zh-CN"/>
        </w:rPr>
        <w:t xml:space="preserve">2 </w:t>
      </w:r>
      <w:r>
        <w:rPr>
          <w:rFonts w:hint="eastAsia" w:ascii="仿宋" w:hAnsi="仿宋" w:eastAsia="仿宋"/>
          <w:color w:val="000000"/>
          <w:sz w:val="32"/>
          <w:szCs w:val="32"/>
        </w:rPr>
        <w:t>日</w:t>
      </w:r>
    </w:p>
    <w:p w14:paraId="2B5EF8A8">
      <w:pPr>
        <w:pStyle w:val="18"/>
        <w:shd w:val="clear" w:color="auto" w:fill="FFFFFF"/>
        <w:spacing w:before="0" w:beforeAutospacing="0" w:after="0" w:afterAutospacing="0" w:line="760" w:lineRule="exact"/>
        <w:rPr>
          <w:rFonts w:hint="eastAsia" w:ascii="仿宋" w:hAnsi="仿宋" w:eastAsia="仿宋"/>
          <w:bCs/>
          <w:sz w:val="30"/>
          <w:szCs w:val="30"/>
        </w:rPr>
      </w:pPr>
    </w:p>
    <w:p w14:paraId="345EB363">
      <w:pPr>
        <w:pStyle w:val="18"/>
        <w:shd w:val="clear" w:color="auto" w:fill="FFFFFF"/>
        <w:spacing w:before="0" w:beforeAutospacing="0" w:after="0" w:afterAutospacing="0" w:line="760" w:lineRule="exact"/>
        <w:rPr>
          <w:rFonts w:hint="eastAsia" w:ascii="仿宋" w:hAnsi="仿宋" w:eastAsia="仿宋"/>
          <w:bCs/>
          <w:sz w:val="30"/>
          <w:szCs w:val="30"/>
        </w:rPr>
      </w:pPr>
    </w:p>
    <w:p w14:paraId="780427F2">
      <w:pPr>
        <w:pStyle w:val="18"/>
        <w:shd w:val="clear" w:color="auto" w:fill="FFFFFF"/>
        <w:spacing w:before="0" w:beforeAutospacing="0" w:after="0" w:afterAutospacing="0" w:line="760" w:lineRule="exact"/>
        <w:rPr>
          <w:rFonts w:hint="eastAsia" w:ascii="仿宋" w:hAnsi="仿宋" w:eastAsia="仿宋"/>
          <w:bCs/>
          <w:sz w:val="30"/>
          <w:szCs w:val="30"/>
        </w:rPr>
      </w:pPr>
      <w:r>
        <w:rPr>
          <w:rFonts w:hint="eastAsia" w:ascii="仿宋" w:hAnsi="仿宋" w:eastAsia="仿宋"/>
          <w:bCs/>
          <w:sz w:val="30"/>
          <w:szCs w:val="30"/>
        </w:rPr>
        <w:t>附件1：</w:t>
      </w:r>
    </w:p>
    <w:p w14:paraId="4E7892AD">
      <w:pPr>
        <w:spacing w:line="560" w:lineRule="exact"/>
        <w:ind w:right="-197" w:rightChars="-94"/>
        <w:jc w:val="center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2026年广西职业院校技能大赛参赛设备</w:t>
      </w:r>
      <w:r>
        <w:rPr>
          <w:rFonts w:hint="eastAsia" w:ascii="宋体" w:hAnsi="宋体" w:eastAsia="宋体"/>
          <w:b/>
          <w:bCs/>
          <w:color w:val="000000"/>
          <w:sz w:val="44"/>
          <w:szCs w:val="44"/>
        </w:rPr>
        <w:t>询价文件</w:t>
      </w:r>
    </w:p>
    <w:p w14:paraId="16198D84">
      <w:pPr>
        <w:numPr>
          <w:ilvl w:val="0"/>
          <w:numId w:val="0"/>
        </w:numPr>
        <w:spacing w:line="560" w:lineRule="exact"/>
        <w:jc w:val="left"/>
        <w:rPr>
          <w:rFonts w:hint="eastAsia" w:ascii="仿宋" w:hAnsi="仿宋" w:eastAsia="仿宋"/>
          <w:bCs/>
          <w:color w:val="000000"/>
          <w:sz w:val="32"/>
          <w:szCs w:val="32"/>
        </w:rPr>
      </w:pPr>
    </w:p>
    <w:p w14:paraId="2BB86302">
      <w:pPr>
        <w:numPr>
          <w:ilvl w:val="0"/>
          <w:numId w:val="2"/>
        </w:numPr>
        <w:spacing w:line="560" w:lineRule="exact"/>
        <w:jc w:val="left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采购项目名称：2026年广西职业院校技能大赛参赛设备</w:t>
      </w:r>
    </w:p>
    <w:p w14:paraId="63B3DC50">
      <w:pPr>
        <w:spacing w:line="560" w:lineRule="exact"/>
        <w:jc w:val="left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二、采购预算：</w:t>
      </w:r>
      <w:r>
        <w:rPr>
          <w:rFonts w:hint="eastAsia" w:ascii="仿宋" w:hAnsi="仿宋" w:eastAsia="仿宋"/>
          <w:bCs/>
          <w:color w:val="000000"/>
          <w:sz w:val="32"/>
          <w:szCs w:val="32"/>
          <w:lang w:val="en-US" w:eastAsia="zh-CN"/>
        </w:rPr>
        <w:t>29400.00</w:t>
      </w:r>
      <w:r>
        <w:rPr>
          <w:rFonts w:hint="eastAsia" w:ascii="仿宋" w:hAnsi="仿宋" w:eastAsia="仿宋"/>
          <w:color w:val="000000"/>
          <w:sz w:val="32"/>
          <w:szCs w:val="32"/>
        </w:rPr>
        <w:t>元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 xml:space="preserve"> </w:t>
      </w:r>
    </w:p>
    <w:p w14:paraId="1BA52BE2">
      <w:pPr>
        <w:spacing w:line="560" w:lineRule="exact"/>
        <w:jc w:val="left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三、采购</w:t>
      </w:r>
      <w:r>
        <w:rPr>
          <w:rFonts w:hint="eastAsia" w:ascii="仿宋" w:hAnsi="仿宋" w:eastAsia="仿宋"/>
          <w:bCs/>
          <w:color w:val="000000"/>
          <w:sz w:val="32"/>
          <w:szCs w:val="32"/>
          <w:lang w:eastAsia="zh-CN"/>
        </w:rPr>
        <w:t>需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求：</w:t>
      </w:r>
    </w:p>
    <w:tbl>
      <w:tblPr>
        <w:tblStyle w:val="2"/>
        <w:tblW w:w="103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4"/>
        <w:gridCol w:w="4440"/>
        <w:gridCol w:w="787"/>
        <w:gridCol w:w="675"/>
        <w:gridCol w:w="1487"/>
        <w:gridCol w:w="1424"/>
      </w:tblGrid>
      <w:tr w14:paraId="4D52A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574" w:type="dxa"/>
            <w:vAlign w:val="center"/>
          </w:tcPr>
          <w:p w14:paraId="272B15E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4440" w:type="dxa"/>
            <w:vAlign w:val="center"/>
          </w:tcPr>
          <w:p w14:paraId="493A44D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品牌（型号、规格）</w:t>
            </w:r>
          </w:p>
        </w:tc>
        <w:tc>
          <w:tcPr>
            <w:tcW w:w="787" w:type="dxa"/>
            <w:vAlign w:val="center"/>
          </w:tcPr>
          <w:p w14:paraId="4D08E1A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675" w:type="dxa"/>
            <w:vAlign w:val="center"/>
          </w:tcPr>
          <w:p w14:paraId="102971C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487" w:type="dxa"/>
            <w:vAlign w:val="center"/>
          </w:tcPr>
          <w:p w14:paraId="2F50DC4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单价(元）</w:t>
            </w:r>
          </w:p>
        </w:tc>
        <w:tc>
          <w:tcPr>
            <w:tcW w:w="1424" w:type="dxa"/>
            <w:vAlign w:val="center"/>
          </w:tcPr>
          <w:p w14:paraId="2A20FAD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金额（元）</w:t>
            </w:r>
          </w:p>
        </w:tc>
      </w:tr>
      <w:tr w14:paraId="530B8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1574" w:type="dxa"/>
            <w:shd w:val="clear" w:color="auto" w:fill="FFFFFF"/>
            <w:vAlign w:val="center"/>
          </w:tcPr>
          <w:p w14:paraId="6DFCA7D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AI中医大脑</w:t>
            </w:r>
          </w:p>
        </w:tc>
        <w:tc>
          <w:tcPr>
            <w:tcW w:w="4440" w:type="dxa"/>
            <w:shd w:val="clear" w:color="auto" w:fill="FFFFFF"/>
            <w:vAlign w:val="center"/>
          </w:tcPr>
          <w:p w14:paraId="531CB7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设备配置信息</w:t>
            </w:r>
          </w:p>
          <w:p w14:paraId="2905538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芯片：8核高性能SoC</w:t>
            </w:r>
          </w:p>
          <w:p w14:paraId="6E13D4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内存：4GB + 64GB</w:t>
            </w:r>
          </w:p>
          <w:p w14:paraId="459637A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屏幕：24寸1080P高清IPS屏</w:t>
            </w:r>
          </w:p>
          <w:p w14:paraId="0F4FFB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摄像头：内置500w超高清摄像头</w:t>
            </w:r>
          </w:p>
          <w:p w14:paraId="1027AFD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通信：WiFi</w:t>
            </w:r>
          </w:p>
          <w:p w14:paraId="10AFA0C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麦克风：内置</w:t>
            </w:r>
          </w:p>
          <w:p w14:paraId="2B83ABF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蓝牙：内置</w:t>
            </w:r>
          </w:p>
          <w:p w14:paraId="623D3A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打印机：不支持</w:t>
            </w:r>
          </w:p>
          <w:p w14:paraId="478B2B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扬声器：内置扬声器</w:t>
            </w:r>
          </w:p>
          <w:p w14:paraId="471781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电池：内置大容量锂电池</w:t>
            </w:r>
          </w:p>
          <w:p w14:paraId="0648D5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AI连续对话：支持</w:t>
            </w:r>
          </w:p>
          <w:p w14:paraId="530E68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调养处方库：2.0</w:t>
            </w:r>
          </w:p>
          <w:p w14:paraId="23B18D4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系统：中医ai最新版</w:t>
            </w:r>
          </w:p>
        </w:tc>
        <w:tc>
          <w:tcPr>
            <w:tcW w:w="787" w:type="dxa"/>
            <w:vAlign w:val="center"/>
          </w:tcPr>
          <w:p w14:paraId="2DD612A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vAlign w:val="center"/>
          </w:tcPr>
          <w:p w14:paraId="4BF0838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210CCC5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14900.00 </w:t>
            </w:r>
          </w:p>
        </w:tc>
        <w:tc>
          <w:tcPr>
            <w:tcW w:w="1424" w:type="dxa"/>
            <w:shd w:val="clear" w:color="auto" w:fill="FFFFFF"/>
            <w:vAlign w:val="center"/>
          </w:tcPr>
          <w:p w14:paraId="16E1FB0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14900.00 </w:t>
            </w:r>
          </w:p>
        </w:tc>
      </w:tr>
      <w:tr w14:paraId="37DB2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  <w:jc w:val="center"/>
        </w:trPr>
        <w:tc>
          <w:tcPr>
            <w:tcW w:w="1574" w:type="dxa"/>
            <w:shd w:val="clear" w:color="auto" w:fill="FFFFFF"/>
            <w:vAlign w:val="center"/>
          </w:tcPr>
          <w:p w14:paraId="660D003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输液泵</w:t>
            </w:r>
          </w:p>
        </w:tc>
        <w:tc>
          <w:tcPr>
            <w:tcW w:w="4440" w:type="dxa"/>
            <w:shd w:val="clear" w:color="auto" w:fill="FFFFFF"/>
            <w:vAlign w:val="center"/>
          </w:tcPr>
          <w:p w14:paraId="068E80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适用于任何厂家生产的一次性输液器；输液速度：(0.10～2001.00)ml/h，最小步进为 0.01ml/h，有气泡检测及阻塞报警，防水等级：IP≥24，预置量：0～99999.99ml，最小步进为 0.01ml</w:t>
            </w:r>
          </w:p>
        </w:tc>
        <w:tc>
          <w:tcPr>
            <w:tcW w:w="787" w:type="dxa"/>
            <w:vAlign w:val="center"/>
          </w:tcPr>
          <w:p w14:paraId="7E93006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vAlign w:val="center"/>
          </w:tcPr>
          <w:p w14:paraId="7946537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3F854EE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4500.00 </w:t>
            </w:r>
          </w:p>
        </w:tc>
        <w:tc>
          <w:tcPr>
            <w:tcW w:w="1424" w:type="dxa"/>
            <w:shd w:val="clear" w:color="auto" w:fill="FFFFFF"/>
            <w:vAlign w:val="center"/>
          </w:tcPr>
          <w:p w14:paraId="1F1A020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4500.00 </w:t>
            </w:r>
          </w:p>
        </w:tc>
      </w:tr>
      <w:tr w14:paraId="55B98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  <w:jc w:val="center"/>
        </w:trPr>
        <w:tc>
          <w:tcPr>
            <w:tcW w:w="1574" w:type="dxa"/>
            <w:shd w:val="clear" w:color="auto" w:fill="FFFFFF"/>
            <w:vAlign w:val="center"/>
          </w:tcPr>
          <w:p w14:paraId="70CEA88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十二导联长程动态监测心电记录仪</w:t>
            </w:r>
          </w:p>
        </w:tc>
        <w:tc>
          <w:tcPr>
            <w:tcW w:w="4440" w:type="dxa"/>
            <w:shd w:val="clear" w:color="auto" w:fill="FFFFFF"/>
            <w:vAlign w:val="center"/>
          </w:tcPr>
          <w:p w14:paraId="3E0BA55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12导联，波形数：同时记录至多12道波形。有存储功能。</w:t>
            </w:r>
          </w:p>
        </w:tc>
        <w:tc>
          <w:tcPr>
            <w:tcW w:w="787" w:type="dxa"/>
            <w:vAlign w:val="center"/>
          </w:tcPr>
          <w:p w14:paraId="7DB5505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vAlign w:val="center"/>
          </w:tcPr>
          <w:p w14:paraId="63CA63F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4A45427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2500.00 </w:t>
            </w:r>
          </w:p>
        </w:tc>
        <w:tc>
          <w:tcPr>
            <w:tcW w:w="1424" w:type="dxa"/>
            <w:shd w:val="clear" w:color="auto" w:fill="FFFFFF"/>
            <w:vAlign w:val="center"/>
          </w:tcPr>
          <w:p w14:paraId="433F153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2500.00 </w:t>
            </w:r>
          </w:p>
        </w:tc>
      </w:tr>
      <w:tr w14:paraId="1F862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  <w:jc w:val="center"/>
        </w:trPr>
        <w:tc>
          <w:tcPr>
            <w:tcW w:w="1574" w:type="dxa"/>
            <w:shd w:val="clear" w:color="auto" w:fill="FFFFFF"/>
            <w:vAlign w:val="center"/>
          </w:tcPr>
          <w:p w14:paraId="2F92A03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高级血液循环模拟器</w:t>
            </w:r>
          </w:p>
        </w:tc>
        <w:tc>
          <w:tcPr>
            <w:tcW w:w="4440" w:type="dxa"/>
            <w:shd w:val="clear" w:color="auto" w:fill="FFFFFF"/>
            <w:vAlign w:val="center"/>
          </w:tcPr>
          <w:p w14:paraId="5A6E00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参数："1.该装置为电动模拟血液循环系统，模拟动、静脉血液循环。</w:t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2.血流速度、循环类型、脉搏频率以及脉搏强度均可调节。"</w:t>
            </w:r>
          </w:p>
        </w:tc>
        <w:tc>
          <w:tcPr>
            <w:tcW w:w="787" w:type="dxa"/>
            <w:shd w:val="clear" w:color="auto" w:fill="FFFFFF"/>
            <w:vAlign w:val="center"/>
          </w:tcPr>
          <w:p w14:paraId="64E027B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shd w:val="clear" w:color="auto" w:fill="FFFFFF"/>
            <w:vAlign w:val="center"/>
          </w:tcPr>
          <w:p w14:paraId="4A242E3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1A5580C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4000.00 </w:t>
            </w:r>
          </w:p>
        </w:tc>
        <w:tc>
          <w:tcPr>
            <w:tcW w:w="1424" w:type="dxa"/>
            <w:shd w:val="clear" w:color="auto" w:fill="FFFFFF"/>
            <w:vAlign w:val="center"/>
          </w:tcPr>
          <w:p w14:paraId="4C3E2EA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4000.00 </w:t>
            </w:r>
          </w:p>
        </w:tc>
      </w:tr>
      <w:tr w14:paraId="25BE3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0" w:hRule="atLeast"/>
          <w:jc w:val="center"/>
        </w:trPr>
        <w:tc>
          <w:tcPr>
            <w:tcW w:w="1574" w:type="dxa"/>
            <w:shd w:val="clear" w:color="auto" w:fill="FFFFFF"/>
            <w:vAlign w:val="center"/>
          </w:tcPr>
          <w:p w14:paraId="3E1174A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精装静脉注射及穿刺操作手臂模型（左手臂）</w:t>
            </w:r>
          </w:p>
        </w:tc>
        <w:tc>
          <w:tcPr>
            <w:tcW w:w="4440" w:type="dxa"/>
            <w:shd w:val="clear" w:color="auto" w:fill="FFFFFF"/>
            <w:vAlign w:val="center"/>
          </w:tcPr>
          <w:p w14:paraId="704E4AB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参数："1.模型为成人左手臂，由8条模拟血管构成完整的手臂静脉系统，包括头静脉、贵要静脉、肘正中静脉、前臂正中静脉、副头静脉、手背静脉网等。</w:t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2.高分子环保材料制成，体表标志明显，便于操作定位。</w:t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3.静脉注射：可选择不同类型的穿刺针进行训练，穿刺时有落空感，穿刺正确后可有回血，并可进行输液等练习。</w:t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4.肌内注射：三角肌部位。</w:t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5.皮下注射：三角肌下缘部位。</w:t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6.模拟血管内有支撑部件，可增加血管表面张力，可反复进行练习。</w:t>
            </w:r>
          </w:p>
        </w:tc>
        <w:tc>
          <w:tcPr>
            <w:tcW w:w="787" w:type="dxa"/>
            <w:shd w:val="clear" w:color="auto" w:fill="FFFFFF"/>
            <w:vAlign w:val="center"/>
          </w:tcPr>
          <w:p w14:paraId="7D61FF5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675" w:type="dxa"/>
            <w:shd w:val="clear" w:color="auto" w:fill="FFFFFF"/>
            <w:vAlign w:val="center"/>
          </w:tcPr>
          <w:p w14:paraId="34831A6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7" w:type="dxa"/>
            <w:shd w:val="clear" w:color="auto" w:fill="FFFFFF"/>
            <w:vAlign w:val="center"/>
          </w:tcPr>
          <w:p w14:paraId="683C437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3500.00 </w:t>
            </w:r>
          </w:p>
        </w:tc>
        <w:tc>
          <w:tcPr>
            <w:tcW w:w="1424" w:type="dxa"/>
            <w:shd w:val="clear" w:color="auto" w:fill="FFFFFF"/>
            <w:vAlign w:val="center"/>
          </w:tcPr>
          <w:p w14:paraId="4C322F4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3500.00 </w:t>
            </w:r>
          </w:p>
        </w:tc>
      </w:tr>
      <w:tr w14:paraId="71A5D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574" w:type="dxa"/>
            <w:noWrap/>
            <w:vAlign w:val="bottom"/>
          </w:tcPr>
          <w:p w14:paraId="4D76B19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4440" w:type="dxa"/>
            <w:noWrap/>
            <w:vAlign w:val="bottom"/>
          </w:tcPr>
          <w:p w14:paraId="5EE2B65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49885"/>
                  <wp:effectExtent l="0" t="0" r="0" b="0"/>
                  <wp:wrapNone/>
                  <wp:docPr id="1" name="_x0000_s17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_x0000_s179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2" name="_x0000_s17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_x0000_s179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3" name="_x0000_s17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_x0000_s179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4" name="_x0000_s17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0000_s179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5" name="_x0000_s17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_x0000_s179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6" name="_x0000_s18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_x0000_s18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7" name="_x0000_s1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_x0000_s180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8" name="_x0000_s18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_x0000_s180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9" name="_x0000_s18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_x0000_s180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10" name="_x0000_s18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_x0000_s180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11" name="_x0000_s18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_x0000_s180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49885"/>
                  <wp:effectExtent l="0" t="0" r="0" b="0"/>
                  <wp:wrapNone/>
                  <wp:docPr id="12" name="_x0000_s18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_x0000_s180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13" name="_x0000_s18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_x0000_s18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19075"/>
                  <wp:effectExtent l="0" t="0" r="0" b="0"/>
                  <wp:wrapNone/>
                  <wp:docPr id="14" name="_x0000_s18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_x0000_s180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15" name="_x0000_s1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_x0000_s180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19075"/>
                  <wp:effectExtent l="0" t="0" r="0" b="0"/>
                  <wp:wrapNone/>
                  <wp:docPr id="16" name="_x0000_s18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_x0000_s181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17" name="_x0000_s18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_x0000_s181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18" name="_x0000_s18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_x0000_s181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19" name="_x0000_s18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_x0000_s18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20" name="_x0000_s18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_x0000_s18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19075"/>
                  <wp:effectExtent l="0" t="0" r="0" b="0"/>
                  <wp:wrapNone/>
                  <wp:docPr id="21" name="_x0000_s18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_x0000_s181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22" name="_x0000_s18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_x0000_s18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23" name="_x0000_s1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_x0000_s18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24" name="_x0000_s18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_x0000_s181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49885"/>
                  <wp:effectExtent l="0" t="0" r="0" b="0"/>
                  <wp:wrapNone/>
                  <wp:docPr id="25" name="_x0000_s18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_x0000_s181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26" name="_x0000_s18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_x0000_s18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27" name="_x0000_s18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_x0000_s182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28" name="_x0000_s18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_x0000_s182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29" name="_x0000_s18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_x0000_s182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19075"/>
                  <wp:effectExtent l="0" t="0" r="0" b="0"/>
                  <wp:wrapNone/>
                  <wp:docPr id="30" name="_x0000_s18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_x0000_s182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31" name="_x0000_s1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_x0000_s18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32" name="_x0000_s18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_x0000_s182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33" name="_x0000_s18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_x0000_s182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34" name="_x0000_s18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_x0000_s18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35" name="_x0000_s18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_x0000_s182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180340"/>
                  <wp:effectExtent l="0" t="0" r="0" b="0"/>
                  <wp:wrapNone/>
                  <wp:docPr id="36" name="_x0000_s18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_x0000_s183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49885"/>
                  <wp:effectExtent l="0" t="0" r="0" b="0"/>
                  <wp:wrapNone/>
                  <wp:docPr id="37" name="_x0000_s1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_x0000_s183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38" name="_x0000_s18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_x0000_s183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234315"/>
                  <wp:effectExtent l="0" t="0" r="0" b="0"/>
                  <wp:wrapNone/>
                  <wp:docPr id="39" name="_x0000_s1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_x0000_s183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160" cy="357505"/>
                  <wp:effectExtent l="0" t="0" r="0" b="0"/>
                  <wp:wrapNone/>
                  <wp:docPr id="40" name="_x0000_s18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_x0000_s183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7" w:type="dxa"/>
            <w:noWrap/>
            <w:vAlign w:val="bottom"/>
          </w:tcPr>
          <w:p w14:paraId="7ACA48CB">
            <w:pPr>
              <w:rPr>
                <w:rFonts w:hint="eastAsia" w:ascii="宋体" w:hAnsi="宋体" w:eastAsia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noWrap/>
            <w:vAlign w:val="center"/>
          </w:tcPr>
          <w:p w14:paraId="2620D1EA">
            <w:pPr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87" w:type="dxa"/>
            <w:noWrap/>
            <w:vAlign w:val="bottom"/>
          </w:tcPr>
          <w:p w14:paraId="63DFA41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29400</w:t>
            </w:r>
          </w:p>
        </w:tc>
        <w:tc>
          <w:tcPr>
            <w:tcW w:w="1424" w:type="dxa"/>
            <w:noWrap/>
            <w:vAlign w:val="bottom"/>
          </w:tcPr>
          <w:p w14:paraId="7A41A9A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29400</w:t>
            </w:r>
          </w:p>
        </w:tc>
      </w:tr>
      <w:tr w14:paraId="710D8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574" w:type="dxa"/>
            <w:noWrap/>
            <w:vAlign w:val="center"/>
          </w:tcPr>
          <w:p w14:paraId="5608E2C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商务条款</w:t>
            </w:r>
          </w:p>
        </w:tc>
        <w:tc>
          <w:tcPr>
            <w:tcW w:w="8813" w:type="dxa"/>
            <w:gridSpan w:val="5"/>
            <w:noWrap/>
            <w:vAlign w:val="bottom"/>
          </w:tcPr>
          <w:p w14:paraId="455E46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</w:rPr>
              <w:t>报价要求：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报价以人民币报价，供应商的投标总报价≤项目预算价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且各项单价报价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≤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控制价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。包括完成本项目所需的一切工作内容而发生的所有直接、间接费用、其他费用、税金等全部费用，采购人不再支付成交价格以外的任何费用。包括但不限于：</w:t>
            </w:r>
          </w:p>
          <w:p w14:paraId="3CD271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（1）货物的价格；</w:t>
            </w:r>
          </w:p>
          <w:p w14:paraId="6CAAD2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（2）货物的标准附件、备品备件、专用工具的价格；</w:t>
            </w:r>
          </w:p>
          <w:p w14:paraId="2FB0DE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（3）运输、装卸、安装、材料、培训、技术支持、售后服务等费用；</w:t>
            </w:r>
          </w:p>
          <w:p w14:paraId="2B0A30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（4）必要的保险费用和各项税费。</w:t>
            </w:r>
          </w:p>
          <w:p w14:paraId="51BA14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</w:rPr>
              <w:t>2、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  <w:t>供货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eastAsia="zh-CN"/>
              </w:rPr>
              <w:t>时间及地点：</w:t>
            </w:r>
          </w:p>
          <w:p w14:paraId="080710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供货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时间：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签订合同后15日内完成供货。</w:t>
            </w:r>
          </w:p>
          <w:p w14:paraId="5534D4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left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）服务地点：南宁市卫生学校相思湖校区</w:t>
            </w:r>
          </w:p>
          <w:p w14:paraId="5E6695C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both"/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</w:rPr>
              <w:t>付款方式：</w:t>
            </w:r>
          </w:p>
          <w:p w14:paraId="739C9B2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both"/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本项目无预付款，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项目经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采购人验收合格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，且财政审批该项目用款计划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后，一次性支付服务费。</w:t>
            </w:r>
          </w:p>
          <w:p w14:paraId="7641C88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both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2）付款前，中标人需开具足额、合规发票交采购人。</w:t>
            </w:r>
          </w:p>
          <w:p w14:paraId="195911DF">
            <w:pPr>
              <w:spacing w:line="300" w:lineRule="exact"/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  <w:t>4、质量保证：</w:t>
            </w:r>
          </w:p>
          <w:p w14:paraId="3E0E645C">
            <w:pPr>
              <w:spacing w:line="300" w:lineRule="exact"/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供应商所提供的货物型号、技术规格、技术参数等质量必须与本次采购要求和承诺相一致。</w:t>
            </w:r>
          </w:p>
          <w:p w14:paraId="1C660ECF">
            <w:pPr>
              <w:spacing w:line="300" w:lineRule="exact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供应商所提供的货物必须是全新、未使用的原装产品，且在正常安装、使用和保养条件下，其使用寿命期内各项指标均达到质量要求。</w:t>
            </w:r>
          </w:p>
          <w:p w14:paraId="5F384E79">
            <w:pPr>
              <w:spacing w:line="300" w:lineRule="exact"/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000000"/>
                <w:sz w:val="24"/>
                <w:szCs w:val="24"/>
                <w:lang w:val="en-US" w:eastAsia="zh-CN"/>
              </w:rPr>
              <w:t>5、售后服务：</w:t>
            </w:r>
          </w:p>
          <w:p w14:paraId="5ACAFEA9">
            <w:pPr>
              <w:spacing w:line="300" w:lineRule="exact"/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所提供的货物产品必须是未使用过的全新产品；若产品质量存在缺陷，中标人免费在1个月内更换新产品。</w:t>
            </w:r>
          </w:p>
          <w:p w14:paraId="348794E4">
            <w:pPr>
              <w:spacing w:line="300" w:lineRule="exact"/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所有货物免费送货上门安装、免费培训使用及维护。</w:t>
            </w:r>
          </w:p>
          <w:p w14:paraId="6644C356">
            <w:pPr>
              <w:spacing w:line="300" w:lineRule="exact"/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3）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故障响应时间：供应商应在质量保证期内提供7*24小时的不间断技术支持服务，并做到电话、传真、电子邮件、现场等多种方式的技术全方位响应需求，如遇问题，承诺在接到采购人通知后3个小时内到达现场处理。</w:t>
            </w:r>
          </w:p>
          <w:p w14:paraId="22E571D5">
            <w:pPr>
              <w:spacing w:line="300" w:lineRule="exact"/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4）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val="en-US" w:eastAsia="zh-CN"/>
              </w:rPr>
              <w:t>项目供货及安装过程中产生的残留物或垃圾，需由中标人自行清理至校外。</w:t>
            </w:r>
          </w:p>
        </w:tc>
      </w:tr>
      <w:bookmarkEnd w:id="0"/>
    </w:tbl>
    <w:p w14:paraId="1D6CA090">
      <w:pPr>
        <w:spacing w:line="500" w:lineRule="exact"/>
        <w:ind w:firstLine="482" w:firstLineChars="200"/>
        <w:rPr>
          <w:rFonts w:hint="eastAsia" w:ascii="仿宋" w:hAnsi="仿宋" w:eastAsia="仿宋"/>
          <w:b/>
          <w:bCs/>
          <w:color w:val="000000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00"/>
          <w:sz w:val="24"/>
          <w:szCs w:val="24"/>
        </w:rPr>
        <w:t>说明</w:t>
      </w:r>
      <w:r>
        <w:rPr>
          <w:rFonts w:hint="eastAsia" w:ascii="仿宋" w:hAnsi="仿宋" w:eastAsia="仿宋"/>
          <w:b/>
          <w:bCs/>
          <w:color w:val="000000"/>
          <w:sz w:val="24"/>
          <w:szCs w:val="24"/>
          <w:lang w:val="zh-CN"/>
        </w:rPr>
        <w:t>：</w:t>
      </w:r>
      <w:r>
        <w:rPr>
          <w:rFonts w:hint="eastAsia" w:ascii="仿宋" w:hAnsi="仿宋" w:eastAsia="仿宋"/>
          <w:b/>
          <w:bCs/>
          <w:color w:val="000000"/>
          <w:sz w:val="24"/>
          <w:szCs w:val="24"/>
        </w:rPr>
        <w:t>本项目</w:t>
      </w:r>
      <w:r>
        <w:rPr>
          <w:rFonts w:hint="eastAsia" w:ascii="仿宋" w:hAnsi="仿宋" w:eastAsia="仿宋"/>
          <w:b/>
          <w:color w:val="000000"/>
          <w:kern w:val="0"/>
          <w:sz w:val="24"/>
        </w:rPr>
        <w:t>服务要求</w:t>
      </w:r>
      <w:r>
        <w:rPr>
          <w:rFonts w:hint="eastAsia" w:ascii="仿宋" w:hAnsi="仿宋" w:eastAsia="仿宋"/>
          <w:b/>
          <w:color w:val="000000"/>
          <w:kern w:val="0"/>
          <w:sz w:val="24"/>
          <w:lang w:eastAsia="zh-CN"/>
        </w:rPr>
        <w:t>及商务条款</w:t>
      </w:r>
      <w:r>
        <w:rPr>
          <w:rFonts w:hint="eastAsia" w:ascii="仿宋" w:hAnsi="仿宋" w:eastAsia="仿宋"/>
          <w:b/>
          <w:bCs/>
          <w:color w:val="000000"/>
          <w:sz w:val="24"/>
          <w:szCs w:val="24"/>
        </w:rPr>
        <w:t>均不允许负偏离，任何负偏离将被认为是实质性要求和条件不响应，作竞价无效处理。</w:t>
      </w:r>
    </w:p>
    <w:p w14:paraId="719EEE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四、中标方式：在完全满足采购方竞价需求的投标</w:t>
      </w:r>
      <w:r>
        <w:rPr>
          <w:rFonts w:ascii="仿宋" w:hAnsi="仿宋" w:eastAsia="仿宋"/>
          <w:bCs/>
          <w:color w:val="000000"/>
          <w:sz w:val="32"/>
          <w:szCs w:val="32"/>
        </w:rPr>
        <w:t>人中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，报价最低者为中标供应商。</w:t>
      </w:r>
    </w:p>
    <w:p w14:paraId="6C5928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五、投标文件</w:t>
      </w:r>
      <w:r>
        <w:rPr>
          <w:rFonts w:hint="eastAsia" w:ascii="仿宋" w:hAnsi="仿宋" w:eastAsia="仿宋"/>
          <w:bCs/>
          <w:color w:val="000000"/>
          <w:sz w:val="32"/>
          <w:szCs w:val="32"/>
          <w:lang w:eastAsia="zh-CN"/>
        </w:rPr>
        <w:t>内容及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要求：</w:t>
      </w:r>
    </w:p>
    <w:p w14:paraId="4A411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1、报价文件</w:t>
      </w:r>
      <w:r>
        <w:rPr>
          <w:rFonts w:hint="eastAsia" w:ascii="仿宋" w:hAnsi="仿宋" w:eastAsia="仿宋"/>
          <w:bCs/>
          <w:color w:val="000000"/>
          <w:sz w:val="32"/>
          <w:szCs w:val="32"/>
          <w:lang w:eastAsia="zh-CN"/>
        </w:rPr>
        <w:t>。须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包含以</w:t>
      </w:r>
      <w:r>
        <w:rPr>
          <w:rFonts w:ascii="仿宋" w:hAnsi="仿宋" w:eastAsia="仿宋"/>
          <w:bCs/>
          <w:color w:val="000000"/>
          <w:sz w:val="32"/>
          <w:szCs w:val="32"/>
        </w:rPr>
        <w:t>下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材料</w:t>
      </w:r>
      <w:r>
        <w:rPr>
          <w:rFonts w:ascii="仿宋" w:hAnsi="仿宋" w:eastAsia="仿宋"/>
          <w:bCs/>
          <w:color w:val="000000"/>
          <w:sz w:val="32"/>
          <w:szCs w:val="32"/>
        </w:rPr>
        <w:t>：</w:t>
      </w:r>
    </w:p>
    <w:p w14:paraId="130F61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（1）报价表（格式</w:t>
      </w:r>
      <w:r>
        <w:rPr>
          <w:rFonts w:ascii="仿宋" w:hAnsi="仿宋" w:eastAsia="仿宋"/>
          <w:bCs/>
          <w:color w:val="000000"/>
          <w:sz w:val="32"/>
          <w:szCs w:val="32"/>
        </w:rPr>
        <w:t>自拟，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至少应</w:t>
      </w:r>
      <w:r>
        <w:rPr>
          <w:rFonts w:ascii="仿宋" w:hAnsi="仿宋" w:eastAsia="仿宋"/>
          <w:bCs/>
          <w:color w:val="000000"/>
          <w:sz w:val="32"/>
          <w:szCs w:val="32"/>
        </w:rPr>
        <w:t>包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含采购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bidi="ar"/>
        </w:rPr>
        <w:t>名称、单位、数量、单价、金额、</w:t>
      </w:r>
      <w:r>
        <w:rPr>
          <w:rFonts w:ascii="仿宋" w:hAnsi="仿宋" w:eastAsia="仿宋"/>
          <w:color w:val="000000"/>
          <w:kern w:val="0"/>
          <w:sz w:val="32"/>
          <w:szCs w:val="32"/>
          <w:lang w:bidi="ar"/>
        </w:rPr>
        <w:t>合计等内容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）;</w:t>
      </w:r>
      <w:r>
        <w:rPr>
          <w:rFonts w:ascii="仿宋" w:hAnsi="仿宋" w:eastAsia="仿宋"/>
          <w:bCs/>
          <w:color w:val="000000"/>
          <w:sz w:val="32"/>
          <w:szCs w:val="32"/>
        </w:rPr>
        <w:t xml:space="preserve"> </w:t>
      </w:r>
    </w:p>
    <w:p w14:paraId="4065D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（2）采购</w:t>
      </w:r>
      <w:r>
        <w:rPr>
          <w:rFonts w:ascii="仿宋" w:hAnsi="仿宋" w:eastAsia="仿宋"/>
          <w:bCs/>
          <w:color w:val="000000"/>
          <w:sz w:val="32"/>
          <w:szCs w:val="32"/>
        </w:rPr>
        <w:t>项目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bidi="ar"/>
        </w:rPr>
        <w:t>需求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响应</w:t>
      </w:r>
      <w:r>
        <w:rPr>
          <w:rFonts w:ascii="仿宋" w:hAnsi="仿宋" w:eastAsia="仿宋"/>
          <w:bCs/>
          <w:color w:val="000000"/>
          <w:sz w:val="32"/>
          <w:szCs w:val="32"/>
        </w:rPr>
        <w:t>文件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；</w:t>
      </w:r>
      <w:r>
        <w:rPr>
          <w:rFonts w:ascii="仿宋" w:hAnsi="仿宋" w:eastAsia="仿宋"/>
          <w:bCs/>
          <w:color w:val="000000"/>
          <w:sz w:val="32"/>
          <w:szCs w:val="32"/>
        </w:rPr>
        <w:t xml:space="preserve"> </w:t>
      </w:r>
    </w:p>
    <w:p w14:paraId="6DFDB8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2、单位营业执照；</w:t>
      </w:r>
    </w:p>
    <w:p w14:paraId="56833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、法人身份证明</w:t>
      </w:r>
    </w:p>
    <w:p w14:paraId="671EA0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  <w:lang w:val="en-US" w:eastAsia="zh-CN"/>
        </w:rPr>
        <w:t>4、与投标产品相对应的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有效《医疗器械经营备案凭证》</w:t>
      </w:r>
      <w:r>
        <w:rPr>
          <w:rFonts w:hint="eastAsia" w:ascii="仿宋" w:hAnsi="仿宋" w:eastAsia="仿宋"/>
          <w:bCs/>
          <w:color w:val="000000"/>
          <w:sz w:val="32"/>
          <w:szCs w:val="32"/>
          <w:lang w:eastAsia="zh-CN"/>
        </w:rPr>
        <w:t>。</w:t>
      </w:r>
    </w:p>
    <w:p w14:paraId="56EFE2A3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firstLine="640" w:firstLineChars="200"/>
        <w:rPr>
          <w:rFonts w:hint="eastAsia" w:ascii="仿宋" w:hAnsi="仿宋" w:eastAsia="仿宋"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Cs/>
          <w:color w:val="000000"/>
          <w:sz w:val="32"/>
          <w:szCs w:val="32"/>
        </w:rPr>
        <w:t>备注：请按以上要求提供相关材料并</w:t>
      </w:r>
      <w:r>
        <w:rPr>
          <w:rFonts w:ascii="仿宋" w:hAnsi="仿宋" w:eastAsia="仿宋"/>
          <w:bCs/>
          <w:color w:val="000000"/>
          <w:sz w:val="32"/>
          <w:szCs w:val="32"/>
        </w:rPr>
        <w:t>加盖公章</w:t>
      </w:r>
      <w:r>
        <w:rPr>
          <w:rFonts w:hint="eastAsia" w:ascii="仿宋" w:hAnsi="仿宋" w:eastAsia="仿宋"/>
          <w:bCs/>
          <w:color w:val="000000"/>
          <w:sz w:val="32"/>
          <w:szCs w:val="32"/>
        </w:rPr>
        <w:t>、密封递交，否则竞价无效。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3D259F">
    <w:pPr>
      <w:pStyle w:val="16"/>
      <w:tabs>
        <w:tab w:val="clear" w:pos="4153"/>
        <w:tab w:val="clear" w:pos="8306"/>
      </w:tabs>
      <w:rPr>
        <w:sz w:val="18"/>
      </w:rPr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1" name="_x0000_s20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EFF450">
                          <w:pPr>
                            <w:pStyle w:val="16"/>
                            <w:tabs>
                              <w:tab w:val="clear" w:pos="4153"/>
                              <w:tab w:val="clear" w:pos="8306"/>
                            </w:tabs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  <w:p w14:paraId="0983778F"/>
                      </w:txbxContent>
                    </wps:txbx>
                    <wps:bodyPr rot="0" vert="horz" wrap="square" lIns="91440" tIns="45720" rIns="91440" bIns="45720" anchor="t" anchorCtr="0"/>
                  </wps:wsp>
                </a:graphicData>
              </a:graphic>
            </wp:anchor>
          </w:drawing>
        </mc:Choice>
        <mc:Fallback>
          <w:pict>
            <v:rect id="_x0000_s2049" o:spid="_x0000_s1026" o:spt="1" style="position:absolute;left:0pt;margin-top:0pt;height:144pt;width:144pt;mso-position-horizontal:center;mso-position-horizontal-relative:margin;z-index:251659264;mso-width-relative:page;mso-height-relative:page;" filled="f" stroked="f" coordsize="21600,21600" o:gfxdata="UEsDBAoAAAAAAIdO4kAAAAAAAAAAAAAAAAAEAAAAZHJzL1BLAwQUAAAACACHTuJA2MbPBNMAAAAF&#10;AQAADwAAAGRycy9kb3ducmV2LnhtbE2PQUvDQBCF74L/YRnBi9hNe5AQs+mhIBYRiqn2PM1Ok9Ds&#10;bJrdJvXfO4qgl2Eeb3jzvXx5cZ0aaQitZwPzWQKKuPK25drA+/bpPgUVIrLFzjMZ+KQAy+L6KsfM&#10;+onfaCxjrSSEQ4YGmhj7TOtQNeQwzHxPLN7BDw6jyKHWdsBJwl2nF0nyoB22LB8a7GnVUHUsz87A&#10;VG3G3fb1WW/udmvPp/VpVX68GHN7M08eQUW6xL9j+MYXdCiEae/PbIPqDEiR+DPFW6SpyP3vootc&#10;/6cvvgBQSwMEFAAAAAgAh07iQGhfZ1+7AQAAhwMAAA4AAABkcnMvZTJvRG9jLnhtbK1Ty27bMBC8&#10;F+g/ELzHekBtHcF0DjFaFCjaAGnPAU1RlgDx0V3akvv1XVKKY6SXHKoDtaslhzOzq83dZAZ20oC9&#10;s4IXq5wzbZVrensQ/NfPzzdrzjBI28jBWS34WSO/275/txl9rUvXuaHRwAjEYj16wbsQfJ1lqDpt&#10;JK6c15aKrQMjA6VwyBqQI6GbISvz/GM2Omg8OKUR6etuLvIFEd4C6Nq2V3rn1NFoG2ZU0IMMJAm7&#10;3iPfJrZtq1X40baoAxsEJ6UhrXQJxfu4ZtuNrA8gfderhYJ8C4VXmozsLV16gdrJINkR+n+gTK/A&#10;oWvDSjmTzUKSI6SiyF9589hJr5MWshr9xXT8f7Dq++kBWN8IXhWcWWmo409TTs8Tlnl1Gw0aPda0&#10;79E/wJIhhVHt1IKJb9LBpmTq+WKqngJT9LFYl+t1Tn4rqj0nhJO9HPeA4Yt2hsVAcKCuJTPl6RuG&#10;eevzFjoX6cwEYhSm/bSw2rvmTGLAzV2mGaegc/CHs5E6LDj+PkrQnA1fLVl4W1RVHImUVB8+lZTA&#10;dWV/XZFWEZTggbM5vA9pjCK9yIP6kzQtsxQH4DpPu17+n+1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2MbPBNMAAAAFAQAADwAAAAAAAAABACAAAAAiAAAAZHJzL2Rvd25yZXYueG1sUEsBAhQAFAAA&#10;AAgAh07iQGhfZ1+7AQAAhwMAAA4AAAAAAAAAAQAgAAAAIgEAAGRycy9lMm9Eb2MueG1sUEsFBgAA&#10;AAAGAAYAWQEAAE8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0BEFF450">
                    <w:pPr>
                      <w:pStyle w:val="16"/>
                      <w:tabs>
                        <w:tab w:val="clear" w:pos="4153"/>
                        <w:tab w:val="clear" w:pos="8306"/>
                      </w:tabs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  <w:p w14:paraId="0983778F"/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2D523C"/>
    <w:multiLevelType w:val="singleLevel"/>
    <w:tmpl w:val="8E2D523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3591D2B"/>
    <w:multiLevelType w:val="singleLevel"/>
    <w:tmpl w:val="B3591D2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420"/>
  <w:displayHorizontalDrawingGridEvery w:val="1"/>
  <w:displayVerticalDrawingGridEvery w:val="1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</w:compat>
  <w:rsids>
    <w:rsidRoot w:val="00000000"/>
    <w:rsid w:val="64E451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26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标题 41"/>
    <w:basedOn w:val="1"/>
    <w:uiPriority w:val="0"/>
    <w:pPr>
      <w:tabs>
        <w:tab w:val="left" w:pos="2155"/>
      </w:tabs>
      <w:spacing w:before="120" w:line="360" w:lineRule="auto"/>
      <w:ind w:left="2155" w:hanging="1078"/>
      <w:outlineLvl w:val="3"/>
    </w:pPr>
    <w:rPr>
      <w:rFonts w:ascii="Arial" w:eastAsia="黑体"/>
      <w:kern w:val="0"/>
      <w:sz w:val="28"/>
      <w:szCs w:val="20"/>
    </w:rPr>
  </w:style>
  <w:style w:type="character" w:customStyle="1" w:styleId="5">
    <w:name w:val="默认段落字体1"/>
    <w:link w:val="1"/>
    <w:uiPriority w:val="0"/>
  </w:style>
  <w:style w:type="table" w:customStyle="1" w:styleId="6">
    <w:name w:val="普通表格1"/>
    <w:uiPriority w:val="0"/>
  </w:style>
  <w:style w:type="paragraph" w:customStyle="1" w:styleId="7">
    <w:name w:val="正文缩进1"/>
    <w:basedOn w:val="1"/>
    <w:uiPriority w:val="0"/>
    <w:pPr>
      <w:ind w:firstLine="420" w:firstLineChars="200"/>
    </w:pPr>
  </w:style>
  <w:style w:type="paragraph" w:customStyle="1" w:styleId="8">
    <w:name w:val="批注文字1"/>
    <w:basedOn w:val="1"/>
    <w:uiPriority w:val="0"/>
    <w:pPr>
      <w:jc w:val="left"/>
    </w:pPr>
  </w:style>
  <w:style w:type="paragraph" w:customStyle="1" w:styleId="9">
    <w:name w:val="正文文本1"/>
    <w:basedOn w:val="1"/>
    <w:link w:val="10"/>
    <w:uiPriority w:val="0"/>
    <w:pPr>
      <w:spacing w:after="120"/>
    </w:pPr>
  </w:style>
  <w:style w:type="character" w:customStyle="1" w:styleId="10">
    <w:name w:val="正文文本 Char"/>
    <w:basedOn w:val="5"/>
    <w:link w:val="9"/>
    <w:uiPriority w:val="0"/>
    <w:rPr>
      <w:rFonts w:ascii="Calibri" w:hAnsi="Calibri"/>
      <w:kern w:val="2"/>
      <w:sz w:val="21"/>
      <w:szCs w:val="24"/>
    </w:rPr>
  </w:style>
  <w:style w:type="paragraph" w:customStyle="1" w:styleId="11">
    <w:name w:val="正文文本缩进1"/>
    <w:basedOn w:val="1"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customStyle="1" w:styleId="12">
    <w:name w:val="页眉1"/>
    <w:basedOn w:val="1"/>
    <w:link w:val="13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/>
      <w:sz w:val="18"/>
      <w:szCs w:val="18"/>
    </w:rPr>
  </w:style>
  <w:style w:type="character" w:customStyle="1" w:styleId="13">
    <w:name w:val="页眉 Char"/>
    <w:basedOn w:val="5"/>
    <w:link w:val="12"/>
    <w:uiPriority w:val="0"/>
    <w:rPr>
      <w:sz w:val="18"/>
      <w:szCs w:val="18"/>
    </w:rPr>
  </w:style>
  <w:style w:type="paragraph" w:customStyle="1" w:styleId="14">
    <w:name w:val="纯文本1"/>
    <w:basedOn w:val="1"/>
    <w:link w:val="15"/>
    <w:uiPriority w:val="0"/>
    <w:rPr>
      <w:rFonts w:ascii="宋体" w:hAnsi="Courier New"/>
      <w:szCs w:val="22"/>
    </w:rPr>
  </w:style>
  <w:style w:type="character" w:customStyle="1" w:styleId="15">
    <w:name w:val="纯文本 Char"/>
    <w:link w:val="14"/>
    <w:uiPriority w:val="0"/>
    <w:rPr>
      <w:rFonts w:ascii="宋体" w:hAnsi="Courier New" w:eastAsia="宋体"/>
    </w:rPr>
  </w:style>
  <w:style w:type="paragraph" w:customStyle="1" w:styleId="16">
    <w:name w:val="页脚1"/>
    <w:basedOn w:val="1"/>
    <w:link w:val="17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character" w:customStyle="1" w:styleId="17">
    <w:name w:val="页脚 Char"/>
    <w:basedOn w:val="5"/>
    <w:link w:val="16"/>
    <w:uiPriority w:val="0"/>
    <w:rPr>
      <w:sz w:val="18"/>
      <w:szCs w:val="18"/>
    </w:rPr>
  </w:style>
  <w:style w:type="paragraph" w:customStyle="1" w:styleId="18">
    <w:name w:val="普通(网站)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19">
    <w:name w:val="正文首行缩进1"/>
    <w:basedOn w:val="9"/>
    <w:uiPriority w:val="0"/>
    <w:pPr>
      <w:spacing w:after="0" w:line="360" w:lineRule="auto"/>
      <w:ind w:firstLine="420"/>
    </w:pPr>
    <w:rPr>
      <w:rFonts w:ascii="宋体" w:hAnsi="宋体" w:eastAsia="仿宋_GB2312"/>
      <w:sz w:val="24"/>
    </w:rPr>
  </w:style>
  <w:style w:type="paragraph" w:customStyle="1" w:styleId="20">
    <w:name w:val="正文首行缩进 21"/>
    <w:basedOn w:val="11"/>
    <w:uiPriority w:val="0"/>
    <w:pPr>
      <w:spacing w:after="120"/>
      <w:ind w:left="420" w:leftChars="200" w:firstLine="420" w:firstLineChars="200"/>
    </w:pPr>
    <w:rPr>
      <w:rFonts w:ascii="黑体" w:eastAsia="黑体"/>
      <w:sz w:val="20"/>
    </w:rPr>
  </w:style>
  <w:style w:type="table" w:customStyle="1" w:styleId="21">
    <w:name w:val="网格型1"/>
    <w:basedOn w:val="6"/>
    <w:uiPriority w:val="0"/>
    <w:pPr>
      <w:widowControl w:val="0"/>
      <w:jc w:val="both"/>
    </w:pPr>
    <w:rPr>
      <w:rFonts w:ascii="Calibri" w:hAnsi="Calibri"/>
    </w:rPr>
  </w:style>
  <w:style w:type="character" w:customStyle="1" w:styleId="22">
    <w:name w:val="已访问的超链接1"/>
    <w:basedOn w:val="5"/>
    <w:link w:val="1"/>
    <w:uiPriority w:val="0"/>
    <w:rPr>
      <w:rFonts w:ascii="Verdana" w:hAnsi="Verdana"/>
      <w:color w:val="466BFF"/>
      <w:u w:val="none"/>
    </w:rPr>
  </w:style>
  <w:style w:type="character" w:customStyle="1" w:styleId="23">
    <w:name w:val="超链接1"/>
    <w:basedOn w:val="5"/>
    <w:link w:val="1"/>
    <w:uiPriority w:val="0"/>
    <w:rPr>
      <w:rFonts w:ascii="Verdana" w:hAnsi="Verdana"/>
      <w:color w:val="000033"/>
      <w:u w:val="none"/>
    </w:rPr>
  </w:style>
  <w:style w:type="character" w:customStyle="1" w:styleId="24">
    <w:name w:val="font11"/>
    <w:basedOn w:val="5"/>
    <w:link w:val="1"/>
    <w:uiPriority w:val="0"/>
    <w:rPr>
      <w:rFonts w:hint="eastAsia" w:ascii="宋体" w:hAnsi="宋体" w:eastAsia="宋体"/>
      <w:color w:val="000000"/>
      <w:sz w:val="22"/>
      <w:szCs w:val="22"/>
      <w:u w:val="none"/>
    </w:rPr>
  </w:style>
  <w:style w:type="character" w:customStyle="1" w:styleId="25">
    <w:name w:val="font41"/>
    <w:basedOn w:val="5"/>
    <w:link w:val="1"/>
    <w:uiPriority w:val="0"/>
    <w:rPr>
      <w:rFonts w:hint="eastAsia" w:ascii="宋体" w:hAnsi="宋体" w:eastAsia="宋体"/>
      <w:color w:val="000000"/>
      <w:sz w:val="16"/>
      <w:szCs w:val="16"/>
      <w:u w:val="none"/>
    </w:rPr>
  </w:style>
  <w:style w:type="character" w:customStyle="1" w:styleId="26">
    <w:name w:val="纯文本 Char1"/>
    <w:basedOn w:val="5"/>
    <w:link w:val="1"/>
    <w:semiHidden/>
    <w:uiPriority w:val="0"/>
    <w:rPr>
      <w:rFonts w:ascii="宋体" w:hAnsi="Courier New" w:eastAsia="宋体"/>
      <w:szCs w:val="21"/>
    </w:rPr>
  </w:style>
  <w:style w:type="paragraph" w:styleId="27">
    <w:name w:val="List Paragraph"/>
    <w:basedOn w:val="1"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1903</Words>
  <Characters>2118</Characters>
  <Lines>0</Lines>
  <Paragraphs>0</Paragraphs>
  <TotalTime>0</TotalTime>
  <ScaleCrop>false</ScaleCrop>
  <LinksUpToDate>false</LinksUpToDate>
  <CharactersWithSpaces>2150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2026-02-02T09:32:35Z</dcterms:created>
  <dc:creator>Ai.小绵羊ʸᶜᶠ</dc:creator>
  <cp:lastModifiedBy>Ai.小绵羊ʸᶜᶠ</cp:lastModifiedBy>
  <dcterms:modified xsi:type="dcterms:W3CDTF">2026-02-02T09:32:57Z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eyJoZGlkIjoiYjdiZTI3YTVmN2Q3ZTdlZTdjYzU3NTE5M2M2ZWIxZTgiLCJ1c2VySWQiOiIxNjcwODk3MTkyIn0=</vt:lpwstr>
  </property>
  <property fmtid="{D5CDD505-2E9C-101B-9397-08002B2CF9AE}" pid="3" name="KSOProductBuildVer">
    <vt:lpwstr>2052-12.1.0.24657</vt:lpwstr>
  </property>
  <property fmtid="{D5CDD505-2E9C-101B-9397-08002B2CF9AE}" pid="4" name="ICV">
    <vt:lpwstr>2412C652320546D39B8B916249F53577_12</vt:lpwstr>
  </property>
</Properties>
</file>