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B5819B">
      <w:pPr>
        <w:spacing w:line="800" w:lineRule="exact"/>
        <w:rPr>
          <w:rFonts w:ascii="宋体"/>
        </w:rPr>
      </w:pPr>
    </w:p>
    <w:p w14:paraId="31F9E35F">
      <w:pPr>
        <w:pStyle w:val="8"/>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606A3ED4">
      <w:pPr>
        <w:pStyle w:val="8"/>
        <w:spacing w:line="800" w:lineRule="exact"/>
        <w:jc w:val="center"/>
        <w:rPr>
          <w:rFonts w:hAnsi="宋体"/>
          <w:b/>
        </w:rPr>
      </w:pPr>
    </w:p>
    <w:p w14:paraId="443973BE">
      <w:pPr>
        <w:pStyle w:val="8"/>
        <w:spacing w:line="400" w:lineRule="exact"/>
        <w:jc w:val="center"/>
        <w:rPr>
          <w:rFonts w:hAnsi="宋体"/>
          <w:b/>
        </w:rPr>
      </w:pPr>
    </w:p>
    <w:p w14:paraId="5028F738">
      <w:pPr>
        <w:pStyle w:val="8"/>
        <w:spacing w:line="400" w:lineRule="exact"/>
        <w:jc w:val="center"/>
        <w:rPr>
          <w:rFonts w:hAnsi="宋体"/>
          <w:b/>
        </w:rPr>
      </w:pPr>
    </w:p>
    <w:p w14:paraId="3FA1FF0D">
      <w:pPr>
        <w:pStyle w:val="8"/>
        <w:spacing w:line="400" w:lineRule="exact"/>
        <w:jc w:val="center"/>
        <w:rPr>
          <w:rFonts w:hAnsi="宋体"/>
          <w:b/>
        </w:rPr>
      </w:pPr>
    </w:p>
    <w:p w14:paraId="3CFE69A5">
      <w:pPr>
        <w:snapToGrid w:val="0"/>
        <w:spacing w:before="156" w:line="400" w:lineRule="exact"/>
        <w:rPr>
          <w:rFonts w:ascii="宋体" w:hAnsi="宋体"/>
          <w:b/>
          <w:sz w:val="32"/>
          <w:szCs w:val="32"/>
        </w:rPr>
      </w:pPr>
    </w:p>
    <w:p w14:paraId="1F9D01CC">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项目名称：2026年广西职业院校技能大赛中职组《医学技术》赛项训练系统</w:t>
      </w:r>
    </w:p>
    <w:p w14:paraId="11F40540">
      <w:pPr>
        <w:snapToGrid w:val="0"/>
        <w:spacing w:before="156" w:line="400" w:lineRule="exact"/>
        <w:jc w:val="center"/>
        <w:rPr>
          <w:rFonts w:ascii="宋体" w:hAnsi="宋体"/>
          <w:b/>
          <w:sz w:val="32"/>
          <w:szCs w:val="32"/>
        </w:rPr>
      </w:pPr>
    </w:p>
    <w:p w14:paraId="4FC50027">
      <w:pPr>
        <w:snapToGrid w:val="0"/>
        <w:spacing w:before="156" w:line="400" w:lineRule="exact"/>
        <w:ind w:left="3154" w:leftChars="740" w:hanging="1600" w:hangingChars="500"/>
        <w:rPr>
          <w:rFonts w:ascii="宋体" w:hAnsi="宋体"/>
          <w:b/>
          <w:sz w:val="32"/>
          <w:szCs w:val="32"/>
        </w:rPr>
      </w:pPr>
    </w:p>
    <w:p w14:paraId="4DFAE726">
      <w:pPr>
        <w:pStyle w:val="8"/>
        <w:spacing w:line="400" w:lineRule="exact"/>
        <w:jc w:val="center"/>
        <w:rPr>
          <w:rFonts w:hAnsi="宋体"/>
          <w:b/>
        </w:rPr>
      </w:pPr>
    </w:p>
    <w:p w14:paraId="61BC8F8F">
      <w:pPr>
        <w:pStyle w:val="8"/>
        <w:spacing w:line="400" w:lineRule="exact"/>
        <w:jc w:val="center"/>
        <w:rPr>
          <w:rFonts w:hAnsi="宋体"/>
          <w:b/>
        </w:rPr>
      </w:pPr>
    </w:p>
    <w:p w14:paraId="41ACA410">
      <w:pPr>
        <w:pStyle w:val="8"/>
        <w:spacing w:line="400" w:lineRule="exact"/>
        <w:jc w:val="center"/>
        <w:rPr>
          <w:rFonts w:hAnsi="宋体"/>
          <w:b/>
        </w:rPr>
      </w:pPr>
    </w:p>
    <w:p w14:paraId="14B35A28">
      <w:pPr>
        <w:pStyle w:val="8"/>
        <w:spacing w:line="400" w:lineRule="exact"/>
        <w:jc w:val="center"/>
        <w:rPr>
          <w:rFonts w:hAnsi="宋体"/>
          <w:b/>
        </w:rPr>
      </w:pPr>
    </w:p>
    <w:p w14:paraId="546A6C3B">
      <w:pPr>
        <w:pStyle w:val="8"/>
        <w:spacing w:line="400" w:lineRule="exact"/>
        <w:jc w:val="center"/>
        <w:rPr>
          <w:rFonts w:hAnsi="宋体"/>
          <w:b/>
        </w:rPr>
      </w:pPr>
    </w:p>
    <w:p w14:paraId="4E92FDA6">
      <w:pPr>
        <w:pStyle w:val="8"/>
        <w:spacing w:line="400" w:lineRule="exact"/>
        <w:jc w:val="center"/>
        <w:rPr>
          <w:rFonts w:hAnsi="宋体"/>
          <w:b/>
        </w:rPr>
      </w:pPr>
    </w:p>
    <w:p w14:paraId="19F8C5EB">
      <w:pPr>
        <w:pStyle w:val="8"/>
        <w:spacing w:line="400" w:lineRule="exact"/>
        <w:jc w:val="center"/>
        <w:rPr>
          <w:rFonts w:hAnsi="宋体"/>
          <w:b/>
        </w:rPr>
      </w:pPr>
    </w:p>
    <w:p w14:paraId="6AB9D2FE">
      <w:pPr>
        <w:pStyle w:val="8"/>
        <w:spacing w:line="400" w:lineRule="exact"/>
        <w:jc w:val="center"/>
        <w:rPr>
          <w:rFonts w:hAnsi="宋体"/>
          <w:b/>
        </w:rPr>
      </w:pPr>
    </w:p>
    <w:p w14:paraId="73BE60B2">
      <w:pPr>
        <w:pStyle w:val="8"/>
        <w:spacing w:line="400" w:lineRule="exact"/>
        <w:jc w:val="center"/>
        <w:rPr>
          <w:rFonts w:hAnsi="宋体"/>
          <w:b/>
        </w:rPr>
      </w:pPr>
    </w:p>
    <w:p w14:paraId="4CD45D02">
      <w:pPr>
        <w:pStyle w:val="8"/>
        <w:spacing w:line="400" w:lineRule="exact"/>
        <w:jc w:val="center"/>
        <w:rPr>
          <w:rFonts w:hAnsi="宋体"/>
          <w:b/>
        </w:rPr>
      </w:pPr>
    </w:p>
    <w:p w14:paraId="52AF1A94">
      <w:pPr>
        <w:pStyle w:val="8"/>
        <w:spacing w:line="400" w:lineRule="exact"/>
        <w:jc w:val="center"/>
        <w:rPr>
          <w:rFonts w:hAnsi="宋体"/>
          <w:b/>
        </w:rPr>
      </w:pPr>
    </w:p>
    <w:p w14:paraId="4B9E1FA2">
      <w:pPr>
        <w:pStyle w:val="8"/>
        <w:spacing w:line="400" w:lineRule="exact"/>
        <w:jc w:val="center"/>
        <w:rPr>
          <w:rFonts w:hAnsi="宋体"/>
          <w:b/>
        </w:rPr>
      </w:pPr>
    </w:p>
    <w:p w14:paraId="37C29935">
      <w:pPr>
        <w:pStyle w:val="8"/>
        <w:spacing w:line="400" w:lineRule="exact"/>
        <w:rPr>
          <w:rFonts w:hAnsi="宋体"/>
          <w:b/>
        </w:rPr>
      </w:pPr>
    </w:p>
    <w:p w14:paraId="3ED5F87B">
      <w:pPr>
        <w:pStyle w:val="8"/>
        <w:spacing w:line="400" w:lineRule="exact"/>
        <w:jc w:val="center"/>
        <w:rPr>
          <w:rFonts w:hAnsi="宋体"/>
          <w:b/>
        </w:rPr>
      </w:pPr>
    </w:p>
    <w:p w14:paraId="121C256A">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1D30860F">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w:t>
      </w:r>
      <w:r>
        <w:rPr>
          <w:rFonts w:hint="eastAsia" w:ascii="宋体" w:hAnsi="宋体"/>
          <w:b/>
          <w:color w:val="000000"/>
          <w:sz w:val="32"/>
          <w:szCs w:val="32"/>
          <w:lang w:val="en-US" w:eastAsia="zh-CN"/>
        </w:rPr>
        <w:t>11</w:t>
      </w:r>
      <w:r>
        <w:rPr>
          <w:rFonts w:hint="eastAsia" w:ascii="宋体" w:hAnsi="宋体"/>
          <w:b/>
          <w:color w:val="000000"/>
          <w:sz w:val="32"/>
          <w:szCs w:val="32"/>
        </w:rPr>
        <w:t>月</w:t>
      </w:r>
    </w:p>
    <w:p w14:paraId="6E661925">
      <w:pPr>
        <w:snapToGrid w:val="0"/>
        <w:spacing w:before="156" w:line="400" w:lineRule="exact"/>
        <w:jc w:val="center"/>
        <w:rPr>
          <w:rFonts w:ascii="宋体" w:hAnsi="宋体"/>
          <w:b/>
          <w:color w:val="FF0000"/>
          <w:sz w:val="32"/>
          <w:szCs w:val="32"/>
        </w:rPr>
      </w:pPr>
    </w:p>
    <w:p w14:paraId="3FBB394D">
      <w:pPr>
        <w:snapToGrid w:val="0"/>
        <w:spacing w:before="156" w:line="400" w:lineRule="exact"/>
        <w:jc w:val="center"/>
        <w:rPr>
          <w:rFonts w:ascii="宋体" w:hAnsi="宋体"/>
          <w:b/>
          <w:color w:val="FF0000"/>
          <w:sz w:val="32"/>
          <w:szCs w:val="32"/>
        </w:rPr>
      </w:pPr>
    </w:p>
    <w:p w14:paraId="053DB74A">
      <w:pPr>
        <w:snapToGrid w:val="0"/>
        <w:spacing w:before="156" w:line="400" w:lineRule="exact"/>
        <w:jc w:val="center"/>
        <w:rPr>
          <w:rFonts w:ascii="宋体" w:hAnsi="宋体"/>
          <w:b/>
          <w:color w:val="FF0000"/>
          <w:sz w:val="32"/>
          <w:szCs w:val="32"/>
        </w:rPr>
      </w:pPr>
    </w:p>
    <w:p w14:paraId="0BAABC57">
      <w:pPr>
        <w:snapToGrid w:val="0"/>
        <w:spacing w:before="156" w:line="400" w:lineRule="exact"/>
        <w:jc w:val="center"/>
        <w:rPr>
          <w:rFonts w:ascii="宋体" w:hAnsi="宋体"/>
          <w:b/>
          <w:color w:val="FF0000"/>
          <w:sz w:val="32"/>
          <w:szCs w:val="32"/>
        </w:rPr>
      </w:pPr>
    </w:p>
    <w:p w14:paraId="4264E648">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54C18F1C">
      <w:pPr>
        <w:pStyle w:val="20"/>
        <w:ind w:firstLine="864"/>
        <w:rPr>
          <w:rFonts w:hAnsi="宋体"/>
          <w:sz w:val="44"/>
          <w:szCs w:val="52"/>
        </w:rPr>
      </w:pPr>
    </w:p>
    <w:p w14:paraId="3421E7B3">
      <w:pPr>
        <w:pStyle w:val="20"/>
        <w:ind w:firstLine="864"/>
        <w:rPr>
          <w:rFonts w:hAnsi="宋体"/>
          <w:sz w:val="44"/>
          <w:szCs w:val="52"/>
        </w:rPr>
      </w:pPr>
    </w:p>
    <w:p w14:paraId="1798CFF0">
      <w:pPr>
        <w:pStyle w:val="20"/>
        <w:ind w:firstLine="864"/>
        <w:rPr>
          <w:rFonts w:hAnsi="宋体"/>
          <w:sz w:val="44"/>
          <w:szCs w:val="52"/>
        </w:rPr>
      </w:pPr>
    </w:p>
    <w:p w14:paraId="066A7E09">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2835125C">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0C465C95">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7CB0CA2C">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3E4D021F">
      <w:pPr>
        <w:spacing w:line="560" w:lineRule="exact"/>
        <w:rPr>
          <w:rFonts w:ascii="宋体" w:hAnsi="宋体"/>
          <w:sz w:val="28"/>
          <w:szCs w:val="28"/>
        </w:rPr>
      </w:pPr>
      <w:r>
        <w:rPr>
          <w:rFonts w:hint="eastAsia" w:ascii="宋体" w:hAnsi="宋体"/>
          <w:sz w:val="28"/>
          <w:szCs w:val="28"/>
        </w:rPr>
        <w:fldChar w:fldCharType="end"/>
      </w:r>
    </w:p>
    <w:p w14:paraId="40BDA395">
      <w:pPr>
        <w:pStyle w:val="8"/>
        <w:spacing w:line="480" w:lineRule="auto"/>
        <w:ind w:left="840" w:leftChars="400"/>
        <w:rPr>
          <w:rFonts w:hAnsi="宋体"/>
          <w:sz w:val="32"/>
          <w:szCs w:val="32"/>
        </w:rPr>
      </w:pPr>
    </w:p>
    <w:p w14:paraId="24DA0926">
      <w:pPr>
        <w:pStyle w:val="8"/>
        <w:spacing w:line="400" w:lineRule="exact"/>
        <w:ind w:left="411" w:leftChars="196"/>
        <w:rPr>
          <w:rFonts w:hAnsi="宋体"/>
          <w:sz w:val="32"/>
        </w:rPr>
      </w:pPr>
    </w:p>
    <w:p w14:paraId="42E32E5F">
      <w:pPr>
        <w:tabs>
          <w:tab w:val="center" w:pos="4535"/>
          <w:tab w:val="left" w:pos="6945"/>
        </w:tabs>
        <w:spacing w:line="400" w:lineRule="exact"/>
        <w:jc w:val="right"/>
        <w:rPr>
          <w:rFonts w:ascii="宋体" w:hAnsi="宋体"/>
          <w:sz w:val="36"/>
          <w:szCs w:val="36"/>
        </w:rPr>
      </w:pPr>
      <w:r>
        <w:tab/>
      </w:r>
    </w:p>
    <w:p w14:paraId="1F70E3D2">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60FC6C59">
      <w:pPr>
        <w:tabs>
          <w:tab w:val="center" w:pos="4535"/>
          <w:tab w:val="left" w:pos="6945"/>
        </w:tabs>
        <w:spacing w:line="400" w:lineRule="exact"/>
        <w:jc w:val="center"/>
        <w:rPr>
          <w:b/>
          <w:bCs/>
          <w:color w:val="000000"/>
          <w:sz w:val="32"/>
          <w:szCs w:val="32"/>
        </w:rPr>
      </w:pPr>
      <w:bookmarkStart w:id="0" w:name="_Toc66377097"/>
      <w:bookmarkStart w:id="1" w:name="_Toc18486"/>
      <w:bookmarkStart w:id="2" w:name="_Toc411"/>
      <w:bookmarkStart w:id="97" w:name="_GoBack"/>
      <w:r>
        <w:rPr>
          <w:rFonts w:hint="eastAsia"/>
          <w:b/>
          <w:bCs/>
          <w:color w:val="000000"/>
          <w:sz w:val="32"/>
          <w:szCs w:val="32"/>
        </w:rPr>
        <w:t>第一章  采购公告</w:t>
      </w:r>
      <w:bookmarkEnd w:id="0"/>
      <w:bookmarkEnd w:id="1"/>
      <w:bookmarkEnd w:id="2"/>
    </w:p>
    <w:p w14:paraId="4C3F0E79">
      <w:pPr>
        <w:pStyle w:val="8"/>
        <w:spacing w:line="400" w:lineRule="exact"/>
        <w:jc w:val="center"/>
        <w:rPr>
          <w:rFonts w:hAnsi="宋体"/>
          <w:b/>
          <w:color w:val="000000"/>
          <w:sz w:val="32"/>
          <w:szCs w:val="32"/>
        </w:rPr>
      </w:pPr>
    </w:p>
    <w:p w14:paraId="3849490B">
      <w:pPr>
        <w:spacing w:line="400" w:lineRule="exact"/>
        <w:rPr>
          <w:rFonts w:ascii="宋体" w:hAnsi="宋体"/>
          <w:b/>
          <w:color w:val="000000"/>
          <w:szCs w:val="21"/>
        </w:rPr>
      </w:pPr>
      <w:r>
        <w:rPr>
          <w:rFonts w:hint="eastAsia" w:ascii="宋体" w:hAnsi="宋体"/>
          <w:b/>
          <w:color w:val="000000"/>
          <w:szCs w:val="21"/>
        </w:rPr>
        <w:t>一、项目基本情况</w:t>
      </w:r>
    </w:p>
    <w:p w14:paraId="50C84407">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项目名称：2026年广西职业院校技能大赛中职组《医学技术》赛项训练系统</w:t>
      </w:r>
    </w:p>
    <w:p w14:paraId="15F06AE3">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03385A87">
      <w:pPr>
        <w:spacing w:line="400" w:lineRule="exact"/>
        <w:ind w:firstLine="420" w:firstLineChars="200"/>
        <w:rPr>
          <w:rFonts w:hint="default" w:ascii="宋体" w:hAnsi="宋体" w:eastAsia="宋体"/>
          <w:color w:val="000000"/>
          <w:szCs w:val="21"/>
          <w:lang w:val="en-US" w:eastAsia="zh-CN"/>
        </w:rPr>
      </w:pPr>
      <w:r>
        <w:rPr>
          <w:rFonts w:hint="eastAsia" w:ascii="宋体" w:hAnsi="宋体"/>
          <w:color w:val="000000"/>
          <w:szCs w:val="21"/>
        </w:rPr>
        <w:t>预算金额：</w:t>
      </w:r>
      <w:r>
        <w:rPr>
          <w:rFonts w:hint="eastAsia" w:ascii="宋体" w:hAnsi="宋体"/>
          <w:color w:val="000000"/>
          <w:szCs w:val="21"/>
          <w:lang w:val="en-US" w:eastAsia="zh-CN"/>
        </w:rPr>
        <w:t>87200元</w:t>
      </w:r>
    </w:p>
    <w:p w14:paraId="4BD52273">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21"/>
        <w:tblW w:w="9222" w:type="dxa"/>
        <w:tblInd w:w="-108" w:type="dxa"/>
        <w:tblLayout w:type="fixed"/>
        <w:tblCellMar>
          <w:top w:w="0" w:type="dxa"/>
          <w:left w:w="108" w:type="dxa"/>
          <w:bottom w:w="0" w:type="dxa"/>
          <w:right w:w="108" w:type="dxa"/>
        </w:tblCellMar>
      </w:tblPr>
      <w:tblGrid>
        <w:gridCol w:w="634"/>
        <w:gridCol w:w="2920"/>
        <w:gridCol w:w="2953"/>
        <w:gridCol w:w="693"/>
        <w:gridCol w:w="854"/>
        <w:gridCol w:w="1168"/>
      </w:tblGrid>
      <w:tr w14:paraId="1EFF9BE4">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CF8401F">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7EF17D91">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品　名</w:t>
            </w:r>
          </w:p>
        </w:tc>
        <w:tc>
          <w:tcPr>
            <w:tcW w:w="2953" w:type="dxa"/>
            <w:tcBorders>
              <w:top w:val="single" w:color="auto" w:sz="4" w:space="0"/>
              <w:left w:val="single" w:color="auto" w:sz="4" w:space="0"/>
              <w:bottom w:val="single" w:color="auto" w:sz="4" w:space="0"/>
              <w:right w:val="single" w:color="auto" w:sz="4" w:space="0"/>
            </w:tcBorders>
            <w:vAlign w:val="center"/>
          </w:tcPr>
          <w:p w14:paraId="498E4B28">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6788B260">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136BAA48">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168" w:type="dxa"/>
            <w:tcBorders>
              <w:top w:val="single" w:color="auto" w:sz="4" w:space="0"/>
              <w:left w:val="single" w:color="auto" w:sz="4" w:space="0"/>
              <w:bottom w:val="single" w:color="auto" w:sz="4" w:space="0"/>
              <w:right w:val="single" w:color="auto" w:sz="4" w:space="0"/>
            </w:tcBorders>
            <w:vAlign w:val="center"/>
          </w:tcPr>
          <w:p w14:paraId="5773C86E">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31545DF6">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31256B50">
            <w:pPr>
              <w:widowControl/>
              <w:jc w:val="center"/>
              <w:rPr>
                <w:rFonts w:ascii="宋体" w:hAnsi="宋体"/>
                <w:color w:val="000000"/>
                <w:sz w:val="21"/>
                <w:szCs w:val="21"/>
              </w:rPr>
            </w:pPr>
            <w:r>
              <w:rPr>
                <w:rFonts w:hint="eastAsia" w:ascii="宋体" w:hAnsi="宋体"/>
                <w:color w:val="000000"/>
                <w:sz w:val="21"/>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7A878CF8">
            <w:pPr>
              <w:widowControl/>
              <w:jc w:val="center"/>
              <w:rPr>
                <w:rFonts w:ascii="宋体" w:hAnsi="宋体"/>
                <w:color w:val="000000"/>
                <w:sz w:val="21"/>
                <w:szCs w:val="21"/>
              </w:rPr>
            </w:pPr>
            <w:r>
              <w:rPr>
                <w:rFonts w:hint="eastAsia" w:ascii="宋体" w:hAnsi="宋体" w:cs="宋体"/>
                <w:color w:val="000000"/>
                <w:kern w:val="0"/>
                <w:szCs w:val="21"/>
                <w:u w:val="none"/>
                <w:lang w:bidi="ar"/>
              </w:rPr>
              <w:t>2026年广西职业院校技能大赛中职组《医学技术》赛项训练系统</w:t>
            </w:r>
          </w:p>
        </w:tc>
        <w:tc>
          <w:tcPr>
            <w:tcW w:w="2953" w:type="dxa"/>
            <w:tcBorders>
              <w:top w:val="single" w:color="auto" w:sz="4" w:space="0"/>
              <w:left w:val="single" w:color="auto" w:sz="4" w:space="0"/>
              <w:bottom w:val="single" w:color="auto" w:sz="4" w:space="0"/>
              <w:right w:val="single" w:color="auto" w:sz="4" w:space="0"/>
            </w:tcBorders>
            <w:vAlign w:val="center"/>
          </w:tcPr>
          <w:p w14:paraId="2A0C1668">
            <w:pPr>
              <w:rPr>
                <w:color w:val="000000"/>
                <w:sz w:val="21"/>
                <w:szCs w:val="21"/>
              </w:rPr>
            </w:pPr>
            <w:bookmarkStart w:id="3" w:name="OLE_LINK1"/>
            <w:r>
              <w:rPr>
                <w:rFonts w:hint="eastAsia"/>
                <w:color w:val="000000"/>
                <w:sz w:val="21"/>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26A1F17D">
            <w:pPr>
              <w:widowControl/>
              <w:jc w:val="center"/>
              <w:rPr>
                <w:rFonts w:hint="eastAsia" w:ascii="宋体" w:hAnsi="宋体" w:eastAsia="宋体"/>
                <w:color w:val="000000"/>
                <w:sz w:val="21"/>
                <w:szCs w:val="21"/>
                <w:lang w:val="en-US" w:eastAsia="zh-CN"/>
              </w:rPr>
            </w:pPr>
            <w:r>
              <w:rPr>
                <w:rFonts w:hint="eastAsia" w:ascii="宋体" w:hAnsi="宋体"/>
                <w:color w:val="000000"/>
                <w:sz w:val="21"/>
                <w:szCs w:val="21"/>
                <w:lang w:val="en-US" w:eastAsia="zh-CN"/>
              </w:rPr>
              <w:t>套</w:t>
            </w:r>
          </w:p>
        </w:tc>
        <w:tc>
          <w:tcPr>
            <w:tcW w:w="854" w:type="dxa"/>
            <w:tcBorders>
              <w:top w:val="single" w:color="auto" w:sz="4" w:space="0"/>
              <w:left w:val="single" w:color="auto" w:sz="4" w:space="0"/>
              <w:bottom w:val="single" w:color="auto" w:sz="4" w:space="0"/>
              <w:right w:val="single" w:color="auto" w:sz="4" w:space="0"/>
            </w:tcBorders>
            <w:vAlign w:val="center"/>
          </w:tcPr>
          <w:p w14:paraId="1832467D">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1</w:t>
            </w:r>
          </w:p>
        </w:tc>
        <w:tc>
          <w:tcPr>
            <w:tcW w:w="1168" w:type="dxa"/>
            <w:tcBorders>
              <w:top w:val="single" w:color="auto" w:sz="4" w:space="0"/>
              <w:left w:val="single" w:color="auto" w:sz="4" w:space="0"/>
              <w:bottom w:val="single" w:color="auto" w:sz="4" w:space="0"/>
              <w:right w:val="single" w:color="auto" w:sz="4" w:space="0"/>
            </w:tcBorders>
            <w:vAlign w:val="center"/>
          </w:tcPr>
          <w:p w14:paraId="1D4CBE5C">
            <w:pPr>
              <w:widowControl/>
              <w:jc w:val="center"/>
              <w:rPr>
                <w:rFonts w:hint="default" w:ascii="宋体" w:hAnsi="宋体" w:eastAsia="宋体"/>
                <w:color w:val="000000"/>
                <w:sz w:val="21"/>
                <w:szCs w:val="21"/>
                <w:lang w:val="en-US" w:eastAsia="zh-CN"/>
              </w:rPr>
            </w:pPr>
            <w:r>
              <w:rPr>
                <w:rFonts w:hint="eastAsia" w:ascii="宋体" w:hAnsi="宋体"/>
                <w:color w:val="000000"/>
                <w:szCs w:val="21"/>
                <w:lang w:val="en-US" w:eastAsia="zh-CN"/>
              </w:rPr>
              <w:t>87200元</w:t>
            </w:r>
          </w:p>
        </w:tc>
      </w:tr>
    </w:tbl>
    <w:p w14:paraId="5A4077C2">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049AAE36">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lang w:eastAsia="zh-CN"/>
        </w:rPr>
        <w:t>符合</w:t>
      </w:r>
      <w:r>
        <w:rPr>
          <w:rFonts w:hint="eastAsia" w:ascii="宋体" w:hAnsi="宋体"/>
          <w:color w:val="000000"/>
        </w:rPr>
        <w:t>《中华人民共和国政府采购法》第二十二条规定的投标人资格条件；即：</w:t>
      </w:r>
    </w:p>
    <w:p w14:paraId="60561CCC">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1</w:t>
      </w:r>
      <w:r>
        <w:rPr>
          <w:rFonts w:hint="eastAsia" w:ascii="宋体" w:hAnsi="宋体"/>
          <w:color w:val="000000"/>
          <w:lang w:eastAsia="zh-CN"/>
        </w:rPr>
        <w:t>）</w:t>
      </w:r>
      <w:r>
        <w:rPr>
          <w:rFonts w:hint="eastAsia" w:ascii="宋体" w:hAnsi="宋体"/>
          <w:color w:val="000000"/>
        </w:rPr>
        <w:t>具有独立承担民事责任的能力；</w:t>
      </w:r>
    </w:p>
    <w:p w14:paraId="395FA158">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2</w:t>
      </w:r>
      <w:r>
        <w:rPr>
          <w:rFonts w:hint="eastAsia" w:ascii="宋体" w:hAnsi="宋体"/>
          <w:color w:val="000000"/>
          <w:lang w:eastAsia="zh-CN"/>
        </w:rPr>
        <w:t>）</w:t>
      </w:r>
      <w:r>
        <w:rPr>
          <w:rFonts w:hint="eastAsia" w:ascii="宋体" w:hAnsi="宋体"/>
          <w:color w:val="000000"/>
        </w:rPr>
        <w:t>具有良好的商业信誉和健全的财务会计制度；</w:t>
      </w:r>
    </w:p>
    <w:p w14:paraId="5AAC7D15">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3</w:t>
      </w:r>
      <w:r>
        <w:rPr>
          <w:rFonts w:hint="eastAsia" w:ascii="宋体" w:hAnsi="宋体"/>
          <w:color w:val="000000"/>
          <w:lang w:eastAsia="zh-CN"/>
        </w:rPr>
        <w:t>）</w:t>
      </w:r>
      <w:r>
        <w:rPr>
          <w:rFonts w:hint="eastAsia" w:ascii="宋体" w:hAnsi="宋体"/>
          <w:color w:val="000000"/>
        </w:rPr>
        <w:t xml:space="preserve">具有履行合同所需的设备和专业技术能力； </w:t>
      </w:r>
    </w:p>
    <w:p w14:paraId="6DAC07AA">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4</w:t>
      </w:r>
      <w:r>
        <w:rPr>
          <w:rFonts w:hint="eastAsia" w:ascii="宋体" w:hAnsi="宋体"/>
          <w:color w:val="000000"/>
          <w:lang w:eastAsia="zh-CN"/>
        </w:rPr>
        <w:t>）</w:t>
      </w:r>
      <w:r>
        <w:rPr>
          <w:rFonts w:hint="eastAsia" w:ascii="宋体" w:hAnsi="宋体"/>
          <w:color w:val="000000"/>
        </w:rPr>
        <w:t>有依法缴纳税收和社会保障资金的良好记录；</w:t>
      </w:r>
    </w:p>
    <w:p w14:paraId="05DBF251">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5</w:t>
      </w:r>
      <w:r>
        <w:rPr>
          <w:rFonts w:hint="eastAsia" w:ascii="宋体" w:hAnsi="宋体"/>
          <w:color w:val="000000"/>
          <w:lang w:eastAsia="zh-CN"/>
        </w:rPr>
        <w:t>）</w:t>
      </w:r>
      <w:r>
        <w:rPr>
          <w:rFonts w:hint="eastAsia" w:ascii="宋体" w:hAnsi="宋体"/>
          <w:color w:val="000000"/>
        </w:rPr>
        <w:t>参加采购活动前三年内，在经营活动中没有重大违法记录；</w:t>
      </w:r>
    </w:p>
    <w:p w14:paraId="21D0CF32">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6</w:t>
      </w:r>
      <w:r>
        <w:rPr>
          <w:rFonts w:hint="eastAsia" w:ascii="宋体" w:hAnsi="宋体"/>
          <w:color w:val="000000"/>
          <w:lang w:eastAsia="zh-CN"/>
        </w:rPr>
        <w:t>）</w:t>
      </w:r>
      <w:r>
        <w:rPr>
          <w:rFonts w:hint="eastAsia" w:ascii="宋体" w:hAnsi="宋体"/>
          <w:color w:val="000000"/>
        </w:rPr>
        <w:t>法律、行政法规规定的其他条件。</w:t>
      </w:r>
    </w:p>
    <w:p w14:paraId="20DAED91">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.本项目的特定资格要求：</w:t>
      </w:r>
    </w:p>
    <w:p w14:paraId="4C7B4362">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.1国内注册（指按国家有关规定要求注册的）具有独立法人资格，生产或经营本次采购服务的供应商；</w:t>
      </w:r>
    </w:p>
    <w:p w14:paraId="149F4EEC">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3352F438">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3</w:t>
      </w:r>
      <w:r>
        <w:rPr>
          <w:rFonts w:hint="eastAsia" w:ascii="宋体" w:hAnsi="宋体"/>
          <w:color w:val="000000"/>
          <w:szCs w:val="21"/>
        </w:rPr>
        <w:t>对在“信用中国”网站</w:t>
      </w:r>
      <w:r>
        <w:rPr>
          <w:rFonts w:hint="eastAsia" w:ascii="宋体" w:hAnsi="宋体"/>
          <w:color w:val="000000"/>
          <w:szCs w:val="21"/>
          <w:lang w:eastAsia="zh-CN"/>
        </w:rPr>
        <w:t>（</w:t>
      </w:r>
      <w:r>
        <w:rPr>
          <w:rFonts w:hint="eastAsia" w:ascii="宋体" w:hAnsi="宋体"/>
          <w:color w:val="000000"/>
          <w:szCs w:val="21"/>
        </w:rPr>
        <w:t>www.creditchina.gov.cn</w:t>
      </w:r>
      <w:r>
        <w:rPr>
          <w:rFonts w:hint="eastAsia" w:ascii="宋体" w:hAnsi="宋体"/>
          <w:color w:val="000000"/>
          <w:szCs w:val="21"/>
          <w:lang w:eastAsia="zh-CN"/>
        </w:rPr>
        <w:t>）</w:t>
      </w:r>
      <w:r>
        <w:rPr>
          <w:rFonts w:hint="eastAsia" w:ascii="宋体" w:hAnsi="宋体"/>
          <w:color w:val="000000"/>
          <w:szCs w:val="21"/>
        </w:rPr>
        <w:t>、中国政府采购网</w:t>
      </w:r>
      <w:r>
        <w:rPr>
          <w:rFonts w:hint="eastAsia" w:ascii="宋体" w:hAnsi="宋体"/>
          <w:color w:val="000000"/>
          <w:szCs w:val="21"/>
          <w:lang w:eastAsia="zh-CN"/>
        </w:rPr>
        <w:t>（</w:t>
      </w:r>
      <w:r>
        <w:rPr>
          <w:rFonts w:hint="eastAsia" w:ascii="宋体" w:hAnsi="宋体"/>
          <w:color w:val="000000"/>
          <w:szCs w:val="21"/>
        </w:rPr>
        <w:t>www.ccgp.gov.cn</w:t>
      </w:r>
      <w:r>
        <w:rPr>
          <w:rFonts w:hint="eastAsia" w:ascii="宋体" w:hAnsi="宋体"/>
          <w:color w:val="000000"/>
          <w:szCs w:val="21"/>
          <w:lang w:eastAsia="zh-CN"/>
        </w:rPr>
        <w:t>）</w:t>
      </w:r>
      <w:r>
        <w:rPr>
          <w:rFonts w:hint="eastAsia" w:ascii="宋体" w:hAnsi="宋体"/>
          <w:color w:val="000000"/>
          <w:szCs w:val="21"/>
        </w:rPr>
        <w:t>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459BE0D7">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4</w:t>
      </w:r>
      <w:r>
        <w:rPr>
          <w:rFonts w:hint="eastAsia" w:ascii="宋体" w:hAnsi="宋体"/>
          <w:color w:val="000000"/>
          <w:szCs w:val="21"/>
        </w:rPr>
        <w:t>本项目不接受联合体投标；</w:t>
      </w:r>
    </w:p>
    <w:p w14:paraId="0D629C17">
      <w:pPr>
        <w:snapToGrid w:val="0"/>
        <w:spacing w:line="400" w:lineRule="exact"/>
        <w:rPr>
          <w:rFonts w:ascii="宋体" w:hAnsi="Courier New"/>
          <w:b/>
          <w:color w:val="000000"/>
          <w:spacing w:val="6"/>
          <w:kern w:val="48"/>
        </w:rPr>
      </w:pPr>
      <w:r>
        <w:rPr>
          <w:rFonts w:hint="eastAsia" w:ascii="宋体" w:hAnsi="Courier New"/>
          <w:b/>
          <w:color w:val="000000"/>
          <w:spacing w:val="6"/>
          <w:kern w:val="48"/>
        </w:rPr>
        <w:t>三、获取采购文件方式：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供应商将所有竞标文件盖章，于2025年</w:t>
      </w:r>
      <w:r>
        <w:rPr>
          <w:rFonts w:hint="eastAsia" w:ascii="宋体" w:hAnsi="Courier New"/>
          <w:b w:val="0"/>
          <w:bCs/>
          <w:color w:val="000000"/>
          <w:spacing w:val="6"/>
          <w:kern w:val="48"/>
          <w:u w:val="single"/>
          <w:lang w:val="en-US" w:eastAsia="zh-CN"/>
        </w:rPr>
        <w:t xml:space="preserve"> 12</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2</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8</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07</w:t>
      </w:r>
      <w:r>
        <w:rPr>
          <w:rFonts w:hint="eastAsia" w:ascii="宋体" w:hAnsi="Courier New"/>
          <w:b w:val="0"/>
          <w:bCs/>
          <w:color w:val="000000"/>
          <w:spacing w:val="6"/>
          <w:kern w:val="48"/>
        </w:rPr>
        <w:t>会议室，竞标文件需提供正本1份、副本2份，装入档案袋密封并在骑缝处加盖单位公章，档案袋上注明项目名称、报名单位、联系人、联系方式。</w:t>
      </w:r>
      <w:r>
        <w:br w:type="textWrapping"/>
      </w:r>
      <w:r>
        <w:rPr>
          <w:rFonts w:hint="eastAsia" w:ascii="宋体" w:hAnsi="Courier New"/>
          <w:color w:val="000000"/>
          <w:spacing w:val="6"/>
          <w:kern w:val="48"/>
        </w:rPr>
        <w:t xml:space="preserve">    </w:t>
      </w:r>
      <w:r>
        <w:rPr>
          <w:rFonts w:hint="eastAsia" w:ascii="宋体" w:hAnsi="Courier New"/>
          <w:b/>
          <w:color w:val="000000"/>
          <w:spacing w:val="6"/>
          <w:kern w:val="48"/>
        </w:rPr>
        <w:t>五、咨询电话：</w:t>
      </w:r>
      <w:r>
        <w:rPr>
          <w:rFonts w:hint="eastAsia" w:ascii="宋体" w:hAnsi="Courier New"/>
          <w:color w:val="000000"/>
          <w:spacing w:val="6"/>
          <w:kern w:val="48"/>
        </w:rPr>
        <w:t>0771-3</w:t>
      </w:r>
      <w:r>
        <w:rPr>
          <w:rFonts w:hint="eastAsia" w:ascii="宋体" w:hAnsi="Courier New"/>
          <w:color w:val="000000"/>
          <w:spacing w:val="6"/>
          <w:kern w:val="48"/>
          <w:lang w:val="en-US" w:eastAsia="zh-CN"/>
        </w:rPr>
        <w:t>939372</w:t>
      </w:r>
      <w:r>
        <w:rPr>
          <w:rFonts w:hint="eastAsia" w:ascii="宋体" w:hAnsi="Courier New"/>
          <w:color w:val="000000"/>
          <w:spacing w:val="6"/>
          <w:kern w:val="48"/>
        </w:rPr>
        <w:t xml:space="preserve"> 杨老师</w:t>
      </w:r>
    </w:p>
    <w:bookmarkEnd w:id="97"/>
    <w:p w14:paraId="4E98A5C4">
      <w:pPr>
        <w:snapToGrid w:val="0"/>
        <w:spacing w:line="400" w:lineRule="exact"/>
        <w:ind w:firstLine="420" w:firstLineChars="200"/>
        <w:rPr>
          <w:rFonts w:hint="eastAsia" w:ascii="宋体" w:hAnsi="宋体"/>
          <w:color w:val="000000"/>
          <w:szCs w:val="21"/>
        </w:rPr>
      </w:pPr>
      <w:r>
        <w:rPr>
          <w:rFonts w:hint="eastAsia" w:ascii="宋体" w:hAnsi="宋体"/>
          <w:color w:val="000000"/>
          <w:szCs w:val="21"/>
        </w:rPr>
        <w:t xml:space="preserve">　　　　　　　　　　　    </w:t>
      </w:r>
      <w:bookmarkStart w:id="4" w:name="_Toc21161"/>
      <w:bookmarkStart w:id="5" w:name="_Toc18331"/>
    </w:p>
    <w:p w14:paraId="5123A2B0">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E2DE066">
      <w:pPr>
        <w:spacing w:line="400" w:lineRule="exact"/>
        <w:ind w:firstLine="411" w:firstLineChars="196"/>
        <w:rPr>
          <w:rFonts w:ascii="宋体" w:hAnsi="宋体"/>
          <w:b/>
          <w:bCs/>
        </w:rPr>
      </w:pPr>
      <w:r>
        <w:rPr>
          <w:rFonts w:hint="eastAsia" w:ascii="宋体" w:hAnsi="宋体"/>
          <w:b/>
          <w:bCs/>
        </w:rPr>
        <w:t>说明：</w:t>
      </w:r>
    </w:p>
    <w:p w14:paraId="47245D5A">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9AA6FC1">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020510E5">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szCs w:val="24"/>
        </w:rPr>
        <w:t>本项目所有采购需求均不允许负偏离，对采购需求</w:t>
      </w:r>
      <w:r>
        <w:rPr>
          <w:rFonts w:hint="eastAsia" w:ascii="宋体" w:hAnsi="宋体"/>
          <w:b/>
          <w:bCs/>
          <w:sz w:val="24"/>
          <w:szCs w:val="24"/>
          <w:lang w:eastAsia="zh-CN"/>
        </w:rPr>
        <w:t>（含技术需求、商务</w:t>
      </w:r>
      <w:r>
        <w:rPr>
          <w:rFonts w:hint="eastAsia" w:ascii="宋体" w:hAnsi="宋体"/>
          <w:b/>
          <w:bCs/>
          <w:sz w:val="24"/>
          <w:szCs w:val="24"/>
          <w:lang w:val="en-US" w:eastAsia="zh-CN"/>
        </w:rPr>
        <w:t>需求）</w:t>
      </w:r>
      <w:r>
        <w:rPr>
          <w:rFonts w:hint="eastAsia" w:ascii="宋体" w:hAnsi="宋体"/>
          <w:b/>
          <w:bCs/>
          <w:sz w:val="24"/>
          <w:szCs w:val="24"/>
        </w:rPr>
        <w:t>的任何不满足将导致响应无效。</w:t>
      </w:r>
    </w:p>
    <w:p w14:paraId="0D4E3B08">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791ED333">
      <w:pPr>
        <w:spacing w:line="400" w:lineRule="exact"/>
        <w:ind w:left="-10" w:leftChars="-5" w:right="2" w:rightChars="1" w:firstLine="420" w:firstLineChars="200"/>
        <w:rPr>
          <w:rFonts w:hint="eastAsia" w:ascii="宋体" w:hAnsi="宋体"/>
          <w:b/>
          <w:bCs/>
        </w:rPr>
      </w:pPr>
    </w:p>
    <w:tbl>
      <w:tblPr>
        <w:tblStyle w:val="21"/>
        <w:tblW w:w="9805" w:type="dxa"/>
        <w:jc w:val="center"/>
        <w:tblLayout w:type="fixed"/>
        <w:tblCellMar>
          <w:top w:w="0" w:type="dxa"/>
          <w:left w:w="108" w:type="dxa"/>
          <w:bottom w:w="0" w:type="dxa"/>
          <w:right w:w="108" w:type="dxa"/>
        </w:tblCellMar>
      </w:tblPr>
      <w:tblGrid>
        <w:gridCol w:w="939"/>
        <w:gridCol w:w="6703"/>
        <w:gridCol w:w="437"/>
        <w:gridCol w:w="711"/>
        <w:gridCol w:w="1015"/>
      </w:tblGrid>
      <w:tr w14:paraId="42EA263E">
        <w:trPr>
          <w:trHeight w:val="529" w:hRule="atLeast"/>
          <w:jc w:val="center"/>
        </w:trPr>
        <w:tc>
          <w:tcPr>
            <w:tcW w:w="939" w:type="dxa"/>
            <w:tcBorders>
              <w:top w:val="single" w:color="auto" w:sz="4" w:space="0"/>
              <w:left w:val="single" w:color="auto" w:sz="4" w:space="0"/>
              <w:bottom w:val="single" w:color="auto" w:sz="4" w:space="0"/>
              <w:right w:val="single" w:color="auto" w:sz="4" w:space="0"/>
            </w:tcBorders>
            <w:noWrap w:val="0"/>
            <w:vAlign w:val="center"/>
          </w:tcPr>
          <w:p w14:paraId="61763E86">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6703" w:type="dxa"/>
            <w:tcBorders>
              <w:top w:val="single" w:color="auto" w:sz="4" w:space="0"/>
              <w:left w:val="single" w:color="auto" w:sz="4" w:space="0"/>
              <w:bottom w:val="single" w:color="auto" w:sz="4" w:space="0"/>
              <w:right w:val="single" w:color="auto" w:sz="4" w:space="0"/>
            </w:tcBorders>
            <w:noWrap w:val="0"/>
            <w:vAlign w:val="center"/>
          </w:tcPr>
          <w:p w14:paraId="65D0801F">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sz w:val="22"/>
                <w:szCs w:val="22"/>
                <w:lang w:eastAsia="zh-CN"/>
              </w:rPr>
            </w:pPr>
            <w:r>
              <w:rPr>
                <w:rFonts w:hint="eastAsia" w:ascii="宋体" w:hAnsi="宋体" w:cs="宋体"/>
                <w:b/>
                <w:bCs/>
                <w:color w:val="000000"/>
                <w:kern w:val="0"/>
                <w:sz w:val="22"/>
                <w:szCs w:val="22"/>
                <w:lang w:eastAsia="zh-CN" w:bidi="ar"/>
              </w:rPr>
              <w:t>技术需求</w:t>
            </w:r>
          </w:p>
        </w:tc>
        <w:tc>
          <w:tcPr>
            <w:tcW w:w="437" w:type="dxa"/>
            <w:tcBorders>
              <w:top w:val="single" w:color="auto" w:sz="4" w:space="0"/>
              <w:left w:val="single" w:color="auto" w:sz="4" w:space="0"/>
              <w:bottom w:val="single" w:color="auto" w:sz="4" w:space="0"/>
              <w:right w:val="single" w:color="auto" w:sz="4" w:space="0"/>
            </w:tcBorders>
            <w:noWrap w:val="0"/>
            <w:vAlign w:val="center"/>
          </w:tcPr>
          <w:p w14:paraId="02DE4914">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711" w:type="dxa"/>
            <w:tcBorders>
              <w:top w:val="single" w:color="auto" w:sz="4" w:space="0"/>
              <w:left w:val="single" w:color="auto" w:sz="4" w:space="0"/>
              <w:bottom w:val="single" w:color="auto" w:sz="4" w:space="0"/>
              <w:right w:val="single" w:color="auto" w:sz="4" w:space="0"/>
            </w:tcBorders>
            <w:noWrap w:val="0"/>
            <w:vAlign w:val="center"/>
          </w:tcPr>
          <w:p w14:paraId="58C26869">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采</w:t>
            </w:r>
            <w:r>
              <w:rPr>
                <w:rFonts w:hint="eastAsia" w:ascii="宋体" w:hAnsi="宋体" w:cs="宋体"/>
                <w:b/>
                <w:bCs/>
                <w:color w:val="000000"/>
                <w:kern w:val="0"/>
                <w:sz w:val="22"/>
                <w:szCs w:val="22"/>
                <w:lang w:bidi="ar"/>
              </w:rPr>
              <w:t>购量</w:t>
            </w:r>
          </w:p>
        </w:tc>
        <w:tc>
          <w:tcPr>
            <w:tcW w:w="1015" w:type="dxa"/>
            <w:tcBorders>
              <w:top w:val="single" w:color="auto" w:sz="4" w:space="0"/>
              <w:left w:val="single" w:color="auto" w:sz="4" w:space="0"/>
              <w:bottom w:val="single" w:color="auto" w:sz="4" w:space="0"/>
              <w:right w:val="single" w:color="auto" w:sz="4" w:space="0"/>
            </w:tcBorders>
            <w:noWrap w:val="0"/>
            <w:vAlign w:val="center"/>
          </w:tcPr>
          <w:p w14:paraId="59285632">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kern w:val="0"/>
                <w:sz w:val="22"/>
                <w:szCs w:val="22"/>
                <w:lang w:eastAsia="zh-CN" w:bidi="ar"/>
              </w:rPr>
            </w:pPr>
            <w:r>
              <w:rPr>
                <w:rFonts w:hint="eastAsia" w:ascii="宋体" w:hAnsi="宋体" w:cs="宋体"/>
                <w:b/>
                <w:bCs/>
                <w:color w:val="000000"/>
                <w:kern w:val="0"/>
                <w:sz w:val="22"/>
                <w:szCs w:val="22"/>
                <w:lang w:bidi="ar"/>
              </w:rPr>
              <w:t>控制价（元）</w:t>
            </w:r>
          </w:p>
        </w:tc>
      </w:tr>
      <w:tr w14:paraId="1FD67CAA">
        <w:tblPrEx>
          <w:tblCellMar>
            <w:top w:w="0" w:type="dxa"/>
            <w:left w:w="108" w:type="dxa"/>
            <w:bottom w:w="0" w:type="dxa"/>
            <w:right w:w="108" w:type="dxa"/>
          </w:tblCellMar>
        </w:tblPrEx>
        <w:trPr>
          <w:trHeight w:val="612" w:hRule="atLeast"/>
          <w:jc w:val="center"/>
        </w:trPr>
        <w:tc>
          <w:tcPr>
            <w:tcW w:w="939" w:type="dxa"/>
            <w:tcBorders>
              <w:top w:val="single" w:color="auto" w:sz="4" w:space="0"/>
              <w:left w:val="single" w:color="auto" w:sz="4" w:space="0"/>
              <w:bottom w:val="single" w:color="auto" w:sz="4" w:space="0"/>
              <w:right w:val="single" w:color="auto" w:sz="4" w:space="0"/>
            </w:tcBorders>
            <w:noWrap w:val="0"/>
            <w:vAlign w:val="center"/>
          </w:tcPr>
          <w:p w14:paraId="12E4643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 w:hAnsi="仿宋" w:eastAsia="仿宋" w:cs="仿宋"/>
                <w:color w:val="000000"/>
                <w:sz w:val="24"/>
              </w:rPr>
            </w:pPr>
            <w:r>
              <w:rPr>
                <w:rFonts w:hint="eastAsia" w:ascii="宋体" w:hAnsi="宋体" w:cs="宋体"/>
                <w:color w:val="000000"/>
                <w:kern w:val="0"/>
                <w:szCs w:val="21"/>
                <w:u w:val="none"/>
                <w:lang w:bidi="ar"/>
              </w:rPr>
              <w:t>2026年广西职业院校技能大赛中职组《医学技术》赛项训练系统</w:t>
            </w:r>
          </w:p>
        </w:tc>
        <w:tc>
          <w:tcPr>
            <w:tcW w:w="6703" w:type="dxa"/>
            <w:tcBorders>
              <w:top w:val="single" w:color="auto" w:sz="4" w:space="0"/>
              <w:left w:val="single" w:color="auto" w:sz="4" w:space="0"/>
              <w:bottom w:val="single" w:color="auto" w:sz="4" w:space="0"/>
              <w:right w:val="single" w:color="auto" w:sz="4" w:space="0"/>
            </w:tcBorders>
            <w:noWrap w:val="0"/>
            <w:vAlign w:val="center"/>
          </w:tcPr>
          <w:p w14:paraId="1194A93B">
            <w:pPr>
              <w:keepNext w:val="0"/>
              <w:keepLines w:val="0"/>
              <w:pageBreakBefore w:val="0"/>
              <w:widowControl/>
              <w:numPr>
                <w:ilvl w:val="0"/>
                <w:numId w:val="2"/>
              </w:numPr>
              <w:suppressLineNumbers w:val="0"/>
              <w:kinsoku/>
              <w:wordWrap/>
              <w:overflowPunct/>
              <w:topLinePunct w:val="0"/>
              <w:autoSpaceDE/>
              <w:autoSpaceDN/>
              <w:bidi w:val="0"/>
              <w:adjustRightInd/>
              <w:snapToGrid/>
              <w:spacing w:line="38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软件资源要求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1．形态资源数量要求：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1.1、寄生虫：不少于1600条。</w:t>
            </w:r>
            <w:r>
              <w:rPr>
                <w:rFonts w:hint="eastAsia" w:ascii="宋体" w:hAnsi="宋体" w:eastAsia="宋体" w:cs="宋体"/>
                <w:i w:val="0"/>
                <w:iCs w:val="0"/>
                <w:color w:val="000000"/>
                <w:kern w:val="0"/>
                <w:sz w:val="21"/>
                <w:szCs w:val="21"/>
                <w:u w:val="none"/>
                <w:shd w:val="clear" w:color="FFFFFF" w:fill="D9D9D9"/>
                <w:lang w:val="en-US" w:eastAsia="zh-CN" w:bidi="ar"/>
              </w:rPr>
              <w:t>(在响应文件中提供软件截图）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1.2、检验检疫国赛、各省历年大赛及其它：不少于1000条。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2、形态资源质量要求：形态资源应具有参考形态名称及解</w:t>
            </w:r>
            <w:r>
              <w:rPr>
                <w:rFonts w:hint="eastAsia" w:ascii="宋体" w:hAnsi="宋体" w:cs="宋体"/>
                <w:i w:val="0"/>
                <w:iCs w:val="0"/>
                <w:color w:val="000000"/>
                <w:kern w:val="0"/>
                <w:sz w:val="21"/>
                <w:szCs w:val="21"/>
                <w:u w:val="none"/>
                <w:lang w:val="en-US" w:eastAsia="zh-CN" w:bidi="ar"/>
              </w:rPr>
              <w:t>析</w:t>
            </w:r>
            <w:r>
              <w:rPr>
                <w:rFonts w:hint="eastAsia" w:ascii="宋体" w:hAnsi="宋体" w:eastAsia="宋体" w:cs="宋体"/>
                <w:i w:val="0"/>
                <w:iCs w:val="0"/>
                <w:color w:val="000000"/>
                <w:kern w:val="0"/>
                <w:sz w:val="21"/>
                <w:szCs w:val="21"/>
                <w:u w:val="none"/>
                <w:lang w:val="en-US" w:eastAsia="zh-CN" w:bidi="ar"/>
              </w:rPr>
              <w:t>。如第一次验收如发现形态数据、质量、内容与响应文件不符，直接按虚假应标处理。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3、要有临检、血检、寄生虫、微生物相关形态资源</w:t>
            </w:r>
            <w:r>
              <w:rPr>
                <w:rFonts w:hint="eastAsia" w:ascii="宋体" w:hAnsi="宋体" w:eastAsia="宋体" w:cs="宋体"/>
                <w:i w:val="0"/>
                <w:iCs w:val="0"/>
                <w:color w:val="000000"/>
                <w:kern w:val="0"/>
                <w:sz w:val="21"/>
                <w:szCs w:val="21"/>
                <w:u w:val="none"/>
                <w:shd w:val="clear" w:color="FFFFFF" w:fill="D9D9D9"/>
                <w:lang w:val="en-US" w:eastAsia="zh-CN" w:bidi="ar"/>
              </w:rPr>
              <w:t>(在响应文件中提供软件截图）</w:t>
            </w:r>
            <w:r>
              <w:rPr>
                <w:rFonts w:hint="eastAsia" w:ascii="宋体" w:hAnsi="宋体" w:eastAsia="宋体" w:cs="宋体"/>
                <w:i w:val="0"/>
                <w:iCs w:val="0"/>
                <w:color w:val="000000"/>
                <w:kern w:val="0"/>
                <w:sz w:val="21"/>
                <w:szCs w:val="21"/>
                <w:u w:val="none"/>
                <w:shd w:val="clear" w:color="FFFFFF" w:fill="D9D9D9"/>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二、软件技术总体要求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1、软件集资源库，教学，训练，考试，大数据分析为一体。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2、软件为B/S架构，使用浏览器访问，学生无需进行任何下载安装。软件采用JAVA开发，安装在服务器上，通过局域网及互联网访问，不限节点数量使用。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3、具有电脑版及手机版。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4、学校、医</w:t>
            </w:r>
            <w:r>
              <w:rPr>
                <w:rFonts w:hint="eastAsia" w:ascii="宋体" w:hAnsi="宋体" w:cs="宋体"/>
                <w:i w:val="0"/>
                <w:iCs w:val="0"/>
                <w:color w:val="000000"/>
                <w:kern w:val="0"/>
                <w:sz w:val="21"/>
                <w:szCs w:val="21"/>
                <w:u w:val="none"/>
                <w:lang w:val="en-US" w:eastAsia="zh-CN" w:bidi="ar"/>
              </w:rPr>
              <w:t>院</w:t>
            </w:r>
            <w:r>
              <w:rPr>
                <w:rFonts w:hint="eastAsia" w:ascii="宋体" w:hAnsi="宋体" w:eastAsia="宋体" w:cs="宋体"/>
                <w:i w:val="0"/>
                <w:iCs w:val="0"/>
                <w:color w:val="000000"/>
                <w:kern w:val="0"/>
                <w:sz w:val="21"/>
                <w:szCs w:val="21"/>
                <w:u w:val="none"/>
                <w:lang w:val="en-US" w:eastAsia="zh-CN" w:bidi="ar"/>
              </w:rPr>
              <w:t>都可使用；可设置相关属性是公用，还是自用等。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5、软件机理性要求：后台设置数据要与学生前端结合，要符合教学及临床相关标准规范，不能有知识性错误。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6、软件评价体系要求：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(1)每次练习、考核都有相应的记录。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w:t>
            </w:r>
            <w:r>
              <w:rPr>
                <w:rFonts w:hint="eastAsia" w:ascii="宋体" w:hAnsi="宋体" w:cs="宋体"/>
                <w:i w:val="0"/>
                <w:iCs w:val="0"/>
                <w:color w:val="000000"/>
                <w:kern w:val="0"/>
                <w:sz w:val="21"/>
                <w:szCs w:val="21"/>
                <w:u w:val="none"/>
                <w:lang w:val="en-US" w:eastAsia="zh-CN" w:bidi="ar"/>
              </w:rPr>
              <w:t>2</w:t>
            </w:r>
            <w:r>
              <w:rPr>
                <w:rFonts w:hint="eastAsia" w:ascii="宋体" w:hAnsi="宋体" w:eastAsia="宋体" w:cs="宋体"/>
                <w:i w:val="0"/>
                <w:iCs w:val="0"/>
                <w:color w:val="000000"/>
                <w:kern w:val="0"/>
                <w:sz w:val="21"/>
                <w:szCs w:val="21"/>
                <w:u w:val="none"/>
                <w:lang w:val="en-US" w:eastAsia="zh-CN" w:bidi="ar"/>
              </w:rPr>
              <w:t>)满足医院及学校大型比赛要求。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7、无论选择还是填空，系统均可全自动评分，老师也可进行手动阅卷。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8、填空题具有一题多答案的匹配功能。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9、打开软件能自动判断是手机还是电脑；可在微信公众号上使用，支持微信自动</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w:t>
            </w:r>
          </w:p>
          <w:p w14:paraId="67F2F99E">
            <w:pPr>
              <w:keepNext w:val="0"/>
              <w:keepLines w:val="0"/>
              <w:pageBreakBefore w:val="0"/>
              <w:widowControl/>
              <w:numPr>
                <w:ilvl w:val="0"/>
                <w:numId w:val="2"/>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学生端功能要求：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要求（部分功能需要开通外网及公众号支持）：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(1)支持用户名、密码</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(2)支持微信扫码</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(3)支持普通注册与微信注册2种方式。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人脸验证。具有人脸识别验证识别功能，当未采集人脸图像时，进行人脸图像采集，可通过手机进行人脸识别验证。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(5)具有单点</w:t>
            </w:r>
            <w:r>
              <w:rPr>
                <w:rFonts w:hint="eastAsia" w:ascii="宋体" w:hAnsi="宋体" w:cs="宋体"/>
                <w:i w:val="0"/>
                <w:iCs w:val="0"/>
                <w:color w:val="000000"/>
                <w:kern w:val="0"/>
                <w:sz w:val="21"/>
                <w:szCs w:val="21"/>
                <w:u w:val="none"/>
                <w:lang w:val="en-US" w:eastAsia="zh-CN" w:bidi="ar"/>
              </w:rPr>
              <w:t>登录</w:t>
            </w:r>
            <w:r>
              <w:rPr>
                <w:rFonts w:hint="eastAsia" w:ascii="宋体" w:hAnsi="宋体" w:eastAsia="宋体" w:cs="宋体"/>
                <w:i w:val="0"/>
                <w:iCs w:val="0"/>
                <w:color w:val="000000"/>
                <w:kern w:val="0"/>
                <w:sz w:val="21"/>
                <w:szCs w:val="21"/>
                <w:u w:val="none"/>
                <w:lang w:val="en-US" w:eastAsia="zh-CN" w:bidi="ar"/>
              </w:rPr>
              <w:t>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(6)登录失败超过一定次数后，限制登录。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2、系统具有公告、学习、训练、考试、个人主页、积分排行等多个功能模块。</w:t>
            </w:r>
            <w:r>
              <w:rPr>
                <w:rFonts w:hint="eastAsia" w:ascii="宋体" w:hAnsi="宋体" w:eastAsia="宋体" w:cs="宋体"/>
                <w:i w:val="0"/>
                <w:iCs w:val="0"/>
                <w:color w:val="000000"/>
                <w:kern w:val="0"/>
                <w:sz w:val="21"/>
                <w:szCs w:val="21"/>
                <w:u w:val="none"/>
                <w:shd w:val="clear" w:color="FFFFFF" w:fill="D9D9D9"/>
                <w:lang w:val="en-US" w:eastAsia="zh-CN" w:bidi="ar"/>
              </w:rPr>
              <w:t>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3、首页具有公告栏、最新案例、热门点击、最新知识点等快捷功能，也可自定义首页。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4、系统公告功能：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(1)可查看系统发布的公告，默认显示最近一次的公告内容；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(2)可查看所有公告列表及内容，公告具有标题、内容及发布时间等信息。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5、学习功能：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(1)分为知识点学习、自由学习、我的学习任务三个模块。投标文件中提供软件截图。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(2)知识点学习功能要求：可选择知识点进行学习；具有上一知识点、下一知识点、评论、查看关联案例、点赞及收藏功能；知识点内容支持文字、图片、视频等多种形式。布局要求：左边为分类，右边为知识点。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(3)自由学习：可按分类进行查看；具有按类型、难易系数、关键字搜索功能。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(4)我的学习任务（引导式学习）:为老师发布的指定给学生的学习内容，一个学习任务可同时学习多张形态图片；状态具有已学习/未学习等状态；学习后具有累记学习时长，相关数据老师后台可查询统计。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(5)形态信息具有所属分类、图片具有标注信息类型、染色、倍数、名称、解析等，投标文件中提供软件截图。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(6)具有收藏，评论，纠错等功能；可评论进行回复及点赞等。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(7)单击形态涂片可查看原始大小的形态涂片，可进行放大缩小及移动，显示缩放比例。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4、具有训练功能：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(1)分为任务与作业、形态切片练习、错题练习三个模块。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(2)任务与作业（引导式练习）：为老师发布的指定的练习内容，可为一张或多张形态图片，状态至少具有待完成、已完成、已过期等状态；根据老师设置如果没有达到训练目标的，还可进行一定次数的重复训练。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(3)自由练习：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cs="宋体"/>
                <w:color w:val="000000"/>
                <w:kern w:val="0"/>
                <w:szCs w:val="21"/>
                <w:u w:val="none"/>
                <w:lang w:bidi="ar"/>
              </w:rPr>
              <w:t>自由练习包含自测功能，学生可选择所属类别、题量等要素发起练习。练习过程中形态图会标注相关信息，结束后系统会提示未答题情况，给出包含题目总数、答对答错数量、答对百分比、得分及评价详情的结果，学生可不限次数重复练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(4)具有上一题，下一题，选题，笔记与纠错，保存，提交等功能。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(5)学习提交练习任务后将显示参考答案。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5、具有考试功能：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w:t>
            </w:r>
            <w:r>
              <w:rPr>
                <w:rFonts w:hint="eastAsia" w:ascii="宋体" w:hAnsi="宋体" w:cs="宋体"/>
                <w:color w:val="000000"/>
                <w:kern w:val="0"/>
                <w:szCs w:val="21"/>
                <w:u w:val="none"/>
                <w:lang w:bidi="ar"/>
              </w:rPr>
              <w:t>考试功能支持学生查看包含考试名称、时间、发布人及待考 / 缺考 / 已考状态的考试列表，不同状态对应相应操作或成绩查看权限</w:t>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w:t>
            </w:r>
            <w:r>
              <w:rPr>
                <w:rFonts w:hint="eastAsia" w:ascii="宋体" w:hAnsi="宋体" w:cs="宋体"/>
                <w:color w:val="000000"/>
                <w:kern w:val="0"/>
                <w:szCs w:val="21"/>
                <w:u w:val="none"/>
                <w:lang w:bidi="ar"/>
              </w:rPr>
              <w:t>考试过程中会显示考试名称与剩余时间，同时提供跳转题目、切换上下题、交卷及查看未答题等相关功能</w:t>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(3)考试时显示有考号，姓名，倒计时信息，倒计时结束自动提交试卷。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(4)非法退出考试后，可根据后台设置次数及时间再次进入考试，接着刚才的考试继续进行，时间进行相应的减少。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(5)练习及考试过程中禁用返回等功能。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(6)具有防作作弊功能</w:t>
            </w:r>
          </w:p>
          <w:p w14:paraId="6B58A217">
            <w:pPr>
              <w:keepNext w:val="0"/>
              <w:keepLines w:val="0"/>
              <w:pageBreakBefore w:val="0"/>
              <w:widowControl/>
              <w:numPr>
                <w:ilvl w:val="0"/>
                <w:numId w:val="3"/>
              </w:numPr>
              <w:suppressLineNumbers w:val="0"/>
              <w:kinsoku/>
              <w:wordWrap/>
              <w:overflowPunct/>
              <w:topLinePunct w:val="0"/>
              <w:autoSpaceDE/>
              <w:autoSpaceDN/>
              <w:bidi w:val="0"/>
              <w:adjustRightInd/>
              <w:snapToGrid/>
              <w:spacing w:line="380" w:lineRule="exact"/>
              <w:ind w:left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个人主页功能：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cs="宋体"/>
                <w:color w:val="000000"/>
                <w:kern w:val="0"/>
                <w:szCs w:val="21"/>
                <w:u w:val="none"/>
                <w:lang w:bidi="ar"/>
              </w:rPr>
              <w:t>涵盖个人信息与密码修改、人像采集，以及收藏、练习、考试、学习、积分相关的记录查询与管理。同时会展示练习、考试、收藏次数、学习时长、可用积分等核心信息，支持查看收藏内容及各类记录的详细情况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7、积分排行功能：分班级排行和全网排行两部分。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8、必须满足全国性大赛要求。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9、具有电脑版及手机版，手机版与电脑版功能一致。</w:t>
            </w:r>
            <w:r>
              <w:rPr>
                <w:rFonts w:hint="eastAsia" w:ascii="宋体" w:hAnsi="宋体" w:eastAsia="宋体" w:cs="宋体"/>
                <w:i w:val="0"/>
                <w:iCs w:val="0"/>
                <w:color w:val="000000"/>
                <w:kern w:val="0"/>
                <w:sz w:val="21"/>
                <w:szCs w:val="21"/>
                <w:u w:val="none"/>
                <w:shd w:val="clear" w:color="FFFFFF" w:fill="D9D9D9"/>
                <w:lang w:val="en-US" w:eastAsia="zh-CN" w:bidi="ar"/>
              </w:rPr>
              <w:t>投标文件中提供软件截图。</w:t>
            </w:r>
            <w:r>
              <w:rPr>
                <w:rFonts w:hint="eastAsia" w:ascii="宋体" w:hAnsi="宋体" w:eastAsia="宋体" w:cs="宋体"/>
                <w:i w:val="0"/>
                <w:iCs w:val="0"/>
                <w:color w:val="000000"/>
                <w:kern w:val="0"/>
                <w:sz w:val="21"/>
                <w:szCs w:val="21"/>
                <w:u w:val="none"/>
                <w:shd w:val="clear" w:color="FFFFFF" w:fill="D9D9D9"/>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四、老师后台管理功能要求：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1、角色管理：</w:t>
            </w:r>
            <w:r>
              <w:rPr>
                <w:rFonts w:hint="eastAsia" w:ascii="宋体" w:hAnsi="宋体" w:cs="宋体"/>
                <w:color w:val="000000"/>
                <w:kern w:val="0"/>
                <w:szCs w:val="21"/>
                <w:u w:val="none"/>
                <w:lang w:bidi="ar"/>
              </w:rPr>
              <w:t>支持角色的增删改及权限分配</w:t>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2、参数设置功能：对系统进行配置，以实现不同场合的功能应用。</w:t>
            </w:r>
          </w:p>
          <w:p w14:paraId="007F6EBF">
            <w:pPr>
              <w:keepNext w:val="0"/>
              <w:keepLines w:val="0"/>
              <w:pageBreakBefore w:val="0"/>
              <w:widowControl/>
              <w:numPr>
                <w:ilvl w:val="0"/>
                <w:numId w:val="4"/>
              </w:numPr>
              <w:suppressLineNumbers w:val="0"/>
              <w:kinsoku/>
              <w:wordWrap/>
              <w:overflowPunct/>
              <w:topLinePunct w:val="0"/>
              <w:autoSpaceDE/>
              <w:autoSpaceDN/>
              <w:bidi w:val="0"/>
              <w:adjustRightInd/>
              <w:snapToGrid/>
              <w:spacing w:line="38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color w:val="000000"/>
                <w:kern w:val="0"/>
                <w:szCs w:val="21"/>
                <w:u w:val="none"/>
                <w:lang w:bidi="ar"/>
              </w:rPr>
              <w:t>可对登录验证方式、注册相关规则、前端界面模式、设备使用权限、考试答题规则等系统配置项进行调整，</w:t>
            </w:r>
            <w:r>
              <w:rPr>
                <w:rFonts w:hint="eastAsia" w:ascii="宋体" w:hAnsi="宋体" w:eastAsia="宋体" w:cs="宋体"/>
                <w:i w:val="0"/>
                <w:iCs w:val="0"/>
                <w:color w:val="000000"/>
                <w:kern w:val="0"/>
                <w:sz w:val="21"/>
                <w:szCs w:val="21"/>
                <w:u w:val="none"/>
                <w:shd w:val="clear" w:color="FFFFFF" w:fill="D9D9D9"/>
                <w:lang w:val="en-US" w:eastAsia="zh-CN" w:bidi="ar"/>
              </w:rPr>
              <w:t>投标文件中提供软件截图。</w:t>
            </w:r>
          </w:p>
          <w:p w14:paraId="7AC2AB83">
            <w:pPr>
              <w:keepNext w:val="0"/>
              <w:keepLines w:val="0"/>
              <w:pageBreakBefore w:val="0"/>
              <w:widowControl/>
              <w:numPr>
                <w:ilvl w:val="0"/>
                <w:numId w:val="5"/>
              </w:numPr>
              <w:suppressLineNumbers w:val="0"/>
              <w:kinsoku/>
              <w:wordWrap/>
              <w:overflowPunct/>
              <w:topLinePunct w:val="0"/>
              <w:autoSpaceDE/>
              <w:autoSpaceDN/>
              <w:bidi w:val="0"/>
              <w:adjustRightInd/>
              <w:snapToGrid/>
              <w:spacing w:line="380" w:lineRule="exact"/>
              <w:jc w:val="left"/>
              <w:textAlignment w:val="center"/>
              <w:rPr>
                <w:rFonts w:hint="eastAsia" w:ascii="宋体" w:hAnsi="宋体" w:cs="宋体"/>
                <w:color w:val="000000"/>
                <w:kern w:val="0"/>
                <w:szCs w:val="21"/>
                <w:u w:val="none"/>
                <w:lang w:bidi="ar"/>
              </w:rPr>
            </w:pPr>
            <w:r>
              <w:rPr>
                <w:rFonts w:hint="eastAsia" w:ascii="宋体" w:hAnsi="宋体" w:eastAsia="宋体" w:cs="宋体"/>
                <w:i w:val="0"/>
                <w:iCs w:val="0"/>
                <w:color w:val="000000"/>
                <w:kern w:val="0"/>
                <w:sz w:val="21"/>
                <w:szCs w:val="21"/>
                <w:u w:val="none"/>
                <w:lang w:val="en-US" w:eastAsia="zh-CN" w:bidi="ar"/>
              </w:rPr>
              <w:t>考试时定期保存人脸图像，每隔多少秒保存一次；设置该值后，用户考试时会自动打开摄像头，并每隔一段时间保存一次人脸图像，方便后台查看。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(3)考生切屏超过多少次后执行强制交卷；限制考生答卷时切屏/反复登录的次数，为空表示无限制，已防考生误操作或异常退出。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(4)进入考试超过多少次，未提交的试卷系统自动提交。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(5)超过考试结束时间多小小时，未提交的试卷系统自动提交。(提示：系统自动提交试卷后，不能再进入考试）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(6)报告模板：启用/停用;提示：报告模板启用后，用户考试或练习时可以选择报告模板；停用后不能选择报告模板。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(7)默认重考分数线设置。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(8)默认重考次数设置。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3、具有日志功能，分为管理日志及用户日志。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4、具有数据备份及还原功能。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5、具有用户注册审核功能，审核时可修改用户信息，具有批量审核功能。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6、具有广告位设置功能。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7、具有公告管理功能：可进行增加、修改、删除、查询.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8、部门管理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(1)具有添加、编辑、删除功能。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(2)可不限层次的进行部门分类管理。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9、用户分类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(1)具有添加、编辑、删除功能。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(2)可不限层次的进行班级分类管理。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10、教师账号管理：具有查询、添加、编辑、删除、修改密码功能。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11、用户</w:t>
            </w:r>
            <w:r>
              <w:rPr>
                <w:rFonts w:hint="eastAsia" w:ascii="宋体" w:hAnsi="宋体" w:cs="宋体"/>
                <w:i w:val="0"/>
                <w:iCs w:val="0"/>
                <w:color w:val="000000"/>
                <w:kern w:val="0"/>
                <w:sz w:val="21"/>
                <w:szCs w:val="21"/>
                <w:u w:val="none"/>
                <w:lang w:val="en-US" w:eastAsia="zh-CN" w:bidi="ar"/>
              </w:rPr>
              <w:t>账号</w:t>
            </w:r>
            <w:r>
              <w:rPr>
                <w:rFonts w:hint="eastAsia" w:ascii="宋体" w:hAnsi="宋体" w:eastAsia="宋体" w:cs="宋体"/>
                <w:i w:val="0"/>
                <w:iCs w:val="0"/>
                <w:color w:val="000000"/>
                <w:kern w:val="0"/>
                <w:sz w:val="21"/>
                <w:szCs w:val="21"/>
                <w:u w:val="none"/>
                <w:lang w:val="en-US" w:eastAsia="zh-CN" w:bidi="ar"/>
              </w:rPr>
              <w:t>管理（学生管理）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(1)具有查询、添加、编辑、删除、修改密码功能。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(2)具有导入、导出、下载学生模板功能。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(3)至少具有用户分类、分组、账号、姓名、姓别、手机、邮箱等信息。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(4)具有批量启用、批量停用功能；如未选择指定用户只选择班级时，启/停用整个班级。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(5)如果采集了人脸，可查看人脸图像。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12、具有代教权限管理功能：可设置老师所管理的班级及所管理的部门，设置后每次发布作业及考试，默认自动指定到该老师所管理的班级。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13、知识点管理功能：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(1)可进行增加、修改、删除知识点分类。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(2)知识点具有查询、添加、编辑、删除功能。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(3)知识点管理内容具有：知识点标题、知识点分类、跳转链接(填写后会打开新的窗口)、知识点内容、排序号、是否公开。投标文件中提供软件截图。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(4)具有知识点预览及分享链接功能。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14、形态报告模板管理：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(1)具有添加、编辑、删除、查询、导入功能。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(2)可不限层次的进行分类管理。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16、案例库管理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(1)具有分类管理功能：可自由进行增加、修改、删除及分享功能，具有分享学习及分享练习两种模式，成生成分享二维码；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(2)案例库库具有查询，新增，编辑，删除，excel导入、word导入、ZIP图片上传导入、批量移动案例、批量复制案例、批量修改用途、批量修改解锁分值、试题查重等功能。</w:t>
            </w:r>
            <w:r>
              <w:rPr>
                <w:rFonts w:hint="eastAsia" w:ascii="宋体" w:hAnsi="宋体" w:eastAsia="宋体" w:cs="宋体"/>
                <w:i w:val="0"/>
                <w:iCs w:val="0"/>
                <w:color w:val="000000"/>
                <w:kern w:val="0"/>
                <w:sz w:val="21"/>
                <w:szCs w:val="21"/>
                <w:u w:val="none"/>
                <w:shd w:val="clear" w:color="FFFFFF" w:fill="D9D9D9"/>
                <w:lang w:val="en-US" w:eastAsia="zh-CN" w:bidi="ar"/>
              </w:rPr>
              <w:t>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(3)具有案例名称、分类、参考得分、启用/停用、解锁分值、公用/自用、难易系数、排序号、用途、关联知识点。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(4)分类及案例均可设置公用/自用属性，当为自用时，其它人无法查看。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(5)用途:具有教学、练习自测、考试、大赛四类，不同的用途对应在学生端进行显示，可进行多选设置。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(8)形态考点可随意设置、修改；支持填空、单选、多选、判断、问答等多种题型；一个图片支持多个选择、多个问答、多个填空等多种题型进行组合，且每个小项具有独立评分项及分值；具有Excel导入功能。</w:t>
            </w:r>
            <w:r>
              <w:rPr>
                <w:rFonts w:hint="eastAsia" w:ascii="宋体" w:hAnsi="宋体" w:eastAsia="宋体" w:cs="宋体"/>
                <w:i w:val="0"/>
                <w:iCs w:val="0"/>
                <w:color w:val="000000"/>
                <w:kern w:val="0"/>
                <w:sz w:val="21"/>
                <w:szCs w:val="21"/>
                <w:u w:val="none"/>
                <w:shd w:val="clear" w:color="FFFFFF" w:fill="D9D9D9"/>
                <w:lang w:val="en-US" w:eastAsia="zh-CN" w:bidi="ar"/>
              </w:rPr>
              <w:t>（投标文件中提供软件截图）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17、具有个人案例库管理功能:方便老师建自己私用的案例库，私用案例库不对其它老师开放，其它功能同案例库管理。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18、具有笔记与纠错管理功能；对学生提出的纠错进行处理。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19、评论管理：具有对学生评论的信息进行查看及删除的功能。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20、学习任务发布功能：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(1)具有查询、新增、编辑、删除功能。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(2)创建任务过程：点击新增-&gt;选择切片案例或试题-&gt;设置任务信息;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(3)具有指定用户、预览、导出、复制新增、查看学习情况等功能。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(4)查看学习情况具有班级、</w:t>
            </w:r>
            <w:r>
              <w:rPr>
                <w:rFonts w:hint="eastAsia" w:ascii="宋体" w:hAnsi="宋体" w:cs="宋体"/>
                <w:i w:val="0"/>
                <w:iCs w:val="0"/>
                <w:color w:val="000000"/>
                <w:kern w:val="0"/>
                <w:sz w:val="21"/>
                <w:szCs w:val="21"/>
                <w:u w:val="none"/>
                <w:lang w:val="en-US" w:eastAsia="zh-CN" w:bidi="ar"/>
              </w:rPr>
              <w:t>账号</w:t>
            </w:r>
            <w:r>
              <w:rPr>
                <w:rFonts w:hint="eastAsia" w:ascii="宋体" w:hAnsi="宋体" w:eastAsia="宋体" w:cs="宋体"/>
                <w:i w:val="0"/>
                <w:iCs w:val="0"/>
                <w:color w:val="000000"/>
                <w:kern w:val="0"/>
                <w:sz w:val="21"/>
                <w:szCs w:val="21"/>
                <w:u w:val="none"/>
                <w:lang w:val="en-US" w:eastAsia="zh-CN" w:bidi="ar"/>
              </w:rPr>
              <w:t>、姓名、累计学习时间(分钟)以及学习的详细情况等信息。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(5)可一次发布多张切片让学生进行学习。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(6)具有分享链接功能，方便老师分享到QQ或微信群。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21、具有训练任务管理功能：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(1)具有查询、新增、编辑、删除功能；创建任务过程及要求类似考试管理，但可不设置时间，如果设置了时间，学习必须在指定时间内完成作业。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(2)具有指定用户/指定用户分类、预览、导出、复制新增、实时查看、作业分析、成绩报表功能。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(3)具有作业分析功能：能分析该作业每个案例的总体情况及答题情况。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(4)具有成绩报表功能：能统计及导出学生作业成绩；能导出学生作业答题记录。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(5)具有分享链接功能，方便老师分享到QQ或微信群。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22、具有作业批改功能：功能类似于专家阅卷功能，可对学生的作业进行批复。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23、考试管理功能：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(1)具有查询、新增、编辑、删除、预览、导出等功能。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(2)具有考试名称、开始进入时间、禁止进入时间、题目总数、总分、是否公布成绩等信息内容。投标文件中提供软件截图。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每套题可进行参数设置：如上机考试每题答多少秒；上机考试答题顺序顺序/随机；考试时定期保存人脸图像，每隔多少秒保存一次；考生切屏超过多少次后执行强制交卷；进入考试超过多少次，未提交的试卷系统自动提交；报告模板启用/停用等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cs="宋体"/>
                <w:color w:val="000000"/>
                <w:kern w:val="0"/>
                <w:szCs w:val="21"/>
                <w:u w:val="none"/>
                <w:lang w:bidi="ar"/>
              </w:rPr>
              <w:t>(4) 创建考试需新增考试、选择案例，并设置考试信息与考试提醒；</w:t>
            </w:r>
          </w:p>
          <w:p w14:paraId="122E8C67">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jc w:val="left"/>
              <w:textAlignment w:val="center"/>
              <w:rPr>
                <w:rFonts w:hint="eastAsia" w:ascii="宋体" w:hAnsi="宋体" w:cs="宋体"/>
                <w:color w:val="000000"/>
                <w:kern w:val="0"/>
                <w:szCs w:val="21"/>
                <w:u w:val="none"/>
                <w:shd w:val="clear" w:color="FFFFFF" w:fill="D9D9D9"/>
                <w:lang w:bidi="ar"/>
              </w:rPr>
            </w:pPr>
            <w:r>
              <w:rPr>
                <w:rFonts w:hint="eastAsia" w:ascii="宋体" w:hAnsi="宋体" w:cs="宋体"/>
                <w:color w:val="000000"/>
                <w:kern w:val="0"/>
                <w:szCs w:val="21"/>
                <w:u w:val="none"/>
                <w:lang w:bidi="ar"/>
              </w:rPr>
              <w:t>选题支持多种选择方式，可组合形成试题，</w:t>
            </w:r>
            <w:r>
              <w:rPr>
                <w:rFonts w:hint="eastAsia" w:ascii="宋体" w:hAnsi="宋体" w:cs="宋体"/>
                <w:color w:val="000000"/>
                <w:kern w:val="0"/>
                <w:szCs w:val="21"/>
                <w:u w:val="none"/>
                <w:shd w:val="clear" w:color="FFFFFF" w:fill="D9D9D9"/>
                <w:lang w:bidi="ar"/>
              </w:rPr>
              <w:t>投标文件中提供软件截图；</w:t>
            </w:r>
          </w:p>
          <w:p w14:paraId="270C0412">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随机选题可从多个案例题库中选取案例作为考试题；</w:t>
            </w:r>
          </w:p>
          <w:p w14:paraId="25D483AB">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具备多维度筛选功能，自定义选择时可查看图片后再选择；</w:t>
            </w:r>
          </w:p>
          <w:p w14:paraId="5232CA48">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可修改所选考试相关的病例资料、细胞计数及形态分析等设置信息；</w:t>
            </w:r>
          </w:p>
          <w:p w14:paraId="5FD899A4">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支持一键停用与启用功能；</w:t>
            </w:r>
          </w:p>
          <w:p w14:paraId="6776074C">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具有一键设置公布成绩的功能；</w:t>
            </w:r>
          </w:p>
          <w:p w14:paraId="0E338BC6">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可指定考试对应的班级及具体考生；</w:t>
            </w:r>
          </w:p>
          <w:p w14:paraId="0BC0412A">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具备试卷复制新增功能；</w:t>
            </w:r>
          </w:p>
          <w:p w14:paraId="7B2BADBB">
            <w:pPr>
              <w:keepNext w:val="0"/>
              <w:keepLines w:val="0"/>
              <w:pageBreakBefore w:val="0"/>
              <w:widowControl/>
              <w:numPr>
                <w:ilvl w:val="0"/>
                <w:numId w:val="6"/>
              </w:numPr>
              <w:suppressLineNumbers w:val="0"/>
              <w:kinsoku/>
              <w:wordWrap/>
              <w:overflowPunct/>
              <w:topLinePunct w:val="0"/>
              <w:autoSpaceDE/>
              <w:autoSpaceDN/>
              <w:bidi w:val="0"/>
              <w:adjustRightInd/>
              <w:snapToGrid/>
              <w:spacing w:line="380" w:lineRule="exact"/>
              <w:ind w:left="0" w:leftChars="0" w:firstLine="0" w:firstLine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拥有实时监考功能，支持导出带水印的监控内容及强制收卷操作；(14) 具有成绩报表功能；</w:t>
            </w:r>
          </w:p>
          <w:p w14:paraId="6EC15684">
            <w:pPr>
              <w:keepNext w:val="0"/>
              <w:keepLines w:val="0"/>
              <w:pageBreakBefore w:val="0"/>
              <w:widowControl/>
              <w:numPr>
                <w:ilvl w:val="0"/>
                <w:numId w:val="0"/>
              </w:numPr>
              <w:suppressLineNumbers w:val="0"/>
              <w:kinsoku/>
              <w:wordWrap/>
              <w:overflowPunct/>
              <w:topLinePunct w:val="0"/>
              <w:autoSpaceDE/>
              <w:autoSpaceDN/>
              <w:bidi w:val="0"/>
              <w:adjustRightInd/>
              <w:snapToGrid/>
              <w:spacing w:line="380" w:lineRule="exact"/>
              <w:ind w:left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eastAsia="zh-CN" w:bidi="ar"/>
              </w:rPr>
              <w:t>（</w:t>
            </w:r>
            <w:r>
              <w:rPr>
                <w:rFonts w:hint="eastAsia" w:ascii="宋体" w:hAnsi="宋体" w:cs="宋体"/>
                <w:color w:val="000000"/>
                <w:kern w:val="0"/>
                <w:szCs w:val="21"/>
                <w:u w:val="none"/>
                <w:lang w:val="en-US" w:eastAsia="zh-CN" w:bidi="ar"/>
              </w:rPr>
              <w:t>15）</w:t>
            </w:r>
            <w:r>
              <w:rPr>
                <w:rFonts w:hint="eastAsia" w:ascii="宋体" w:hAnsi="宋体" w:cs="宋体"/>
                <w:color w:val="000000"/>
                <w:kern w:val="0"/>
                <w:szCs w:val="21"/>
                <w:u w:val="none"/>
                <w:lang w:bidi="ar"/>
              </w:rPr>
              <w:t>支持批量设置试题分值及每题答题时间；</w:t>
            </w:r>
          </w:p>
          <w:p w14:paraId="4780830C">
            <w:pPr>
              <w:keepNext w:val="0"/>
              <w:keepLines w:val="0"/>
              <w:pageBreakBefore w:val="0"/>
              <w:widowControl/>
              <w:numPr>
                <w:ilvl w:val="0"/>
                <w:numId w:val="0"/>
              </w:numPr>
              <w:suppressLineNumbers w:val="0"/>
              <w:kinsoku/>
              <w:wordWrap/>
              <w:overflowPunct/>
              <w:topLinePunct w:val="0"/>
              <w:autoSpaceDE/>
              <w:autoSpaceDN/>
              <w:bidi w:val="0"/>
              <w:adjustRightInd/>
              <w:snapToGrid/>
              <w:spacing w:line="380" w:lineRule="exact"/>
              <w:ind w:leftChars="0"/>
              <w:jc w:val="left"/>
              <w:textAlignment w:val="center"/>
              <w:rPr>
                <w:rFonts w:hint="eastAsia" w:ascii="宋体" w:hAnsi="宋体" w:cs="宋体"/>
                <w:color w:val="000000"/>
                <w:kern w:val="0"/>
                <w:szCs w:val="21"/>
                <w:u w:val="none"/>
                <w:lang w:bidi="ar"/>
              </w:rPr>
            </w:pPr>
            <w:r>
              <w:rPr>
                <w:rFonts w:hint="eastAsia" w:ascii="宋体" w:hAnsi="宋体" w:cs="宋体"/>
                <w:color w:val="000000"/>
                <w:kern w:val="0"/>
                <w:szCs w:val="21"/>
                <w:u w:val="none"/>
                <w:lang w:bidi="ar"/>
              </w:rPr>
              <w:t>(16) 具备分享功能，可生成二维码方便快速分享给学生。</w:t>
            </w:r>
          </w:p>
          <w:p w14:paraId="53EDF6BB">
            <w:pPr>
              <w:keepNext w:val="0"/>
              <w:keepLines w:val="0"/>
              <w:pageBreakBefore w:val="0"/>
              <w:widowControl/>
              <w:numPr>
                <w:ilvl w:val="0"/>
                <w:numId w:val="0"/>
              </w:numPr>
              <w:suppressLineNumbers w:val="0"/>
              <w:kinsoku/>
              <w:wordWrap/>
              <w:overflowPunct/>
              <w:topLinePunct w:val="0"/>
              <w:autoSpaceDE/>
              <w:autoSpaceDN/>
              <w:bidi w:val="0"/>
              <w:adjustRightInd/>
              <w:snapToGrid/>
              <w:spacing w:line="38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24、专家阅卷功能及评分规则要求：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(1)当考试无专家阅卷时，计算机将自动评分。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(2)当有专家进行阅卷时，计算机评分将自动失效，有多少个专家评分就取多少个专家的平均分。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(3)专家可选择只评某一道题或几道题进行评分</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(4)评分时可对每个细胞计数单独评分。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(5)阅卷完成后可具有查看本人阅卷情况及导出功能，具有撤销重新阅卷功能。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25、大数据分析功能：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(1)试卷分析：具有考试人数、最高分、最低分、零分成绩分布统计图、每题答题详情的统计分析。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成绩报表：具有学生成绩的统计及柱形图，具有导出功能。可导出每个学生的答题记录明细word及成绩报表。具有查看某人考试详情功能，详情具有题号、题目、参考答案、用户答案、电脑评分、专家阅卷明细情况等信息，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(3)用户成绩分析：具有用户分类、分组、人数、平均分及柱形图，具有导出功能，可按总分排名或平均分排名，投标文件中提供软件截图。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(4)具有考试合并算分功能：方便老师对多个试卷进行合并算分。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(5)具有学习明细：可根据班级、</w:t>
            </w:r>
            <w:r>
              <w:rPr>
                <w:rFonts w:hint="eastAsia" w:ascii="宋体" w:hAnsi="宋体" w:cs="宋体"/>
                <w:i w:val="0"/>
                <w:iCs w:val="0"/>
                <w:color w:val="000000"/>
                <w:kern w:val="0"/>
                <w:sz w:val="21"/>
                <w:szCs w:val="21"/>
                <w:u w:val="none"/>
                <w:lang w:val="en-US" w:eastAsia="zh-CN" w:bidi="ar"/>
              </w:rPr>
              <w:t>账号</w:t>
            </w:r>
            <w:r>
              <w:rPr>
                <w:rFonts w:hint="eastAsia" w:ascii="宋体" w:hAnsi="宋体" w:eastAsia="宋体" w:cs="宋体"/>
                <w:i w:val="0"/>
                <w:iCs w:val="0"/>
                <w:color w:val="000000"/>
                <w:kern w:val="0"/>
                <w:sz w:val="21"/>
                <w:szCs w:val="21"/>
                <w:u w:val="none"/>
                <w:lang w:val="en-US" w:eastAsia="zh-CN" w:bidi="ar"/>
              </w:rPr>
              <w:t>、姓名、时间段查询学习记录。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(6)学生学习时长：具有学生学习时长及柱型图。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(7)用户练习记录：可根据班级、</w:t>
            </w:r>
            <w:r>
              <w:rPr>
                <w:rFonts w:hint="eastAsia" w:ascii="宋体" w:hAnsi="宋体" w:cs="宋体"/>
                <w:i w:val="0"/>
                <w:iCs w:val="0"/>
                <w:color w:val="000000"/>
                <w:kern w:val="0"/>
                <w:sz w:val="21"/>
                <w:szCs w:val="21"/>
                <w:u w:val="none"/>
                <w:lang w:val="en-US" w:eastAsia="zh-CN" w:bidi="ar"/>
              </w:rPr>
              <w:t>账号</w:t>
            </w:r>
            <w:r>
              <w:rPr>
                <w:rFonts w:hint="eastAsia" w:ascii="宋体" w:hAnsi="宋体" w:eastAsia="宋体" w:cs="宋体"/>
                <w:i w:val="0"/>
                <w:iCs w:val="0"/>
                <w:color w:val="000000"/>
                <w:kern w:val="0"/>
                <w:sz w:val="21"/>
                <w:szCs w:val="21"/>
                <w:u w:val="none"/>
                <w:lang w:val="en-US" w:eastAsia="zh-CN" w:bidi="ar"/>
              </w:rPr>
              <w:t>、姓名、时间段查询练习记录。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(8)用户练习统计：可根据班级、</w:t>
            </w:r>
            <w:r>
              <w:rPr>
                <w:rFonts w:hint="eastAsia" w:ascii="宋体" w:hAnsi="宋体" w:cs="宋体"/>
                <w:i w:val="0"/>
                <w:iCs w:val="0"/>
                <w:color w:val="000000"/>
                <w:kern w:val="0"/>
                <w:sz w:val="21"/>
                <w:szCs w:val="21"/>
                <w:u w:val="none"/>
                <w:lang w:val="en-US" w:eastAsia="zh-CN" w:bidi="ar"/>
              </w:rPr>
              <w:t>账号</w:t>
            </w:r>
            <w:r>
              <w:rPr>
                <w:rFonts w:hint="eastAsia" w:ascii="宋体" w:hAnsi="宋体" w:eastAsia="宋体" w:cs="宋体"/>
                <w:i w:val="0"/>
                <w:iCs w:val="0"/>
                <w:color w:val="000000"/>
                <w:kern w:val="0"/>
                <w:sz w:val="21"/>
                <w:szCs w:val="21"/>
                <w:u w:val="none"/>
                <w:lang w:val="en-US" w:eastAsia="zh-CN" w:bidi="ar"/>
              </w:rPr>
              <w:t>、姓名、时间段查询进行汇总统计。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(9)系统访问量统计：具有按年或月统计系统访问量的柱型图。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(10)栏目点击量统计：具有按年或月统计教学、评价（练习）、考试使用量的柱型图。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(11)评论统计分析：可查看评论情况。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(12)热门点击排行榜：可根据人数进行排序，可导出Excel功能。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26、AI上形态学-PC工具版单机 1套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(1)软件需基于先进人工智能技术，能快速、准确的进行医学检验形态学识别。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(2)功能：寄生虫识别。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(3)具有自动抓拍屏幕AI识别功能，软件中可自由划定AI识别区域。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(4)软件可接入摄像头设备（互动显微镜）进行AI自动形态识别。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(5)软件具有上传图片AI识别功能，操作者可手动上传图片，大模型自动进行识别。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(6)软件可自由切换识别大模型。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(7)软件可自由设置刷新率即识别速率（次/秒）。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(8)软件可自由设置可信度。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(9)软件可自由自动识别启动/停用功能。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(10)识别结果实时进行绘框显示。</w:t>
            </w:r>
          </w:p>
          <w:p w14:paraId="3FC0527F">
            <w:pPr>
              <w:keepNext w:val="0"/>
              <w:keepLines w:val="0"/>
              <w:pageBreakBefore w:val="0"/>
              <w:kinsoku/>
              <w:wordWrap/>
              <w:overflowPunct/>
              <w:topLinePunct w:val="0"/>
              <w:autoSpaceDE/>
              <w:autoSpaceDN/>
              <w:bidi w:val="0"/>
              <w:adjustRightInd/>
              <w:snapToGrid/>
              <w:spacing w:line="380" w:lineRule="exact"/>
              <w:rPr>
                <w:rFonts w:hint="default" w:ascii="仿宋" w:hAnsi="仿宋" w:eastAsia="仿宋" w:cs="仿宋"/>
                <w:kern w:val="2"/>
                <w:sz w:val="24"/>
                <w:szCs w:val="24"/>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（11）识别种类要求：寄生虫能识别不少于120种寄生虫</w:t>
            </w:r>
            <w:r>
              <w:rPr>
                <w:rFonts w:hint="eastAsia" w:ascii="宋体" w:hAnsi="宋体" w:cs="宋体"/>
                <w:i w:val="0"/>
                <w:iCs w:val="0"/>
                <w:color w:val="000000"/>
                <w:kern w:val="0"/>
                <w:sz w:val="21"/>
                <w:szCs w:val="21"/>
                <w:u w:val="none"/>
                <w:lang w:val="en-US" w:eastAsia="zh-CN" w:bidi="ar"/>
              </w:rPr>
              <w:t>。</w:t>
            </w:r>
          </w:p>
        </w:tc>
        <w:tc>
          <w:tcPr>
            <w:tcW w:w="437" w:type="dxa"/>
            <w:tcBorders>
              <w:top w:val="single" w:color="auto" w:sz="4" w:space="0"/>
              <w:left w:val="single" w:color="auto" w:sz="4" w:space="0"/>
              <w:bottom w:val="single" w:color="auto" w:sz="4" w:space="0"/>
              <w:right w:val="single" w:color="auto" w:sz="4" w:space="0"/>
            </w:tcBorders>
            <w:noWrap w:val="0"/>
            <w:vAlign w:val="center"/>
          </w:tcPr>
          <w:p w14:paraId="48225E3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套</w:t>
            </w:r>
          </w:p>
        </w:tc>
        <w:tc>
          <w:tcPr>
            <w:tcW w:w="711" w:type="dxa"/>
            <w:tcBorders>
              <w:top w:val="single" w:color="auto" w:sz="4" w:space="0"/>
              <w:left w:val="single" w:color="auto" w:sz="4" w:space="0"/>
              <w:bottom w:val="single" w:color="auto" w:sz="4" w:space="0"/>
              <w:right w:val="single" w:color="auto" w:sz="4" w:space="0"/>
            </w:tcBorders>
            <w:noWrap w:val="0"/>
            <w:vAlign w:val="center"/>
          </w:tcPr>
          <w:p w14:paraId="3E739EF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w:t>
            </w:r>
          </w:p>
        </w:tc>
        <w:tc>
          <w:tcPr>
            <w:tcW w:w="1015" w:type="dxa"/>
            <w:tcBorders>
              <w:top w:val="single" w:color="auto" w:sz="4" w:space="0"/>
              <w:left w:val="single" w:color="auto" w:sz="4" w:space="0"/>
              <w:bottom w:val="single" w:color="auto" w:sz="4" w:space="0"/>
              <w:right w:val="single" w:color="auto" w:sz="4" w:space="0"/>
            </w:tcBorders>
            <w:noWrap w:val="0"/>
            <w:vAlign w:val="center"/>
          </w:tcPr>
          <w:p w14:paraId="50E3A76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87200</w:t>
            </w:r>
          </w:p>
        </w:tc>
      </w:tr>
      <w:tr w14:paraId="447145EC">
        <w:tblPrEx>
          <w:tblCellMar>
            <w:top w:w="0" w:type="dxa"/>
            <w:left w:w="108" w:type="dxa"/>
            <w:bottom w:w="0" w:type="dxa"/>
            <w:right w:w="108" w:type="dxa"/>
          </w:tblCellMar>
        </w:tblPrEx>
        <w:trPr>
          <w:trHeight w:val="440" w:hRule="atLeast"/>
          <w:jc w:val="center"/>
        </w:trPr>
        <w:tc>
          <w:tcPr>
            <w:tcW w:w="9805" w:type="dxa"/>
            <w:gridSpan w:val="5"/>
            <w:tcBorders>
              <w:top w:val="single" w:color="auto" w:sz="4" w:space="0"/>
              <w:left w:val="single" w:color="auto" w:sz="4" w:space="0"/>
              <w:bottom w:val="single" w:color="auto" w:sz="4" w:space="0"/>
              <w:right w:val="single" w:color="auto" w:sz="4" w:space="0"/>
            </w:tcBorders>
            <w:noWrap w:val="0"/>
            <w:vAlign w:val="center"/>
          </w:tcPr>
          <w:p w14:paraId="173A438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b/>
                <w:bCs/>
                <w:color w:val="000000"/>
                <w:sz w:val="24"/>
                <w:lang w:val="en-US" w:eastAsia="zh-CN"/>
              </w:rPr>
              <w:t>商务需求</w:t>
            </w:r>
          </w:p>
        </w:tc>
      </w:tr>
      <w:tr w14:paraId="64F3B0F0">
        <w:tblPrEx>
          <w:tblCellMar>
            <w:top w:w="0" w:type="dxa"/>
            <w:left w:w="108" w:type="dxa"/>
            <w:bottom w:w="0" w:type="dxa"/>
            <w:right w:w="108" w:type="dxa"/>
          </w:tblCellMar>
        </w:tblPrEx>
        <w:trPr>
          <w:trHeight w:val="1920" w:hRule="atLeast"/>
          <w:jc w:val="center"/>
        </w:trPr>
        <w:tc>
          <w:tcPr>
            <w:tcW w:w="9805" w:type="dxa"/>
            <w:gridSpan w:val="5"/>
            <w:tcBorders>
              <w:top w:val="single" w:color="auto" w:sz="4" w:space="0"/>
              <w:left w:val="single" w:color="auto" w:sz="4" w:space="0"/>
              <w:bottom w:val="single" w:color="auto" w:sz="4" w:space="0"/>
              <w:right w:val="single" w:color="000000" w:sz="4" w:space="0"/>
            </w:tcBorders>
            <w:noWrap w:val="0"/>
            <w:vAlign w:val="center"/>
          </w:tcPr>
          <w:p w14:paraId="0CA642B9">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一、提交服务成果时间及地点</w:t>
            </w:r>
          </w:p>
          <w:p w14:paraId="7B8C7D2C">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1.提供服务时间：签订合同后20个日历日内完成全部服务成果交付。</w:t>
            </w:r>
          </w:p>
          <w:p w14:paraId="3C5E432D">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2.提交地点：采购人指定地点（南宁市卫生学校相思湖校区、黎塘校区）</w:t>
            </w:r>
          </w:p>
          <w:p w14:paraId="73140FDC">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二、支付方式</w:t>
            </w:r>
          </w:p>
          <w:p w14:paraId="7A47C2A6">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1.本项目无预付款，经采购人验收合格且财政审批该项目用款计划后，一次性支付全部合同价款。</w:t>
            </w:r>
          </w:p>
          <w:p w14:paraId="1A0633AD">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2.支付前，乙方应开具等额发票给甲方，否则支付顺延引起的责任由乙方承担。</w:t>
            </w:r>
          </w:p>
          <w:p w14:paraId="322030E1">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 xml:space="preserve">三、售后服务                                                                                        </w:t>
            </w:r>
          </w:p>
          <w:p w14:paraId="6400625B">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软件使用期限：本合同项下乙方提供的软件功能，甲方享有形态教学及能力评价系统永久使用权利，乙方不得限制甲方对软件的正常使用。供应商需附承诺函，内容包括：保障甲方对本合同项下乙方提供的软件功能的永久使用权利；乙方永久对系统进行升级、形态资源更新服务；提供故障修复、漏洞修补、数据维护等服务；每年至少更新 1 次大赛相关形态资源（含临检、血检、寄生虫、微生物类）。</w:t>
            </w:r>
          </w:p>
          <w:p w14:paraId="0C454E6C">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2.软件兼容性及系统对接要求:供应商需保证购买的软件适用于windows的各版本系统及其他国产系统，并配合对接到学校管理平台使用。</w:t>
            </w:r>
          </w:p>
          <w:p w14:paraId="421FF9AB">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3.技术支持服务</w:t>
            </w:r>
          </w:p>
          <w:p w14:paraId="6C6D3D23">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（1）实时响应机制：供应商设专门技术支持团队，提供 7×24 小时咨询服务。学校使用软时可通过电话、邮件、在线客服联系。若出现软件崩溃、功能失效、形态资源丢失等质量问题，供应商需在接到通知后 1 小时内响应，4 小时内提供远程解决方案，24 小时内无法远程解决的，48 小时内派技术人员现场处理。</w:t>
            </w:r>
          </w:p>
          <w:p w14:paraId="718B1DA5">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（2）远程协助与现场服务：电话或在线指导无法解决的问题，供应商提供远程协助，必要时 48 小时内派技术人员到南宁市卫生学校相思湖校区或黎塘校区现场处理。技术人员遵守学校规定，高效解决故障并指导相关人员，确保问题彻底解决且不再复发。</w:t>
            </w:r>
          </w:p>
          <w:p w14:paraId="55F90862">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4.培训服务</w:t>
            </w:r>
          </w:p>
          <w:p w14:paraId="5E98A3A4">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平台部署完成后10个工作日内，供应商为学校教师及管理人员开展不少于1次的集中培训，内容涵盖软件操作、功能应用、资源管理、故障排查等。</w:t>
            </w:r>
          </w:p>
          <w:p w14:paraId="6B1A286F">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四、报价要求</w:t>
            </w:r>
          </w:p>
          <w:p w14:paraId="6BBD862B">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本项目报价为全包价（含税）。供应商报价包括但不限于产品及服务、专用工具、标准附件备件、安装调试、验收、培训、售后服务、税金等与本项目有关的可预见及不可预见的一切成本和费用的总和，采购人不再为本项目另付其他任何费用。</w:t>
            </w:r>
          </w:p>
          <w:p w14:paraId="4B011006">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2.投标人的投标总价不得超过项目预算总价，否则报价无效。</w:t>
            </w:r>
          </w:p>
          <w:p w14:paraId="451D4417">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五、验收要求</w:t>
            </w:r>
          </w:p>
          <w:p w14:paraId="0A41EC55">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1.软件功能验收：需完全满足需求参数中规定的软件资源要求、技术总体要求、学生端功能要求及老师后台管理功能要求，无功能缺失或性能缺陷。</w:t>
            </w:r>
          </w:p>
          <w:p w14:paraId="02A1180A">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2.形态资源验收：寄生虫形态资源不少于 1600 条，检验检疫国赛及各省历年大赛相关形态资源不少于 1000 条，图片清晰、形态特征明显、标注清楚，且包含各年大赛临检、血检、寄生虫、微生物相关形态资源（需提供软件截图验证）。</w:t>
            </w:r>
          </w:p>
          <w:p w14:paraId="459B36AD">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3.AI形态学 PC 工具版验收：支持寄生虫识别（不少于120 种），具备自动抓拍屏幕识别、摄像头接入识别、图片上传识别等功能，可自由切换识别大模型、设置刷新率及可信度，识别结果实时绘框显示。</w:t>
            </w:r>
          </w:p>
          <w:p w14:paraId="355E510C">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4.演示验收：预中标单位需在预中标公示期内提供产品现场演示，演示内容需覆盖核心功能模块，满足全国性大赛要求，否则按虚假应标处理。</w:t>
            </w:r>
          </w:p>
          <w:p w14:paraId="0FC7D89A">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5.文档验收：需提供完整的技术文档、使用手册、培训资料、形态</w:t>
            </w:r>
          </w:p>
          <w:p w14:paraId="334F24A0">
            <w:pPr>
              <w:pStyle w:val="20"/>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6.资源清单等，文档内容准确、条理清晰，可指导正常使用及维护。</w:t>
            </w:r>
          </w:p>
        </w:tc>
      </w:tr>
    </w:tbl>
    <w:p w14:paraId="5746A1D0">
      <w:pPr>
        <w:spacing w:line="400" w:lineRule="exact"/>
        <w:jc w:val="center"/>
        <w:rPr>
          <w:rStyle w:val="25"/>
          <w:rFonts w:hint="eastAsia"/>
        </w:rPr>
      </w:pPr>
    </w:p>
    <w:p w14:paraId="711C25AC">
      <w:pPr>
        <w:spacing w:line="400" w:lineRule="exact"/>
        <w:jc w:val="center"/>
        <w:rPr>
          <w:rStyle w:val="25"/>
          <w:rFonts w:hint="eastAsia"/>
        </w:rPr>
      </w:pPr>
    </w:p>
    <w:p w14:paraId="354F0855">
      <w:pPr>
        <w:spacing w:line="400" w:lineRule="exact"/>
        <w:jc w:val="center"/>
        <w:rPr>
          <w:rStyle w:val="25"/>
          <w:rFonts w:hint="eastAsia"/>
        </w:rPr>
      </w:pPr>
    </w:p>
    <w:p w14:paraId="3E1BE91A">
      <w:pPr>
        <w:spacing w:line="400" w:lineRule="exact"/>
        <w:jc w:val="center"/>
        <w:rPr>
          <w:rStyle w:val="25"/>
          <w:rFonts w:hint="eastAsia"/>
        </w:rPr>
      </w:pPr>
    </w:p>
    <w:p w14:paraId="24E24454">
      <w:pPr>
        <w:spacing w:line="400" w:lineRule="exact"/>
        <w:jc w:val="center"/>
        <w:rPr>
          <w:rStyle w:val="25"/>
          <w:rFonts w:hint="eastAsia"/>
        </w:rPr>
      </w:pPr>
    </w:p>
    <w:p w14:paraId="3C7A9B2C">
      <w:pPr>
        <w:spacing w:line="400" w:lineRule="exact"/>
        <w:jc w:val="center"/>
        <w:rPr>
          <w:rStyle w:val="25"/>
          <w:rFonts w:hint="eastAsia"/>
        </w:rPr>
      </w:pPr>
    </w:p>
    <w:p w14:paraId="16FB8193">
      <w:pPr>
        <w:spacing w:line="400" w:lineRule="exact"/>
        <w:jc w:val="center"/>
        <w:rPr>
          <w:rStyle w:val="25"/>
          <w:rFonts w:hint="eastAsia"/>
        </w:rPr>
      </w:pPr>
    </w:p>
    <w:p w14:paraId="5594FE7B">
      <w:pPr>
        <w:spacing w:line="400" w:lineRule="exact"/>
        <w:jc w:val="center"/>
        <w:rPr>
          <w:rStyle w:val="25"/>
          <w:rFonts w:hint="eastAsia"/>
        </w:rPr>
      </w:pPr>
    </w:p>
    <w:p w14:paraId="4E587FD8">
      <w:pPr>
        <w:spacing w:line="400" w:lineRule="exact"/>
        <w:jc w:val="both"/>
        <w:rPr>
          <w:rStyle w:val="25"/>
          <w:rFonts w:hint="eastAsia"/>
        </w:rPr>
      </w:pPr>
    </w:p>
    <w:p w14:paraId="3FF0029C">
      <w:pPr>
        <w:spacing w:line="400" w:lineRule="exact"/>
        <w:jc w:val="center"/>
        <w:rPr>
          <w:rStyle w:val="25"/>
        </w:rPr>
      </w:pPr>
      <w:r>
        <w:rPr>
          <w:rStyle w:val="25"/>
          <w:rFonts w:hint="eastAsia"/>
        </w:rPr>
        <w:t>第</w:t>
      </w:r>
      <w:r>
        <w:rPr>
          <w:rStyle w:val="25"/>
          <w:rFonts w:hint="eastAsia"/>
          <w:lang w:eastAsia="zh-CN"/>
        </w:rPr>
        <w:t>三</w:t>
      </w:r>
      <w:r>
        <w:rPr>
          <w:rStyle w:val="25"/>
          <w:rFonts w:hint="eastAsia"/>
        </w:rPr>
        <w:t>章  评审方法</w:t>
      </w:r>
    </w:p>
    <w:p w14:paraId="552CCF6D">
      <w:pPr>
        <w:pStyle w:val="18"/>
      </w:pPr>
    </w:p>
    <w:p w14:paraId="2EB5095D">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5A00D155">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4A855D3A">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000000"/>
          <w:szCs w:val="20"/>
        </w:rPr>
        <w:t>………………………30分</w:t>
      </w:r>
    </w:p>
    <w:p w14:paraId="189BD417">
      <w:pPr>
        <w:spacing w:line="400" w:lineRule="exact"/>
        <w:ind w:firstLine="420" w:firstLineChars="200"/>
        <w:rPr>
          <w:rFonts w:ascii="宋体" w:hAnsi="宋体"/>
          <w:szCs w:val="20"/>
        </w:rPr>
      </w:pPr>
      <w:r>
        <w:rPr>
          <w:rFonts w:hint="eastAsia" w:ascii="宋体" w:hAnsi="宋体"/>
          <w:szCs w:val="20"/>
        </w:rPr>
        <w:t>（1）最终成交人的成交金额＝投标报价。</w:t>
      </w:r>
    </w:p>
    <w:p w14:paraId="3EF79857">
      <w:pPr>
        <w:spacing w:line="400" w:lineRule="exact"/>
        <w:ind w:firstLine="420" w:firstLineChars="200"/>
        <w:rPr>
          <w:rFonts w:ascii="宋体" w:hAnsi="宋体"/>
          <w:color w:val="000000"/>
          <w:szCs w:val="20"/>
        </w:rPr>
      </w:pPr>
      <w:r>
        <w:rPr>
          <w:rFonts w:hint="eastAsia" w:ascii="宋体" w:hAnsi="宋体"/>
          <w:color w:val="000000"/>
          <w:szCs w:val="20"/>
        </w:rPr>
        <w:t>（2）价格分公式计算：</w:t>
      </w:r>
    </w:p>
    <w:p w14:paraId="39C623CE">
      <w:pPr>
        <w:spacing w:line="400" w:lineRule="exact"/>
        <w:ind w:firstLine="3150" w:firstLineChars="1500"/>
        <w:rPr>
          <w:rFonts w:ascii="宋体" w:hAnsi="宋体"/>
          <w:color w:val="000000"/>
          <w:szCs w:val="20"/>
        </w:rPr>
      </w:pPr>
      <w:r>
        <w:rPr>
          <w:rFonts w:hint="eastAsia" w:ascii="宋体" w:hAnsi="宋体"/>
          <w:color w:val="000000"/>
          <w:szCs w:val="20"/>
        </w:rPr>
        <w:t>投标供应商最低评标价金额</w:t>
      </w:r>
    </w:p>
    <w:p w14:paraId="14B82CCE">
      <w:pPr>
        <w:spacing w:line="400" w:lineRule="exact"/>
        <w:ind w:firstLine="420" w:firstLineChars="200"/>
        <w:rPr>
          <w:rFonts w:ascii="宋体" w:hAnsi="宋体"/>
          <w:color w:val="000000"/>
          <w:szCs w:val="20"/>
        </w:rPr>
      </w:pPr>
      <w:r>
        <w:rPr>
          <w:rFonts w:hint="eastAsia" w:ascii="宋体" w:hAnsi="宋体"/>
          <w:color w:val="000000"/>
          <w:szCs w:val="20"/>
        </w:rPr>
        <w:t xml:space="preserve">某投标供应商价格分＝ </w:t>
      </w:r>
      <w:r>
        <w:rPr>
          <w:rFonts w:hint="eastAsia" w:ascii="宋体" w:hAnsi="宋体"/>
          <w:color w:val="000000"/>
          <w:szCs w:val="20"/>
          <w:u w:val="single"/>
        </w:rPr>
        <w:t xml:space="preserve">                                     </w:t>
      </w:r>
      <w:r>
        <w:rPr>
          <w:rFonts w:hint="eastAsia" w:ascii="宋体" w:hAnsi="宋体"/>
          <w:color w:val="000000"/>
          <w:szCs w:val="20"/>
        </w:rPr>
        <w:t xml:space="preserve">  ×30分</w:t>
      </w:r>
    </w:p>
    <w:p w14:paraId="3D77104A">
      <w:pPr>
        <w:spacing w:line="400" w:lineRule="exact"/>
        <w:ind w:firstLine="420" w:firstLineChars="200"/>
        <w:rPr>
          <w:rFonts w:ascii="宋体" w:hAnsi="宋体"/>
          <w:color w:val="000000"/>
          <w:szCs w:val="20"/>
        </w:rPr>
      </w:pPr>
      <w:r>
        <w:rPr>
          <w:rFonts w:hint="eastAsia" w:ascii="宋体" w:hAnsi="宋体"/>
          <w:color w:val="000000"/>
          <w:szCs w:val="20"/>
        </w:rPr>
        <w:t>　                        某投标供应商评标价金额</w:t>
      </w:r>
    </w:p>
    <w:p w14:paraId="780A4813">
      <w:pPr>
        <w:spacing w:line="400" w:lineRule="exact"/>
        <w:ind w:firstLine="420" w:firstLineChars="200"/>
        <w:rPr>
          <w:rFonts w:ascii="宋体" w:hAnsi="宋体"/>
          <w:b/>
          <w:bCs/>
          <w:color w:val="000000"/>
          <w:szCs w:val="20"/>
        </w:rPr>
      </w:pPr>
      <w:r>
        <w:rPr>
          <w:rFonts w:hint="eastAsia" w:ascii="宋体" w:hAnsi="宋体"/>
          <w:b/>
          <w:bCs/>
          <w:color w:val="000000"/>
          <w:szCs w:val="20"/>
        </w:rPr>
        <w:t>2、技术分………………………………………………………………………………</w:t>
      </w:r>
      <w:r>
        <w:rPr>
          <w:rFonts w:hint="eastAsia" w:ascii="宋体" w:hAnsi="宋体"/>
          <w:b/>
          <w:bCs/>
          <w:color w:val="000000"/>
          <w:szCs w:val="20"/>
          <w:lang w:val="en-US" w:eastAsia="zh-CN"/>
        </w:rPr>
        <w:t>40</w:t>
      </w:r>
      <w:r>
        <w:rPr>
          <w:rFonts w:hint="eastAsia" w:ascii="宋体" w:hAnsi="宋体"/>
          <w:b/>
          <w:bCs/>
          <w:color w:val="000000"/>
          <w:szCs w:val="20"/>
        </w:rPr>
        <w:t>分</w:t>
      </w:r>
    </w:p>
    <w:p w14:paraId="5263DF00">
      <w:pPr>
        <w:spacing w:line="400" w:lineRule="exact"/>
        <w:ind w:firstLine="420" w:firstLineChars="200"/>
        <w:rPr>
          <w:rFonts w:ascii="宋体" w:hAnsi="宋体"/>
          <w:color w:val="000000"/>
          <w:szCs w:val="20"/>
        </w:rPr>
      </w:pPr>
      <w:r>
        <w:rPr>
          <w:rFonts w:hint="eastAsia" w:ascii="宋体" w:hAnsi="宋体"/>
          <w:color w:val="000000"/>
          <w:szCs w:val="20"/>
        </w:rPr>
        <w:t>（由评审小组根据采购文件要求和投标人投标文件响应程度，各自独立定档打分）</w:t>
      </w:r>
    </w:p>
    <w:p w14:paraId="20F3F8CA">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w:t>
      </w:r>
      <w:r>
        <w:rPr>
          <w:rFonts w:hint="eastAsia" w:ascii="宋体" w:hAnsi="宋体"/>
          <w:b/>
          <w:bCs/>
          <w:color w:val="auto"/>
          <w:szCs w:val="21"/>
          <w:lang w:val="en-US" w:eastAsia="zh-CN"/>
        </w:rPr>
        <w:t>18</w:t>
      </w:r>
      <w:r>
        <w:rPr>
          <w:rFonts w:hint="eastAsia" w:ascii="宋体" w:hAnsi="宋体"/>
          <w:b/>
          <w:bCs/>
          <w:color w:val="auto"/>
          <w:szCs w:val="21"/>
        </w:rPr>
        <w:t>分）</w:t>
      </w:r>
    </w:p>
    <w:p w14:paraId="71A613EA">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6</w:t>
      </w:r>
      <w:r>
        <w:rPr>
          <w:rFonts w:hint="eastAsia" w:ascii="宋体" w:hAnsi="宋体"/>
          <w:color w:val="auto"/>
          <w:szCs w:val="21"/>
        </w:rPr>
        <w:t>分）：提供有基本的项目实施方案，内容较简单，有</w:t>
      </w:r>
      <w:r>
        <w:rPr>
          <w:rFonts w:hint="eastAsia" w:ascii="宋体" w:hAnsi="宋体"/>
          <w:color w:val="auto"/>
          <w:szCs w:val="21"/>
          <w:lang w:eastAsia="zh-CN"/>
        </w:rPr>
        <w:t>项目内容、</w:t>
      </w:r>
      <w:r>
        <w:rPr>
          <w:rFonts w:hint="eastAsia" w:ascii="宋体" w:hAnsi="宋体"/>
          <w:color w:val="auto"/>
          <w:szCs w:val="21"/>
        </w:rPr>
        <w:t>组织人员及职责划分等方面描述，描述基本符合采购文件要求的；</w:t>
      </w:r>
    </w:p>
    <w:p w14:paraId="56C1FBEB">
      <w:pPr>
        <w:spacing w:line="400" w:lineRule="atLeas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12</w:t>
      </w:r>
      <w:r>
        <w:rPr>
          <w:rFonts w:hint="eastAsia" w:ascii="宋体" w:hAnsi="宋体"/>
          <w:color w:val="auto"/>
          <w:szCs w:val="21"/>
        </w:rPr>
        <w:t>分）：</w:t>
      </w:r>
      <w:r>
        <w:rPr>
          <w:rFonts w:hint="eastAsia" w:ascii="宋体" w:hAnsi="宋体"/>
          <w:color w:val="auto"/>
          <w:szCs w:val="21"/>
          <w:lang w:eastAsia="zh-CN"/>
        </w:rPr>
        <w:t>满足一档要求，</w:t>
      </w:r>
      <w:r>
        <w:rPr>
          <w:rFonts w:hint="eastAsia" w:ascii="宋体" w:hAnsi="宋体"/>
          <w:color w:val="auto"/>
          <w:szCs w:val="21"/>
        </w:rPr>
        <w:t>提供的项目实施方案较详细、合理，有整体的实施方案，方案内容包含有</w:t>
      </w:r>
      <w:r>
        <w:rPr>
          <w:rFonts w:hint="eastAsia" w:ascii="宋体" w:hAnsi="宋体"/>
          <w:color w:val="auto"/>
          <w:szCs w:val="21"/>
          <w:lang w:eastAsia="zh-CN"/>
        </w:rPr>
        <w:t>项目内容、</w:t>
      </w:r>
      <w:r>
        <w:rPr>
          <w:rFonts w:hint="eastAsia" w:ascii="宋体" w:hAnsi="宋体"/>
          <w:color w:val="auto"/>
          <w:szCs w:val="21"/>
        </w:rPr>
        <w:t>组织人员及职责划分</w:t>
      </w:r>
      <w:r>
        <w:rPr>
          <w:rFonts w:hint="eastAsia" w:ascii="宋体" w:hAnsi="宋体"/>
          <w:color w:val="auto"/>
          <w:szCs w:val="21"/>
          <w:lang w:eastAsia="zh-CN"/>
        </w:rPr>
        <w:t>等</w:t>
      </w:r>
      <w:r>
        <w:rPr>
          <w:rFonts w:hint="eastAsia" w:ascii="宋体" w:hAnsi="宋体"/>
          <w:color w:val="auto"/>
          <w:szCs w:val="21"/>
        </w:rPr>
        <w:t>有针对性、创新性，方式多样化等，能满足采购文件要求；</w:t>
      </w:r>
    </w:p>
    <w:p w14:paraId="3517E018">
      <w:pPr>
        <w:spacing w:line="400" w:lineRule="atLeast"/>
        <w:ind w:firstLine="420" w:firstLineChars="200"/>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18</w:t>
      </w:r>
      <w:r>
        <w:rPr>
          <w:rFonts w:hint="eastAsia" w:ascii="宋体" w:hAnsi="宋体"/>
          <w:color w:val="auto"/>
          <w:szCs w:val="21"/>
        </w:rPr>
        <w:t>分）：满足二档要求，项目实施方案内部详细、科学合理，与采购需求要求匹配、优于采购文件要求。</w:t>
      </w:r>
    </w:p>
    <w:p w14:paraId="2EA6D453">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56D00928">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（2）</w:t>
      </w:r>
      <w:r>
        <w:rPr>
          <w:rFonts w:hint="eastAsia" w:ascii="宋体" w:hAnsi="宋体"/>
          <w:b/>
          <w:bCs/>
          <w:color w:val="auto"/>
          <w:szCs w:val="21"/>
          <w:lang w:eastAsia="zh-CN"/>
        </w:rPr>
        <w:t>培训服务方案</w:t>
      </w:r>
      <w:r>
        <w:rPr>
          <w:rFonts w:hint="eastAsia" w:ascii="宋体" w:hAnsi="宋体"/>
          <w:b/>
          <w:bCs/>
          <w:color w:val="auto"/>
          <w:szCs w:val="21"/>
        </w:rPr>
        <w:t>（满分</w:t>
      </w:r>
      <w:r>
        <w:rPr>
          <w:rFonts w:hint="eastAsia" w:ascii="宋体" w:hAnsi="宋体"/>
          <w:b/>
          <w:bCs/>
          <w:color w:val="auto"/>
          <w:szCs w:val="21"/>
          <w:lang w:val="en-US" w:eastAsia="zh-CN"/>
        </w:rPr>
        <w:t>10</w:t>
      </w:r>
      <w:r>
        <w:rPr>
          <w:rFonts w:hint="eastAsia" w:ascii="宋体" w:hAnsi="宋体"/>
          <w:b/>
          <w:bCs/>
          <w:color w:val="auto"/>
          <w:szCs w:val="21"/>
        </w:rPr>
        <w:t>分）</w:t>
      </w:r>
    </w:p>
    <w:p w14:paraId="2B7C72DD">
      <w:pPr>
        <w:spacing w:line="400" w:lineRule="exac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3</w:t>
      </w:r>
      <w:r>
        <w:rPr>
          <w:rFonts w:hint="eastAsia" w:ascii="宋体" w:hAnsi="宋体"/>
          <w:color w:val="auto"/>
          <w:szCs w:val="21"/>
        </w:rPr>
        <w:t>分）：</w:t>
      </w:r>
      <w:r>
        <w:rPr>
          <w:rFonts w:hint="eastAsia" w:ascii="宋体" w:hAnsi="宋体"/>
          <w:color w:val="auto"/>
          <w:szCs w:val="21"/>
          <w:lang w:eastAsia="zh-CN"/>
        </w:rPr>
        <w:t>提供的培训方案内容较简单，仅满足平台使用需求。</w:t>
      </w:r>
    </w:p>
    <w:p w14:paraId="5836F1A6">
      <w:pPr>
        <w:spacing w:line="400" w:lineRule="exac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6</w:t>
      </w:r>
      <w:r>
        <w:rPr>
          <w:rFonts w:hint="eastAsia" w:ascii="宋体" w:hAnsi="宋体"/>
          <w:color w:val="auto"/>
          <w:szCs w:val="21"/>
        </w:rPr>
        <w:t>分）：</w:t>
      </w:r>
      <w:r>
        <w:rPr>
          <w:rFonts w:hint="eastAsia" w:ascii="宋体" w:hAnsi="宋体"/>
          <w:color w:val="auto"/>
          <w:szCs w:val="21"/>
          <w:lang w:eastAsia="zh-CN"/>
        </w:rPr>
        <w:t>满足一档要求，提供的培训方案较详细、合理，培训内容与平台使用基本匹配</w:t>
      </w:r>
      <w:r>
        <w:rPr>
          <w:rFonts w:hint="eastAsia" w:ascii="宋体" w:hAnsi="宋体"/>
          <w:color w:val="auto"/>
          <w:szCs w:val="21"/>
        </w:rPr>
        <w:t>。</w:t>
      </w:r>
    </w:p>
    <w:p w14:paraId="06339B4E">
      <w:pPr>
        <w:spacing w:line="400" w:lineRule="exact"/>
        <w:ind w:firstLine="420" w:firstLineChars="200"/>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10</w:t>
      </w:r>
      <w:r>
        <w:rPr>
          <w:rFonts w:hint="eastAsia" w:ascii="宋体" w:hAnsi="宋体"/>
          <w:color w:val="auto"/>
          <w:szCs w:val="21"/>
        </w:rPr>
        <w:t>分）：</w:t>
      </w:r>
      <w:r>
        <w:rPr>
          <w:rFonts w:hint="eastAsia" w:ascii="宋体" w:hAnsi="宋体"/>
          <w:color w:val="auto"/>
          <w:szCs w:val="21"/>
          <w:lang w:eastAsia="zh-CN"/>
        </w:rPr>
        <w:t>满足二挡要求，提供培训方案内容详细、科学合理，内容有针对性、创新性，培训的内容及方式多样化，适用于平台使用。</w:t>
      </w:r>
    </w:p>
    <w:p w14:paraId="24F330C4">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5C91AB72">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w:t>
      </w:r>
      <w:r>
        <w:rPr>
          <w:rFonts w:hint="eastAsia" w:ascii="宋体" w:hAnsi="宋体"/>
          <w:b/>
          <w:bCs/>
          <w:color w:val="auto"/>
          <w:szCs w:val="21"/>
          <w:lang w:eastAsia="zh-CN"/>
        </w:rPr>
        <w:t>方案</w:t>
      </w:r>
      <w:r>
        <w:rPr>
          <w:rFonts w:hint="eastAsia" w:ascii="宋体" w:hAnsi="宋体"/>
          <w:b/>
          <w:bCs/>
          <w:color w:val="auto"/>
          <w:szCs w:val="21"/>
        </w:rPr>
        <w:t>（满分1</w:t>
      </w:r>
      <w:r>
        <w:rPr>
          <w:rFonts w:hint="eastAsia" w:ascii="宋体" w:hAnsi="宋体"/>
          <w:b/>
          <w:bCs/>
          <w:color w:val="auto"/>
          <w:szCs w:val="21"/>
          <w:lang w:val="en-US" w:eastAsia="zh-CN"/>
        </w:rPr>
        <w:t>2</w:t>
      </w:r>
      <w:r>
        <w:rPr>
          <w:rFonts w:hint="eastAsia" w:ascii="宋体" w:hAnsi="宋体"/>
          <w:b/>
          <w:bCs/>
          <w:color w:val="auto"/>
          <w:szCs w:val="21"/>
        </w:rPr>
        <w:t>分）</w:t>
      </w:r>
    </w:p>
    <w:p w14:paraId="35106184">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szCs w:val="21"/>
        </w:rPr>
        <w:t>提供服务承诺书，</w:t>
      </w:r>
      <w:r>
        <w:rPr>
          <w:rFonts w:hint="eastAsia" w:ascii="宋体" w:hAnsi="宋体"/>
          <w:color w:val="auto"/>
          <w:szCs w:val="21"/>
        </w:rPr>
        <w:t>服务承诺方案简单描述，基本满足采购文件服务采购需求的。</w:t>
      </w:r>
    </w:p>
    <w:p w14:paraId="3FAA5E2F">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。售后服务团队不少于</w:t>
      </w:r>
      <w:r>
        <w:rPr>
          <w:rFonts w:hint="eastAsia" w:ascii="宋体" w:hAnsi="宋体"/>
          <w:color w:val="auto"/>
          <w:szCs w:val="21"/>
          <w:lang w:val="en-US" w:eastAsia="zh-CN"/>
        </w:rPr>
        <w:t>2人，需列人员名单</w:t>
      </w:r>
      <w:r>
        <w:rPr>
          <w:rFonts w:hint="eastAsia" w:ascii="宋体" w:hAnsi="宋体"/>
          <w:color w:val="auto"/>
          <w:szCs w:val="21"/>
        </w:rPr>
        <w:t>。</w:t>
      </w:r>
    </w:p>
    <w:p w14:paraId="20213083">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szCs w:val="21"/>
        </w:rPr>
        <w:t>提供详细的服务方案</w:t>
      </w:r>
      <w:r>
        <w:rPr>
          <w:rFonts w:hint="eastAsia" w:ascii="宋体" w:hAnsi="宋体" w:cs="宋体"/>
          <w:bCs/>
          <w:szCs w:val="21"/>
          <w:lang w:eastAsia="zh-CN"/>
        </w:rPr>
        <w:t>，</w:t>
      </w:r>
      <w:r>
        <w:rPr>
          <w:rFonts w:hint="eastAsia" w:ascii="宋体" w:hAnsi="宋体" w:cs="宋体"/>
          <w:bCs/>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szCs w:val="21"/>
          <w:lang w:eastAsia="zh-CN"/>
        </w:rPr>
        <w:t>。</w:t>
      </w:r>
      <w:r>
        <w:rPr>
          <w:rFonts w:hint="eastAsia" w:ascii="宋体" w:hAnsi="宋体"/>
          <w:color w:val="auto"/>
          <w:szCs w:val="21"/>
          <w:lang w:eastAsia="zh-CN"/>
        </w:rPr>
        <w:t>售后服务团队不少于</w:t>
      </w:r>
      <w:r>
        <w:rPr>
          <w:rFonts w:hint="eastAsia" w:ascii="宋体" w:hAnsi="宋体"/>
          <w:color w:val="auto"/>
          <w:szCs w:val="21"/>
          <w:lang w:val="en-US" w:eastAsia="zh-CN"/>
        </w:rPr>
        <w:t>3人，需列人员名单</w:t>
      </w:r>
      <w:r>
        <w:rPr>
          <w:rFonts w:hint="eastAsia" w:ascii="宋体" w:hAnsi="宋体"/>
          <w:color w:val="auto"/>
          <w:szCs w:val="21"/>
        </w:rPr>
        <w:t>。</w:t>
      </w:r>
    </w:p>
    <w:p w14:paraId="17215F50">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00C0DDDB">
      <w:pPr>
        <w:spacing w:line="400" w:lineRule="exact"/>
        <w:ind w:firstLine="420" w:firstLineChars="200"/>
        <w:rPr>
          <w:rFonts w:ascii="宋体" w:hAnsi="宋体"/>
          <w:b/>
          <w:bCs/>
          <w:color w:val="000000"/>
          <w:szCs w:val="20"/>
        </w:rPr>
      </w:pPr>
      <w:r>
        <w:rPr>
          <w:rFonts w:hint="eastAsia" w:ascii="宋体" w:hAnsi="宋体"/>
          <w:b/>
          <w:bCs/>
          <w:color w:val="000000"/>
          <w:szCs w:val="20"/>
        </w:rPr>
        <w:t>3、商务分……………………………………………………………………………………………</w:t>
      </w:r>
      <w:r>
        <w:rPr>
          <w:rFonts w:hint="eastAsia" w:ascii="宋体" w:hAnsi="宋体"/>
          <w:b/>
          <w:bCs/>
          <w:color w:val="000000"/>
          <w:szCs w:val="20"/>
          <w:lang w:val="en-US" w:eastAsia="zh-CN"/>
        </w:rPr>
        <w:t>30</w:t>
      </w:r>
      <w:r>
        <w:rPr>
          <w:rFonts w:hint="eastAsia" w:ascii="宋体" w:hAnsi="宋体"/>
          <w:b/>
          <w:bCs/>
          <w:color w:val="000000"/>
          <w:szCs w:val="20"/>
        </w:rPr>
        <w:t>分</w:t>
      </w:r>
    </w:p>
    <w:p w14:paraId="744A43BB">
      <w:pPr>
        <w:spacing w:line="400" w:lineRule="atLeast"/>
        <w:ind w:firstLine="420" w:firstLineChars="200"/>
        <w:rPr>
          <w:rFonts w:hint="eastAsia" w:ascii="宋体" w:hAnsi="宋体"/>
          <w:b/>
          <w:bCs/>
          <w:color w:val="auto"/>
          <w:szCs w:val="21"/>
          <w:lang w:eastAsia="zh-CN"/>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）技术力量</w:t>
      </w:r>
      <w:r>
        <w:rPr>
          <w:rFonts w:hint="eastAsia" w:ascii="宋体" w:hAnsi="宋体" w:eastAsia="宋体" w:cs="宋体"/>
          <w:color w:val="auto"/>
          <w:szCs w:val="21"/>
          <w:highlight w:val="none"/>
          <w:lang w:val="zh-CN"/>
        </w:rPr>
        <w:t>（</w:t>
      </w:r>
      <w:r>
        <w:rPr>
          <w:rFonts w:hint="eastAsia" w:ascii="宋体" w:hAnsi="宋体" w:cs="宋体"/>
          <w:color w:val="auto"/>
          <w:szCs w:val="21"/>
          <w:highlight w:val="none"/>
          <w:lang w:val="en-US" w:eastAsia="zh-CN"/>
        </w:rPr>
        <w:t>10</w:t>
      </w:r>
      <w:r>
        <w:rPr>
          <w:rFonts w:hint="eastAsia" w:ascii="宋体" w:hAnsi="宋体" w:eastAsia="宋体" w:cs="宋体"/>
          <w:color w:val="auto"/>
          <w:szCs w:val="21"/>
          <w:highlight w:val="none"/>
          <w:lang w:val="zh-CN"/>
        </w:rPr>
        <w:t>分）</w:t>
      </w:r>
    </w:p>
    <w:p w14:paraId="3DA62C20">
      <w:pPr>
        <w:pStyle w:val="17"/>
        <w:keepNext w:val="0"/>
        <w:keepLines w:val="0"/>
        <w:pageBreakBefore w:val="0"/>
        <w:widowControl w:val="0"/>
        <w:kinsoku/>
        <w:topLinePunct w:val="0"/>
        <w:bidi w:val="0"/>
        <w:adjustRightInd/>
        <w:snapToGrid/>
        <w:spacing w:before="0" w:beforeAutospacing="0" w:after="0" w:afterAutospacing="0" w:line="400" w:lineRule="exact"/>
        <w:ind w:firstLine="420" w:firstLineChars="200"/>
        <w:jc w:val="both"/>
        <w:rPr>
          <w:rFonts w:hint="eastAsia"/>
          <w:b/>
          <w:color w:val="auto"/>
          <w:sz w:val="21"/>
          <w:szCs w:val="21"/>
          <w:highlight w:val="none"/>
        </w:rPr>
      </w:pPr>
      <w:r>
        <w:rPr>
          <w:rFonts w:hint="eastAsia"/>
          <w:b w:val="0"/>
          <w:bCs/>
          <w:color w:val="auto"/>
          <w:sz w:val="21"/>
          <w:szCs w:val="21"/>
          <w:highlight w:val="none"/>
        </w:rPr>
        <w:t>拟投入本项目的</w:t>
      </w:r>
      <w:r>
        <w:rPr>
          <w:rFonts w:hint="eastAsia"/>
          <w:b w:val="0"/>
          <w:bCs/>
          <w:color w:val="auto"/>
          <w:sz w:val="21"/>
          <w:szCs w:val="21"/>
          <w:highlight w:val="none"/>
          <w:lang w:val="en-US" w:eastAsia="zh-CN"/>
        </w:rPr>
        <w:t>服务团队成员</w:t>
      </w:r>
      <w:r>
        <w:rPr>
          <w:rFonts w:hint="eastAsia"/>
          <w:b w:val="0"/>
          <w:bCs/>
          <w:color w:val="auto"/>
          <w:sz w:val="21"/>
          <w:szCs w:val="21"/>
          <w:highlight w:val="none"/>
        </w:rPr>
        <w:t>具有计算机技术与软件专业技术资格</w:t>
      </w:r>
      <w:r>
        <w:rPr>
          <w:rFonts w:hint="eastAsia"/>
          <w:b w:val="0"/>
          <w:bCs/>
          <w:color w:val="auto"/>
          <w:sz w:val="21"/>
          <w:szCs w:val="21"/>
          <w:highlight w:val="none"/>
          <w:lang w:eastAsia="zh-CN"/>
        </w:rPr>
        <w:t>、教育类</w:t>
      </w:r>
      <w:r>
        <w:rPr>
          <w:rFonts w:hint="eastAsia"/>
          <w:b w:val="0"/>
          <w:bCs/>
          <w:color w:val="auto"/>
          <w:sz w:val="21"/>
          <w:szCs w:val="21"/>
          <w:highlight w:val="none"/>
        </w:rPr>
        <w:t>初级</w:t>
      </w:r>
      <w:r>
        <w:rPr>
          <w:rFonts w:hint="eastAsia"/>
          <w:b w:val="0"/>
          <w:bCs/>
          <w:color w:val="auto"/>
          <w:sz w:val="21"/>
          <w:szCs w:val="21"/>
          <w:highlight w:val="none"/>
          <w:lang w:eastAsia="zh-CN"/>
        </w:rPr>
        <w:t>职称</w:t>
      </w:r>
      <w:r>
        <w:rPr>
          <w:rFonts w:hint="eastAsia"/>
          <w:b w:val="0"/>
          <w:bCs/>
          <w:color w:val="auto"/>
          <w:sz w:val="21"/>
          <w:szCs w:val="21"/>
          <w:highlight w:val="none"/>
        </w:rPr>
        <w:t>证书的，每符合一人得</w:t>
      </w:r>
      <w:r>
        <w:rPr>
          <w:rFonts w:hint="eastAsia"/>
          <w:b w:val="0"/>
          <w:bCs/>
          <w:color w:val="auto"/>
          <w:sz w:val="21"/>
          <w:szCs w:val="21"/>
          <w:highlight w:val="none"/>
          <w:lang w:val="en-US" w:eastAsia="zh-CN"/>
        </w:rPr>
        <w:t>1</w:t>
      </w:r>
      <w:r>
        <w:rPr>
          <w:rFonts w:hint="eastAsia"/>
          <w:b w:val="0"/>
          <w:bCs/>
          <w:color w:val="auto"/>
          <w:sz w:val="21"/>
          <w:szCs w:val="21"/>
          <w:highlight w:val="none"/>
        </w:rPr>
        <w:t>分；具有计算机技术与软件专业技术资格</w:t>
      </w:r>
      <w:r>
        <w:rPr>
          <w:rFonts w:hint="eastAsia"/>
          <w:b w:val="0"/>
          <w:bCs/>
          <w:color w:val="auto"/>
          <w:sz w:val="21"/>
          <w:szCs w:val="21"/>
          <w:highlight w:val="none"/>
          <w:lang w:eastAsia="zh-CN"/>
        </w:rPr>
        <w:t>、教育类</w:t>
      </w:r>
      <w:r>
        <w:rPr>
          <w:rFonts w:hint="eastAsia"/>
          <w:b w:val="0"/>
          <w:bCs/>
          <w:color w:val="auto"/>
          <w:sz w:val="21"/>
          <w:szCs w:val="21"/>
          <w:highlight w:val="none"/>
        </w:rPr>
        <w:t>中级</w:t>
      </w:r>
      <w:r>
        <w:rPr>
          <w:rFonts w:hint="eastAsia"/>
          <w:b w:val="0"/>
          <w:bCs/>
          <w:color w:val="auto"/>
          <w:sz w:val="21"/>
          <w:szCs w:val="21"/>
          <w:highlight w:val="none"/>
          <w:lang w:eastAsia="zh-CN"/>
        </w:rPr>
        <w:t>职称</w:t>
      </w:r>
      <w:r>
        <w:rPr>
          <w:rFonts w:hint="eastAsia"/>
          <w:b w:val="0"/>
          <w:bCs/>
          <w:color w:val="auto"/>
          <w:sz w:val="21"/>
          <w:szCs w:val="21"/>
          <w:highlight w:val="none"/>
        </w:rPr>
        <w:t>证书的，每符合一人得</w:t>
      </w:r>
      <w:r>
        <w:rPr>
          <w:rFonts w:hint="eastAsia"/>
          <w:b w:val="0"/>
          <w:bCs/>
          <w:color w:val="auto"/>
          <w:sz w:val="21"/>
          <w:szCs w:val="21"/>
          <w:highlight w:val="none"/>
          <w:lang w:val="en-US" w:eastAsia="zh-CN"/>
        </w:rPr>
        <w:t>2</w:t>
      </w:r>
      <w:r>
        <w:rPr>
          <w:rFonts w:hint="eastAsia"/>
          <w:b w:val="0"/>
          <w:bCs/>
          <w:color w:val="auto"/>
          <w:sz w:val="21"/>
          <w:szCs w:val="21"/>
          <w:highlight w:val="none"/>
        </w:rPr>
        <w:t>分；具有计算机技术与软件专业技术资格</w:t>
      </w:r>
      <w:r>
        <w:rPr>
          <w:rFonts w:hint="eastAsia"/>
          <w:b w:val="0"/>
          <w:bCs/>
          <w:color w:val="auto"/>
          <w:sz w:val="21"/>
          <w:szCs w:val="21"/>
          <w:highlight w:val="none"/>
          <w:lang w:eastAsia="zh-CN"/>
        </w:rPr>
        <w:t>、教育类</w:t>
      </w:r>
      <w:r>
        <w:rPr>
          <w:rFonts w:hint="eastAsia"/>
          <w:b w:val="0"/>
          <w:bCs/>
          <w:color w:val="auto"/>
          <w:sz w:val="21"/>
          <w:szCs w:val="21"/>
          <w:highlight w:val="none"/>
        </w:rPr>
        <w:t>高级</w:t>
      </w:r>
      <w:r>
        <w:rPr>
          <w:rFonts w:hint="eastAsia"/>
          <w:b w:val="0"/>
          <w:bCs/>
          <w:color w:val="auto"/>
          <w:sz w:val="21"/>
          <w:szCs w:val="21"/>
          <w:highlight w:val="none"/>
          <w:lang w:eastAsia="zh-CN"/>
        </w:rPr>
        <w:t>职称</w:t>
      </w:r>
      <w:r>
        <w:rPr>
          <w:rFonts w:hint="eastAsia"/>
          <w:b w:val="0"/>
          <w:bCs/>
          <w:color w:val="auto"/>
          <w:sz w:val="21"/>
          <w:szCs w:val="21"/>
          <w:highlight w:val="none"/>
        </w:rPr>
        <w:t>证书的，每符合一人得3分</w:t>
      </w:r>
      <w:r>
        <w:rPr>
          <w:rFonts w:hint="eastAsia"/>
          <w:b w:val="0"/>
          <w:bCs/>
          <w:color w:val="auto"/>
          <w:sz w:val="21"/>
          <w:szCs w:val="21"/>
          <w:highlight w:val="none"/>
          <w:lang w:eastAsia="zh-CN"/>
        </w:rPr>
        <w:t>；本项</w:t>
      </w:r>
      <w:r>
        <w:rPr>
          <w:rFonts w:hint="eastAsia"/>
          <w:b w:val="0"/>
          <w:bCs/>
          <w:color w:val="auto"/>
          <w:sz w:val="21"/>
          <w:szCs w:val="21"/>
          <w:highlight w:val="none"/>
        </w:rPr>
        <w:t>满分</w:t>
      </w:r>
      <w:r>
        <w:rPr>
          <w:rFonts w:hint="eastAsia"/>
          <w:b w:val="0"/>
          <w:bCs/>
          <w:color w:val="auto"/>
          <w:sz w:val="21"/>
          <w:szCs w:val="21"/>
          <w:highlight w:val="none"/>
          <w:lang w:val="en-US" w:eastAsia="zh-CN"/>
        </w:rPr>
        <w:t>10</w:t>
      </w:r>
      <w:r>
        <w:rPr>
          <w:rFonts w:hint="eastAsia"/>
          <w:b w:val="0"/>
          <w:bCs/>
          <w:color w:val="auto"/>
          <w:sz w:val="21"/>
          <w:szCs w:val="21"/>
          <w:highlight w:val="none"/>
        </w:rPr>
        <w:t>分。</w:t>
      </w:r>
    </w:p>
    <w:p w14:paraId="1C9502C6">
      <w:pPr>
        <w:spacing w:line="400" w:lineRule="atLeast"/>
        <w:ind w:firstLine="420" w:firstLineChars="200"/>
        <w:rPr>
          <w:rFonts w:hint="eastAsia" w:ascii="Times New Roman" w:hAnsi="Times New Roman" w:eastAsia="宋体" w:cs="Times New Roman"/>
          <w:b/>
          <w:color w:val="auto"/>
          <w:sz w:val="21"/>
          <w:szCs w:val="21"/>
          <w:highlight w:val="none"/>
          <w:lang w:eastAsia="zh-CN"/>
        </w:rPr>
      </w:pPr>
      <w:r>
        <w:rPr>
          <w:rFonts w:hint="eastAsia"/>
          <w:b/>
          <w:color w:val="auto"/>
          <w:sz w:val="21"/>
          <w:szCs w:val="21"/>
          <w:highlight w:val="none"/>
        </w:rPr>
        <w:t>注：</w:t>
      </w:r>
      <w:r>
        <w:rPr>
          <w:rFonts w:hint="eastAsia"/>
          <w:b/>
          <w:color w:val="auto"/>
          <w:sz w:val="21"/>
          <w:szCs w:val="21"/>
          <w:highlight w:val="none"/>
          <w:lang w:eastAsia="zh-CN"/>
        </w:rPr>
        <w:t>本项不重复记分，同一人有两项及以上职称证书的，以得分高项计分。</w:t>
      </w:r>
      <w:r>
        <w:rPr>
          <w:rFonts w:hint="eastAsia"/>
          <w:b/>
          <w:color w:val="auto"/>
          <w:sz w:val="21"/>
          <w:szCs w:val="21"/>
          <w:highlight w:val="none"/>
          <w:lang w:val="en-US" w:eastAsia="zh-CN"/>
        </w:rPr>
        <w:t>响应文件中提供相关证书复印件，</w:t>
      </w:r>
      <w:r>
        <w:rPr>
          <w:rFonts w:hint="eastAsia"/>
          <w:b/>
          <w:color w:val="auto"/>
          <w:sz w:val="21"/>
          <w:szCs w:val="21"/>
          <w:highlight w:val="none"/>
        </w:rPr>
        <w:t>以及拟投入人员与供应商签署的劳动合同（截止</w:t>
      </w:r>
      <w:r>
        <w:rPr>
          <w:rFonts w:hint="eastAsia"/>
          <w:b/>
          <w:color w:val="auto"/>
          <w:sz w:val="21"/>
          <w:szCs w:val="21"/>
          <w:highlight w:val="none"/>
          <w:lang w:val="en-US" w:eastAsia="zh-CN"/>
        </w:rPr>
        <w:t>至</w:t>
      </w:r>
      <w:r>
        <w:rPr>
          <w:rFonts w:hint="eastAsia"/>
          <w:b/>
          <w:color w:val="auto"/>
          <w:sz w:val="21"/>
          <w:szCs w:val="21"/>
          <w:highlight w:val="none"/>
        </w:rPr>
        <w:t>本项目响应文件提交截止时间当天合同仍在有效期内）</w:t>
      </w:r>
      <w:r>
        <w:rPr>
          <w:rFonts w:hint="eastAsia"/>
          <w:b/>
          <w:color w:val="auto"/>
          <w:sz w:val="21"/>
          <w:szCs w:val="21"/>
          <w:highlight w:val="none"/>
          <w:lang w:eastAsia="zh-CN"/>
        </w:rPr>
        <w:t>或供应商为</w:t>
      </w:r>
      <w:r>
        <w:rPr>
          <w:rFonts w:hint="eastAsia"/>
          <w:b/>
          <w:color w:val="auto"/>
          <w:sz w:val="21"/>
          <w:szCs w:val="21"/>
          <w:highlight w:val="none"/>
        </w:rPr>
        <w:t>拟投入人</w:t>
      </w:r>
      <w:r>
        <w:rPr>
          <w:rFonts w:hint="eastAsia" w:ascii="Times New Roman" w:hAnsi="Times New Roman" w:eastAsia="宋体" w:cs="Times New Roman"/>
          <w:b/>
          <w:color w:val="auto"/>
          <w:sz w:val="21"/>
          <w:szCs w:val="21"/>
          <w:highlight w:val="none"/>
          <w:lang w:eastAsia="zh-CN"/>
        </w:rPr>
        <w:t>员202</w:t>
      </w:r>
      <w:r>
        <w:rPr>
          <w:rFonts w:hint="eastAsia" w:ascii="Times New Roman" w:hAnsi="Times New Roman" w:eastAsia="宋体"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eastAsia="zh-CN"/>
        </w:rPr>
        <w:t>年</w:t>
      </w:r>
      <w:r>
        <w:rPr>
          <w:rFonts w:hint="eastAsia" w:cs="Times New Roman"/>
          <w:b/>
          <w:color w:val="auto"/>
          <w:sz w:val="21"/>
          <w:szCs w:val="21"/>
          <w:highlight w:val="none"/>
          <w:lang w:val="en-US" w:eastAsia="zh-CN"/>
        </w:rPr>
        <w:t>6</w:t>
      </w:r>
      <w:r>
        <w:rPr>
          <w:rFonts w:hint="eastAsia" w:ascii="Times New Roman" w:hAnsi="Times New Roman" w:eastAsia="宋体" w:cs="Times New Roman"/>
          <w:b/>
          <w:color w:val="auto"/>
          <w:sz w:val="21"/>
          <w:szCs w:val="21"/>
          <w:highlight w:val="none"/>
          <w:lang w:eastAsia="zh-CN"/>
        </w:rPr>
        <w:t>月至2025年</w:t>
      </w:r>
      <w:r>
        <w:rPr>
          <w:rFonts w:hint="eastAsia" w:ascii="Times New Roman" w:hAnsi="Times New Roman" w:eastAsia="宋体" w:cs="Times New Roman"/>
          <w:b/>
          <w:color w:val="auto"/>
          <w:sz w:val="21"/>
          <w:szCs w:val="21"/>
          <w:highlight w:val="none"/>
          <w:lang w:val="en-US" w:eastAsia="zh-CN"/>
        </w:rPr>
        <w:t>1</w:t>
      </w:r>
      <w:r>
        <w:rPr>
          <w:rFonts w:hint="eastAsia" w:cs="Times New Roman"/>
          <w:b/>
          <w:color w:val="auto"/>
          <w:sz w:val="21"/>
          <w:szCs w:val="21"/>
          <w:highlight w:val="none"/>
          <w:lang w:val="en-US" w:eastAsia="zh-CN"/>
        </w:rPr>
        <w:t>1</w:t>
      </w:r>
      <w:r>
        <w:rPr>
          <w:rFonts w:hint="eastAsia" w:ascii="Times New Roman" w:hAnsi="Times New Roman" w:eastAsia="宋体" w:cs="Times New Roman"/>
          <w:b/>
          <w:color w:val="auto"/>
          <w:sz w:val="21"/>
          <w:szCs w:val="21"/>
          <w:highlight w:val="none"/>
          <w:lang w:eastAsia="zh-CN"/>
        </w:rPr>
        <w:t>月内任意</w:t>
      </w:r>
      <w:r>
        <w:rPr>
          <w:rFonts w:hint="eastAsia" w:ascii="Times New Roman" w:hAnsi="Times New Roman" w:eastAsia="宋体" w:cs="Times New Roman"/>
          <w:b/>
          <w:color w:val="auto"/>
          <w:sz w:val="21"/>
          <w:szCs w:val="21"/>
          <w:highlight w:val="none"/>
          <w:lang w:val="en-US" w:eastAsia="zh-CN"/>
        </w:rPr>
        <w:t>1</w:t>
      </w:r>
      <w:r>
        <w:rPr>
          <w:rFonts w:hint="eastAsia" w:ascii="Times New Roman" w:hAnsi="Times New Roman" w:eastAsia="宋体" w:cs="Times New Roman"/>
          <w:b/>
          <w:color w:val="auto"/>
          <w:sz w:val="21"/>
          <w:szCs w:val="21"/>
          <w:highlight w:val="none"/>
          <w:lang w:eastAsia="zh-CN"/>
        </w:rPr>
        <w:t>个月的依法缴纳社会保障资金的缴费凭证（专用收据或者社会保险缴纳清单）复印件。</w:t>
      </w:r>
    </w:p>
    <w:p w14:paraId="2CDDD213">
      <w:pPr>
        <w:spacing w:line="400" w:lineRule="atLeast"/>
        <w:ind w:firstLine="420" w:firstLineChars="200"/>
        <w:rPr>
          <w:rFonts w:hint="default" w:eastAsia="宋体"/>
          <w:b/>
          <w:color w:val="auto"/>
          <w:sz w:val="21"/>
          <w:szCs w:val="21"/>
          <w:highlight w:val="none"/>
          <w:lang w:val="en-US" w:eastAsia="zh-CN"/>
        </w:rPr>
      </w:pPr>
      <w:r>
        <w:rPr>
          <w:rFonts w:hint="eastAsia"/>
          <w:b/>
          <w:bCs w:val="0"/>
          <w:color w:val="auto"/>
          <w:sz w:val="21"/>
          <w:szCs w:val="21"/>
          <w:highlight w:val="none"/>
          <w:lang w:eastAsia="zh-CN"/>
        </w:rPr>
        <w:t>（</w:t>
      </w:r>
      <w:r>
        <w:rPr>
          <w:rFonts w:hint="eastAsia"/>
          <w:b/>
          <w:bCs w:val="0"/>
          <w:color w:val="auto"/>
          <w:sz w:val="21"/>
          <w:szCs w:val="21"/>
          <w:highlight w:val="none"/>
          <w:lang w:val="en-US" w:eastAsia="zh-CN"/>
        </w:rPr>
        <w:t>2）</w:t>
      </w:r>
      <w:r>
        <w:rPr>
          <w:rFonts w:hint="eastAsia" w:ascii="宋体" w:hAnsi="宋体" w:cs="宋体"/>
          <w:b/>
          <w:bCs w:val="0"/>
          <w:color w:val="auto"/>
          <w:szCs w:val="21"/>
          <w:highlight w:val="none"/>
          <w:lang w:val="en-US" w:eastAsia="zh-CN"/>
        </w:rPr>
        <w:t>业绩</w:t>
      </w:r>
      <w:r>
        <w:rPr>
          <w:rFonts w:hint="eastAsia" w:ascii="宋体" w:hAnsi="宋体" w:eastAsia="宋体" w:cs="宋体"/>
          <w:color w:val="auto"/>
          <w:szCs w:val="21"/>
          <w:highlight w:val="none"/>
          <w:lang w:val="zh-CN"/>
        </w:rPr>
        <w:t>（</w:t>
      </w:r>
      <w:r>
        <w:rPr>
          <w:rFonts w:hint="eastAsia" w:ascii="宋体" w:hAnsi="宋体" w:cs="宋体"/>
          <w:color w:val="auto"/>
          <w:szCs w:val="21"/>
          <w:highlight w:val="none"/>
          <w:lang w:val="en-US" w:eastAsia="zh-CN"/>
        </w:rPr>
        <w:t>20</w:t>
      </w:r>
      <w:r>
        <w:rPr>
          <w:rFonts w:hint="eastAsia" w:ascii="宋体" w:hAnsi="宋体" w:eastAsia="宋体" w:cs="宋体"/>
          <w:color w:val="auto"/>
          <w:szCs w:val="21"/>
          <w:highlight w:val="none"/>
          <w:lang w:val="zh-CN"/>
        </w:rPr>
        <w:t>分）</w:t>
      </w:r>
    </w:p>
    <w:p w14:paraId="736884B0">
      <w:pPr>
        <w:spacing w:line="400" w:lineRule="atLeast"/>
        <w:ind w:firstLine="420" w:firstLineChars="200"/>
        <w:rPr>
          <w:rFonts w:ascii="宋体" w:hAnsi="宋体"/>
          <w:color w:val="000000"/>
          <w:szCs w:val="21"/>
        </w:rPr>
      </w:pPr>
      <w:r>
        <w:rPr>
          <w:rFonts w:hint="eastAsia" w:ascii="宋体" w:hAnsi="宋体"/>
          <w:color w:val="000000"/>
          <w:szCs w:val="21"/>
        </w:rPr>
        <w:t>2022年</w:t>
      </w:r>
      <w:r>
        <w:rPr>
          <w:rFonts w:hint="eastAsia" w:ascii="宋体" w:hAnsi="宋体"/>
          <w:color w:val="000000"/>
          <w:szCs w:val="21"/>
          <w:lang w:val="en-US" w:eastAsia="zh-CN"/>
        </w:rPr>
        <w:t>11月</w:t>
      </w:r>
      <w:r>
        <w:rPr>
          <w:rFonts w:hint="eastAsia" w:ascii="宋体" w:hAnsi="宋体"/>
          <w:color w:val="000000"/>
          <w:szCs w:val="21"/>
        </w:rPr>
        <w:t>以来，投标人具有与本次采购内容有关的类似项目业绩的，每项得5分，满分</w:t>
      </w:r>
      <w:r>
        <w:rPr>
          <w:rFonts w:hint="eastAsia" w:ascii="宋体" w:hAnsi="宋体"/>
          <w:color w:val="000000"/>
          <w:szCs w:val="21"/>
          <w:lang w:val="en-US" w:eastAsia="zh-CN"/>
        </w:rPr>
        <w:t>20</w:t>
      </w:r>
      <w:r>
        <w:rPr>
          <w:rFonts w:hint="eastAsia" w:ascii="宋体" w:hAnsi="宋体"/>
          <w:color w:val="000000"/>
          <w:szCs w:val="21"/>
        </w:rPr>
        <w:t>分。（需在投标文件中提供上述类似项目业绩的合同或者中标（成交）通知书复印件并加盖投标人公章，未按要求提供的不得分。）</w:t>
      </w:r>
    </w:p>
    <w:p w14:paraId="79E12057">
      <w:pPr>
        <w:spacing w:line="400" w:lineRule="exact"/>
        <w:ind w:firstLine="420" w:firstLineChars="200"/>
        <w:rPr>
          <w:rFonts w:hint="eastAsia" w:ascii="宋体" w:hAnsi="宋体"/>
          <w:b/>
          <w:bCs/>
          <w:szCs w:val="20"/>
        </w:rPr>
      </w:pPr>
      <w:r>
        <w:rPr>
          <w:rFonts w:hint="eastAsia" w:ascii="宋体" w:hAnsi="宋体"/>
          <w:b/>
          <w:bCs/>
          <w:color w:val="auto"/>
          <w:szCs w:val="21"/>
        </w:rPr>
        <w:t>备注：未提供本项内容的，得 0 分</w:t>
      </w:r>
    </w:p>
    <w:p w14:paraId="48831DED">
      <w:pPr>
        <w:spacing w:line="400" w:lineRule="exact"/>
        <w:ind w:firstLine="420" w:firstLineChars="200"/>
        <w:rPr>
          <w:rFonts w:hint="default" w:ascii="宋体" w:hAnsi="宋体" w:eastAsia="宋体"/>
          <w:b/>
          <w:bCs/>
          <w:szCs w:val="20"/>
          <w:lang w:val="en-US" w:eastAsia="zh-CN"/>
        </w:rPr>
      </w:pPr>
      <w:r>
        <w:rPr>
          <w:rFonts w:hint="eastAsia" w:ascii="宋体" w:hAnsi="宋体"/>
          <w:b/>
          <w:bCs/>
          <w:szCs w:val="20"/>
        </w:rPr>
        <w:t>三、总得分=1+2+3</w:t>
      </w:r>
    </w:p>
    <w:p w14:paraId="38C5150E">
      <w:pPr>
        <w:spacing w:line="400" w:lineRule="exact"/>
        <w:ind w:firstLine="420" w:firstLineChars="200"/>
        <w:rPr>
          <w:rFonts w:ascii="宋体" w:hAnsi="宋体"/>
          <w:szCs w:val="20"/>
        </w:rPr>
      </w:pPr>
      <w:r>
        <w:rPr>
          <w:rFonts w:hint="eastAsia" w:ascii="宋体" w:hAnsi="宋体"/>
          <w:szCs w:val="20"/>
        </w:rPr>
        <w:t>四、成交标准：</w:t>
      </w:r>
    </w:p>
    <w:p w14:paraId="6467C36B">
      <w:pPr>
        <w:tabs>
          <w:tab w:val="left" w:pos="7513"/>
        </w:tabs>
        <w:spacing w:line="400" w:lineRule="exact"/>
        <w:ind w:firstLine="420" w:firstLineChars="200"/>
        <w:jc w:val="left"/>
        <w:textAlignment w:val="baseline"/>
        <w:rPr>
          <w:rFonts w:ascii="宋体" w:hAnsi="宋体"/>
          <w:color w:val="auto"/>
          <w:sz w:val="20"/>
          <w:szCs w:val="21"/>
          <w:highlight w:val="none"/>
        </w:rPr>
      </w:pPr>
      <w:r>
        <w:rPr>
          <w:rFonts w:hint="eastAsia" w:ascii="宋体" w:hAnsi="宋体"/>
          <w:szCs w:val="20"/>
        </w:rPr>
        <w:t>1、</w:t>
      </w:r>
      <w:r>
        <w:rPr>
          <w:rFonts w:hint="eastAsia" w:ascii="宋体" w:hAnsi="宋体"/>
          <w:color w:val="auto"/>
          <w:szCs w:val="21"/>
          <w:highlight w:val="none"/>
        </w:rPr>
        <w:t>磋商小组应当根据</w:t>
      </w:r>
      <w:r>
        <w:rPr>
          <w:rFonts w:hint="eastAsia" w:ascii="宋体" w:hAnsi="宋体"/>
          <w:bCs/>
          <w:color w:val="auto"/>
          <w:szCs w:val="21"/>
          <w:highlight w:val="none"/>
        </w:rPr>
        <w:t>综合</w:t>
      </w:r>
      <w:r>
        <w:rPr>
          <w:rFonts w:hint="eastAsia" w:ascii="宋体" w:hAnsi="宋体"/>
          <w:color w:val="auto"/>
          <w:szCs w:val="21"/>
          <w:highlight w:val="none"/>
        </w:rPr>
        <w:t>评分情况，按照评审得分由高到低顺序推荐3名成交候选供应商，并编写评审报告。评审得分相同的，按照最后报价由低到高的顺序推荐。评审得分且最后报价相同的，按照技术指标优劣顺序推荐。</w:t>
      </w:r>
    </w:p>
    <w:p w14:paraId="6A0CC503">
      <w:pPr>
        <w:spacing w:line="400" w:lineRule="exact"/>
        <w:ind w:firstLine="420" w:firstLineChars="200"/>
        <w:jc w:val="left"/>
        <w:textAlignment w:val="baseline"/>
        <w:rPr>
          <w:rFonts w:ascii="宋体" w:hAnsi="宋体"/>
          <w:bCs/>
          <w:color w:val="auto"/>
          <w:szCs w:val="21"/>
          <w:highlight w:val="none"/>
        </w:rPr>
      </w:pPr>
      <w:r>
        <w:rPr>
          <w:rFonts w:hint="eastAsia" w:ascii="宋体" w:hAnsi="宋体"/>
          <w:bCs/>
          <w:color w:val="auto"/>
          <w:szCs w:val="21"/>
          <w:highlight w:val="none"/>
          <w:lang w:val="en-US" w:eastAsia="zh-CN"/>
        </w:rPr>
        <w:t>2、</w:t>
      </w:r>
      <w:r>
        <w:rPr>
          <w:rFonts w:hint="eastAsia" w:ascii="宋体" w:hAnsi="宋体"/>
          <w:bCs/>
          <w:color w:val="auto"/>
          <w:szCs w:val="21"/>
          <w:highlight w:val="none"/>
        </w:rPr>
        <w:t>磋商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42941C8D">
      <w:pPr>
        <w:spacing w:line="360" w:lineRule="exact"/>
        <w:ind w:firstLine="420" w:firstLineChars="200"/>
        <w:rPr>
          <w:rFonts w:hint="eastAsia" w:hAnsi="宋体"/>
          <w:bCs/>
        </w:rPr>
      </w:pPr>
      <w:r>
        <w:rPr>
          <w:rFonts w:hint="eastAsia" w:hAnsi="宋体"/>
          <w:bCs/>
          <w:lang w:val="en-US" w:eastAsia="zh-CN"/>
        </w:rPr>
        <w:t>3、</w:t>
      </w:r>
      <w:r>
        <w:rPr>
          <w:rFonts w:hint="eastAsia" w:hAnsi="宋体"/>
          <w:bCs/>
        </w:rPr>
        <w:t>排名第一的中标候选人放弃中标、因不可抗力提出不能履行合同或合同签订后无法按合同履约的，采购人可以确定排名第二的中标候选人为中标人，也可以重新组织招标采购。其余以此类推。</w:t>
      </w:r>
    </w:p>
    <w:p w14:paraId="0F16AA8A">
      <w:pPr>
        <w:rPr>
          <w:rFonts w:hint="eastAsia" w:ascii="宋体" w:hAnsi="宋体"/>
          <w:szCs w:val="20"/>
        </w:rPr>
      </w:pPr>
    </w:p>
    <w:p w14:paraId="44AE099A">
      <w:pPr>
        <w:rPr>
          <w:rFonts w:hint="eastAsia" w:ascii="宋体" w:hAnsi="宋体"/>
          <w:szCs w:val="20"/>
        </w:rPr>
      </w:pPr>
    </w:p>
    <w:p w14:paraId="4815EA24">
      <w:pPr>
        <w:rPr>
          <w:rFonts w:hint="eastAsia" w:ascii="宋体" w:hAnsi="宋体"/>
          <w:szCs w:val="20"/>
        </w:rPr>
      </w:pPr>
    </w:p>
    <w:p w14:paraId="5D7BE1D2">
      <w:pPr>
        <w:rPr>
          <w:rFonts w:hint="eastAsia" w:ascii="宋体" w:hAnsi="宋体"/>
          <w:szCs w:val="20"/>
        </w:rPr>
      </w:pPr>
    </w:p>
    <w:p w14:paraId="2F69205B">
      <w:pPr>
        <w:rPr>
          <w:rFonts w:hint="eastAsia" w:ascii="宋体" w:hAnsi="宋体"/>
          <w:szCs w:val="20"/>
        </w:rPr>
      </w:pPr>
    </w:p>
    <w:p w14:paraId="285DAE6C">
      <w:pPr>
        <w:rPr>
          <w:rFonts w:hint="eastAsia" w:ascii="宋体" w:hAnsi="宋体"/>
          <w:szCs w:val="20"/>
        </w:rPr>
      </w:pPr>
    </w:p>
    <w:p w14:paraId="44E1D783">
      <w:pPr>
        <w:rPr>
          <w:rFonts w:hint="eastAsia" w:ascii="宋体" w:hAnsi="宋体"/>
          <w:szCs w:val="20"/>
        </w:rPr>
      </w:pPr>
    </w:p>
    <w:p w14:paraId="1F4B94F5">
      <w:pPr>
        <w:rPr>
          <w:rFonts w:hint="eastAsia" w:ascii="宋体" w:hAnsi="宋体"/>
          <w:szCs w:val="20"/>
        </w:rPr>
      </w:pPr>
    </w:p>
    <w:p w14:paraId="09A8C9F5">
      <w:pPr>
        <w:rPr>
          <w:rFonts w:hint="eastAsia" w:ascii="宋体" w:hAnsi="宋体"/>
          <w:szCs w:val="20"/>
        </w:rPr>
      </w:pPr>
    </w:p>
    <w:p w14:paraId="3D591164">
      <w:pPr>
        <w:rPr>
          <w:rFonts w:hint="eastAsia" w:ascii="宋体" w:hAnsi="宋体"/>
          <w:szCs w:val="20"/>
        </w:rPr>
      </w:pPr>
    </w:p>
    <w:p w14:paraId="5C10A126">
      <w:pPr>
        <w:rPr>
          <w:rFonts w:hint="eastAsia" w:ascii="宋体" w:hAnsi="宋体"/>
          <w:szCs w:val="20"/>
        </w:rPr>
      </w:pPr>
    </w:p>
    <w:p w14:paraId="66A087FB">
      <w:pPr>
        <w:rPr>
          <w:rFonts w:hint="eastAsia" w:ascii="宋体" w:hAnsi="宋体"/>
          <w:szCs w:val="20"/>
        </w:rPr>
      </w:pPr>
    </w:p>
    <w:p w14:paraId="45F54E2A">
      <w:pPr>
        <w:rPr>
          <w:rFonts w:hint="eastAsia" w:ascii="宋体" w:hAnsi="宋体"/>
          <w:szCs w:val="20"/>
        </w:rPr>
      </w:pPr>
    </w:p>
    <w:p w14:paraId="6486B1D7">
      <w:pPr>
        <w:rPr>
          <w:rFonts w:hint="eastAsia" w:ascii="宋体" w:hAnsi="宋体"/>
          <w:szCs w:val="20"/>
        </w:rPr>
      </w:pPr>
    </w:p>
    <w:p w14:paraId="347D36C7">
      <w:pPr>
        <w:rPr>
          <w:rFonts w:hint="eastAsia" w:ascii="宋体" w:hAnsi="宋体"/>
          <w:szCs w:val="20"/>
        </w:rPr>
      </w:pPr>
    </w:p>
    <w:p w14:paraId="2EDBCB8A">
      <w:pPr>
        <w:pStyle w:val="3"/>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08A958A7">
      <w:pPr>
        <w:spacing w:line="600" w:lineRule="exact"/>
        <w:jc w:val="center"/>
        <w:rPr>
          <w:rFonts w:ascii="宋体" w:hAnsi="宋体"/>
          <w:b/>
          <w:sz w:val="44"/>
          <w:szCs w:val="44"/>
        </w:rPr>
      </w:pPr>
    </w:p>
    <w:p w14:paraId="3C1A440D">
      <w:pPr>
        <w:spacing w:line="600" w:lineRule="exact"/>
        <w:jc w:val="center"/>
        <w:rPr>
          <w:rFonts w:ascii="宋体" w:hAnsi="宋体"/>
          <w:b/>
          <w:sz w:val="44"/>
          <w:szCs w:val="44"/>
        </w:rPr>
      </w:pPr>
      <w:r>
        <w:rPr>
          <w:rFonts w:ascii="宋体" w:hAnsi="宋体"/>
          <w:b/>
          <w:sz w:val="44"/>
          <w:szCs w:val="44"/>
        </w:rPr>
        <w:t>目  录</w:t>
      </w:r>
    </w:p>
    <w:p w14:paraId="3996882D">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35BAEF9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5F15EEBC">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2504E98A">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color w:val="auto"/>
          <w:szCs w:val="21"/>
          <w:highlight w:val="none"/>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12ABC8BE">
      <w:pPr>
        <w:spacing w:line="360" w:lineRule="exact"/>
        <w:ind w:firstLine="420" w:firstLineChars="200"/>
        <w:rPr>
          <w:rFonts w:hint="eastAsia"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eastAsia="宋体" w:cs="Times New Roman"/>
          <w:b/>
          <w:szCs w:val="21"/>
          <w:lang w:eastAsia="zh-CN"/>
        </w:rPr>
        <w:t>除自然人竞标外</w:t>
      </w:r>
      <w:r>
        <w:rPr>
          <w:rFonts w:hint="eastAsia" w:ascii="宋体" w:hAnsi="宋体" w:eastAsia="宋体" w:cs="Times New Roman"/>
          <w:b/>
          <w:szCs w:val="21"/>
        </w:rPr>
        <w:t>必</w:t>
      </w:r>
      <w:r>
        <w:rPr>
          <w:rFonts w:hint="eastAsia" w:ascii="宋体" w:hAnsi="宋体"/>
          <w:b/>
          <w:szCs w:val="21"/>
        </w:rPr>
        <w:t>须提供</w:t>
      </w:r>
      <w:r>
        <w:rPr>
          <w:rFonts w:hint="eastAsia" w:ascii="宋体" w:hAnsi="宋体"/>
          <w:szCs w:val="21"/>
        </w:rPr>
        <w:t>）………………………………</w:t>
      </w:r>
    </w:p>
    <w:p w14:paraId="3CCAD864">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六、</w:t>
      </w:r>
      <w:r>
        <w:rPr>
          <w:rFonts w:hint="eastAsia" w:ascii="宋体" w:hAnsi="宋体" w:cs="宋体"/>
          <w:color w:val="auto"/>
          <w:szCs w:val="21"/>
          <w:highlight w:val="none"/>
        </w:rPr>
        <w:t>供应商依法缴纳税收的相关材料（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6</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11</w:t>
      </w:r>
      <w:r>
        <w:rPr>
          <w:rFonts w:hint="eastAsia" w:ascii="宋体" w:hAnsi="宋体" w:cs="宋体"/>
          <w:color w:val="auto"/>
          <w:szCs w:val="21"/>
          <w:highlight w:val="none"/>
        </w:rPr>
        <w:t>月内连续3个月的依法缴纳税收的凭据复印件；</w:t>
      </w:r>
      <w:r>
        <w:rPr>
          <w:rFonts w:hint="eastAsia" w:ascii="宋体" w:hAnsi="宋体"/>
          <w:color w:val="auto"/>
          <w:szCs w:val="21"/>
          <w:highlight w:val="none"/>
        </w:rPr>
        <w:t>依法免税的，必须提供相应文件证明其依法免税。</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p>
    <w:p w14:paraId="2C23167E">
      <w:pPr>
        <w:spacing w:line="440" w:lineRule="exact"/>
        <w:ind w:firstLine="420" w:firstLineChars="200"/>
        <w:textAlignment w:val="baseline"/>
        <w:rPr>
          <w:rFonts w:hint="eastAsia" w:ascii="宋体" w:hAnsi="宋体" w:eastAsia="宋体"/>
          <w:szCs w:val="21"/>
          <w:lang w:eastAsia="zh-CN"/>
        </w:rPr>
      </w:pPr>
      <w:r>
        <w:rPr>
          <w:rFonts w:hint="eastAsia" w:ascii="宋体" w:hAnsi="宋体"/>
          <w:color w:val="auto"/>
          <w:szCs w:val="21"/>
          <w:highlight w:val="none"/>
          <w:lang w:eastAsia="zh-CN"/>
        </w:rPr>
        <w:t>七、</w:t>
      </w:r>
      <w:r>
        <w:rPr>
          <w:rFonts w:hint="eastAsia" w:ascii="宋体" w:hAnsi="宋体" w:cs="宋体"/>
          <w:color w:val="auto"/>
          <w:szCs w:val="21"/>
          <w:highlight w:val="none"/>
        </w:rPr>
        <w:t>供应商依法缴纳社会保障资金的相关材料[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6</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11</w:t>
      </w:r>
      <w:r>
        <w:rPr>
          <w:rFonts w:hint="eastAsia" w:ascii="宋体" w:hAnsi="宋体" w:cs="宋体"/>
          <w:color w:val="auto"/>
          <w:szCs w:val="21"/>
          <w:highlight w:val="none"/>
        </w:rPr>
        <w:t>月内连续3个月的依法缴纳社会保障资金的缴费凭证（专用收据或者社会保险缴纳清单）复印件；</w:t>
      </w:r>
      <w:r>
        <w:rPr>
          <w:rFonts w:hint="eastAsia" w:ascii="宋体" w:hAnsi="宋体"/>
          <w:color w:val="auto"/>
          <w:szCs w:val="21"/>
          <w:highlight w:val="none"/>
        </w:rPr>
        <w:t>依法不需要缴纳社会保障资金的，必须提供相应文件证明不需要缴纳社会保障资金。</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的依法缴纳社会保障资金的</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47CF2F99">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八</w:t>
      </w:r>
      <w:r>
        <w:rPr>
          <w:rFonts w:hint="eastAsia" w:ascii="宋体" w:hAnsi="宋体"/>
          <w:szCs w:val="21"/>
        </w:rPr>
        <w:t>、供应商直接控股、管理关系信息表</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6917D932">
      <w:pPr>
        <w:spacing w:line="360" w:lineRule="exact"/>
        <w:ind w:firstLine="420" w:firstLineChars="200"/>
        <w:rPr>
          <w:rFonts w:hint="eastAsia" w:ascii="宋体" w:hAnsi="宋体"/>
          <w:szCs w:val="21"/>
        </w:rPr>
      </w:pPr>
      <w:r>
        <w:rPr>
          <w:rFonts w:hint="eastAsia" w:ascii="宋体" w:hAnsi="宋体"/>
          <w:szCs w:val="21"/>
          <w:lang w:eastAsia="zh-CN"/>
        </w:rPr>
        <w:t>九</w:t>
      </w:r>
      <w:r>
        <w:rPr>
          <w:rFonts w:hint="eastAsia" w:ascii="宋体" w:hAnsi="宋体"/>
          <w:szCs w:val="21"/>
        </w:rPr>
        <w:t>、</w:t>
      </w:r>
      <w:r>
        <w:rPr>
          <w:rFonts w:hint="eastAsia"/>
        </w:rPr>
        <w:t>采购</w:t>
      </w:r>
      <w:r>
        <w:rPr>
          <w:rFonts w:hint="eastAsia" w:ascii="宋体" w:hAnsi="宋体"/>
          <w:szCs w:val="21"/>
        </w:rPr>
        <w:t>文件列明的其他资料</w:t>
      </w:r>
      <w:r>
        <w:rPr>
          <w:rFonts w:hint="eastAsia" w:ascii="宋体" w:hAnsi="宋体"/>
          <w:szCs w:val="21"/>
          <w:lang w:eastAsia="zh-CN"/>
        </w:rPr>
        <w:t>，如业绩、方案等</w:t>
      </w:r>
      <w:r>
        <w:rPr>
          <w:rFonts w:hint="eastAsia" w:ascii="宋体" w:hAnsi="宋体"/>
          <w:b/>
          <w:szCs w:val="21"/>
        </w:rPr>
        <w:t>（如有，请提供）</w:t>
      </w:r>
      <w:r>
        <w:rPr>
          <w:rFonts w:hint="eastAsia" w:ascii="宋体" w:hAnsi="宋体"/>
          <w:szCs w:val="21"/>
        </w:rPr>
        <w:t>…………</w:t>
      </w:r>
    </w:p>
    <w:p w14:paraId="23378488">
      <w:pPr>
        <w:snapToGrid w:val="0"/>
        <w:spacing w:line="440" w:lineRule="exact"/>
        <w:ind w:firstLine="420" w:firstLineChars="200"/>
        <w:jc w:val="left"/>
        <w:textAlignment w:val="baseline"/>
        <w:rPr>
          <w:rFonts w:hint="eastAsia" w:ascii="宋体" w:hAnsi="宋体" w:cs="宋体"/>
          <w:b/>
          <w:color w:val="auto"/>
          <w:szCs w:val="21"/>
          <w:highlight w:val="none"/>
        </w:rPr>
      </w:pPr>
    </w:p>
    <w:p w14:paraId="0330870A">
      <w:pPr>
        <w:snapToGrid w:val="0"/>
        <w:spacing w:line="440" w:lineRule="exact"/>
        <w:ind w:firstLine="420" w:firstLineChars="200"/>
        <w:jc w:val="left"/>
        <w:textAlignment w:val="baseline"/>
        <w:rPr>
          <w:rFonts w:hint="eastAsia" w:ascii="宋体" w:hAnsi="宋体" w:cs="宋体"/>
          <w:b/>
          <w:color w:val="auto"/>
          <w:szCs w:val="21"/>
          <w:highlight w:val="none"/>
        </w:rPr>
      </w:pPr>
      <w:r>
        <w:rPr>
          <w:rFonts w:hint="eastAsia" w:ascii="宋体" w:hAnsi="宋体" w:cs="宋体"/>
          <w:b/>
          <w:color w:val="auto"/>
          <w:szCs w:val="21"/>
          <w:highlight w:val="none"/>
        </w:rPr>
        <w:t>注：</w:t>
      </w:r>
    </w:p>
    <w:p w14:paraId="70274E96">
      <w:pPr>
        <w:snapToGrid w:val="0"/>
        <w:spacing w:line="440" w:lineRule="exact"/>
        <w:ind w:firstLine="420" w:firstLineChars="200"/>
        <w:jc w:val="left"/>
        <w:textAlignment w:val="baseline"/>
        <w:rPr>
          <w:rFonts w:hint="eastAsia" w:ascii="宋体" w:hAnsi="宋体" w:eastAsia="宋体" w:cs="宋体"/>
          <w:b/>
          <w:color w:val="auto"/>
          <w:szCs w:val="21"/>
          <w:highlight w:val="none"/>
          <w:lang w:val="en-US" w:eastAsia="zh-CN"/>
        </w:rPr>
      </w:pPr>
      <w:r>
        <w:rPr>
          <w:rFonts w:hint="eastAsia" w:ascii="宋体" w:hAnsi="宋体" w:cs="宋体"/>
          <w:b/>
          <w:color w:val="auto"/>
          <w:szCs w:val="21"/>
          <w:highlight w:val="none"/>
          <w:lang w:val="en-US" w:eastAsia="zh-CN"/>
        </w:rPr>
        <w:t>1.</w:t>
      </w:r>
      <w:r>
        <w:rPr>
          <w:rFonts w:hint="eastAsia" w:ascii="宋体" w:hAnsi="宋体" w:cs="宋体"/>
          <w:b/>
          <w:color w:val="auto"/>
          <w:szCs w:val="21"/>
          <w:highlight w:val="none"/>
        </w:rPr>
        <w:t>以上标明“必须提供”的材料</w:t>
      </w:r>
      <w:r>
        <w:rPr>
          <w:rFonts w:hint="eastAsia" w:ascii="宋体" w:hAnsi="宋体" w:cs="宋体"/>
          <w:b/>
          <w:color w:val="auto"/>
          <w:szCs w:val="21"/>
          <w:highlight w:val="none"/>
          <w:lang w:eastAsia="zh-CN"/>
        </w:rPr>
        <w:t>属于资格证明文件，如不提供的，</w:t>
      </w:r>
      <w:r>
        <w:rPr>
          <w:rFonts w:hint="eastAsia" w:ascii="宋体" w:hAnsi="宋体" w:cs="宋体"/>
          <w:b/>
          <w:color w:val="auto"/>
          <w:szCs w:val="21"/>
          <w:highlight w:val="none"/>
        </w:rPr>
        <w:t>响应文件按无效响应处理</w:t>
      </w:r>
      <w:r>
        <w:rPr>
          <w:rFonts w:hint="eastAsia" w:ascii="宋体" w:hAnsi="宋体" w:cs="宋体"/>
          <w:b/>
          <w:color w:val="auto"/>
          <w:szCs w:val="21"/>
          <w:highlight w:val="none"/>
          <w:lang w:eastAsia="zh-CN"/>
        </w:rPr>
        <w:t>。</w:t>
      </w:r>
    </w:p>
    <w:p w14:paraId="0D866300">
      <w:pPr>
        <w:snapToGrid w:val="0"/>
        <w:spacing w:line="440" w:lineRule="exact"/>
        <w:ind w:firstLine="420" w:firstLineChars="200"/>
        <w:jc w:val="left"/>
        <w:textAlignment w:val="baseline"/>
        <w:rPr>
          <w:rFonts w:ascii="宋体" w:hAnsi="宋体" w:cs="宋体"/>
          <w:b/>
          <w:color w:val="auto"/>
          <w:szCs w:val="21"/>
          <w:highlight w:val="none"/>
        </w:rPr>
      </w:pPr>
      <w:r>
        <w:rPr>
          <w:rFonts w:hint="eastAsia" w:ascii="宋体" w:hAnsi="宋体" w:cs="宋体"/>
          <w:b/>
          <w:color w:val="auto"/>
          <w:szCs w:val="21"/>
          <w:highlight w:val="none"/>
          <w:lang w:val="en-US" w:eastAsia="zh-CN"/>
        </w:rPr>
        <w:t>2.</w:t>
      </w:r>
      <w:r>
        <w:rPr>
          <w:rFonts w:hint="eastAsia" w:ascii="宋体" w:hAnsi="宋体" w:cs="宋体"/>
          <w:b/>
          <w:color w:val="auto"/>
          <w:szCs w:val="21"/>
          <w:highlight w:val="none"/>
        </w:rPr>
        <w:t>以上标明“必须提供”的材料属于</w:t>
      </w:r>
      <w:r>
        <w:rPr>
          <w:rFonts w:hint="eastAsia" w:ascii="宋体" w:hAnsi="宋体" w:cs="宋体"/>
          <w:b/>
          <w:color w:val="auto"/>
          <w:szCs w:val="21"/>
          <w:highlight w:val="none"/>
          <w:lang w:eastAsia="zh-CN"/>
        </w:rPr>
        <w:t>复印件的，</w:t>
      </w:r>
      <w:r>
        <w:rPr>
          <w:rFonts w:hint="eastAsia" w:ascii="宋体" w:hAnsi="宋体" w:cs="宋体"/>
          <w:b/>
          <w:color w:val="auto"/>
          <w:szCs w:val="21"/>
          <w:highlight w:val="none"/>
        </w:rPr>
        <w:t>必须加盖供应商公章，否则响应文件按无效响应处理。</w:t>
      </w:r>
    </w:p>
    <w:p w14:paraId="0782A2DD">
      <w:pPr>
        <w:spacing w:line="400" w:lineRule="exact"/>
        <w:ind w:firstLine="420" w:firstLineChars="200"/>
        <w:rPr>
          <w:rFonts w:ascii="宋体" w:hAnsi="宋体"/>
          <w:szCs w:val="21"/>
        </w:rPr>
      </w:pPr>
      <w:r>
        <w:br w:type="page"/>
      </w:r>
      <w:r>
        <w:rPr>
          <w:rFonts w:hint="eastAsia" w:ascii="宋体" w:hAnsi="宋体"/>
          <w:b/>
          <w:color w:val="000000"/>
          <w:sz w:val="24"/>
        </w:rPr>
        <w:t>一、报价表</w:t>
      </w:r>
      <w:r>
        <w:rPr>
          <w:rFonts w:hint="eastAsia" w:ascii="宋体" w:hAnsi="宋体" w:eastAsia="宋体" w:cs="Times New Roman"/>
          <w:b/>
          <w:color w:val="000000"/>
          <w:sz w:val="24"/>
        </w:rPr>
        <w:t>（格式）</w:t>
      </w:r>
    </w:p>
    <w:p w14:paraId="7661CF68">
      <w:pPr>
        <w:pStyle w:val="19"/>
        <w:ind w:firstLine="360"/>
        <w:jc w:val="center"/>
        <w:rPr>
          <w:rFonts w:ascii="黑体" w:hAnsi="黑体" w:eastAsia="黑体"/>
          <w:color w:val="000000"/>
          <w:kern w:val="0"/>
          <w:sz w:val="36"/>
          <w:szCs w:val="36"/>
          <w:shd w:val="clear" w:color="auto" w:fill="FFFFFF"/>
          <w:lang w:bidi="ar"/>
        </w:rPr>
      </w:pPr>
    </w:p>
    <w:p w14:paraId="1CCADAE1">
      <w:pPr>
        <w:pStyle w:val="19"/>
        <w:ind w:firstLine="320"/>
        <w:jc w:val="center"/>
        <w:rPr>
          <w:rFonts w:ascii="黑体" w:hAnsi="黑体" w:eastAsia="黑体"/>
          <w:color w:val="000000"/>
          <w:kern w:val="0"/>
          <w:sz w:val="36"/>
          <w:szCs w:val="36"/>
          <w:shd w:val="clear" w:color="auto" w:fill="FFFFFF"/>
          <w:lang w:bidi="ar"/>
        </w:rPr>
      </w:pPr>
      <w:r>
        <w:rPr>
          <w:rFonts w:hint="eastAsia" w:ascii="黑体" w:hAnsi="黑体" w:eastAsia="黑体"/>
          <w:sz w:val="32"/>
          <w:szCs w:val="32"/>
        </w:rPr>
        <w:t>南宁市卫生学校2026年广西职业院校技能大赛中职组《医学技术》赛项训练系统项目</w:t>
      </w:r>
    </w:p>
    <w:tbl>
      <w:tblPr>
        <w:tblStyle w:val="21"/>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4016"/>
      </w:tblGrid>
      <w:tr w14:paraId="67BAE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709CBAC5">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44DBA4EF">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2356" w:type="dxa"/>
            <w:vAlign w:val="center"/>
          </w:tcPr>
          <w:p w14:paraId="77C699B1">
            <w:pPr>
              <w:jc w:val="center"/>
              <w:rPr>
                <w:rFonts w:hint="eastAsia" w:ascii="宋体" w:hAnsi="宋体"/>
                <w:b/>
                <w:bCs/>
                <w:color w:val="000000"/>
                <w:szCs w:val="21"/>
              </w:rPr>
            </w:pPr>
            <w:r>
              <w:rPr>
                <w:rFonts w:hint="eastAsia" w:ascii="宋体" w:hAnsi="宋体"/>
                <w:b/>
                <w:bCs/>
                <w:color w:val="000000"/>
                <w:szCs w:val="21"/>
              </w:rPr>
              <w:t>单位及数量</w:t>
            </w:r>
          </w:p>
        </w:tc>
        <w:tc>
          <w:tcPr>
            <w:tcW w:w="4016" w:type="dxa"/>
            <w:vAlign w:val="center"/>
          </w:tcPr>
          <w:p w14:paraId="505CDA00">
            <w:pPr>
              <w:jc w:val="center"/>
              <w:rPr>
                <w:rFonts w:hint="eastAsia" w:ascii="宋体" w:hAnsi="宋体" w:eastAsia="宋体"/>
                <w:b/>
                <w:bCs/>
                <w:color w:val="000000"/>
                <w:szCs w:val="21"/>
                <w:lang w:eastAsia="zh-CN"/>
              </w:rPr>
            </w:pPr>
            <w:r>
              <w:rPr>
                <w:rFonts w:hint="eastAsia" w:ascii="宋体" w:hAnsi="宋体"/>
                <w:b/>
                <w:bCs/>
                <w:color w:val="000000"/>
                <w:szCs w:val="21"/>
              </w:rPr>
              <w:t>竞标</w:t>
            </w:r>
            <w:r>
              <w:rPr>
                <w:rFonts w:hint="eastAsia" w:ascii="宋体" w:hAnsi="宋体"/>
                <w:b/>
                <w:bCs/>
                <w:color w:val="000000"/>
                <w:szCs w:val="21"/>
                <w:lang w:eastAsia="zh-CN"/>
              </w:rPr>
              <w:t>报价</w:t>
            </w:r>
            <w:r>
              <w:rPr>
                <w:rFonts w:hint="eastAsia" w:ascii="宋体" w:hAnsi="宋体"/>
                <w:b/>
                <w:bCs/>
                <w:color w:val="000000"/>
                <w:szCs w:val="21"/>
              </w:rPr>
              <w:t>（元）</w:t>
            </w:r>
          </w:p>
        </w:tc>
      </w:tr>
      <w:tr w14:paraId="67C35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110343D5">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007832C4">
            <w:pPr>
              <w:spacing w:line="460" w:lineRule="exact"/>
              <w:contextualSpacing/>
              <w:rPr>
                <w:rFonts w:ascii="仿宋_GB2312" w:hAnsi="仿宋_GB2312" w:eastAsia="仿宋_GB2312"/>
                <w:sz w:val="24"/>
              </w:rPr>
            </w:pPr>
            <w:r>
              <w:rPr>
                <w:rFonts w:hint="eastAsia" w:ascii="仿宋_GB2312" w:hAnsi="仿宋_GB2312" w:eastAsia="仿宋_GB2312"/>
                <w:sz w:val="24"/>
                <w:lang w:eastAsia="zh-CN"/>
              </w:rPr>
              <w:t>2026年广西职业院校技能大赛中职组《医学技术》赛项训练系统</w:t>
            </w:r>
          </w:p>
        </w:tc>
        <w:tc>
          <w:tcPr>
            <w:tcW w:w="2356" w:type="dxa"/>
            <w:vAlign w:val="center"/>
          </w:tcPr>
          <w:p w14:paraId="39234CD1">
            <w:pPr>
              <w:pStyle w:val="19"/>
              <w:spacing w:after="0" w:line="300" w:lineRule="exact"/>
              <w:ind w:left="0" w:leftChars="0" w:firstLine="0" w:firstLineChars="0"/>
              <w:jc w:val="center"/>
              <w:rPr>
                <w:rFonts w:hint="eastAsia" w:eastAsia="宋体"/>
                <w:b/>
                <w:color w:val="000000"/>
                <w:kern w:val="0"/>
                <w:szCs w:val="21"/>
                <w:shd w:val="clear" w:color="auto" w:fill="FFFFFF"/>
                <w:lang w:val="en-US" w:eastAsia="zh-CN" w:bidi="ar"/>
              </w:rPr>
            </w:pPr>
            <w:r>
              <w:rPr>
                <w:rFonts w:hint="eastAsia" w:ascii="仿宋_GB2312" w:hAnsi="仿宋_GB2312" w:eastAsia="仿宋_GB2312" w:cs="Times New Roman"/>
                <w:kern w:val="2"/>
                <w:sz w:val="24"/>
                <w:szCs w:val="24"/>
                <w:lang w:val="en-US" w:eastAsia="zh-CN" w:bidi="ar-SA"/>
              </w:rPr>
              <w:t>1项</w:t>
            </w:r>
          </w:p>
        </w:tc>
        <w:tc>
          <w:tcPr>
            <w:tcW w:w="4016" w:type="dxa"/>
            <w:vAlign w:val="center"/>
          </w:tcPr>
          <w:p w14:paraId="1789C718">
            <w:pPr>
              <w:pStyle w:val="19"/>
              <w:spacing w:after="0" w:line="300" w:lineRule="exact"/>
              <w:ind w:firstLine="211"/>
              <w:rPr>
                <w:rFonts w:eastAsia="宋体"/>
                <w:b/>
                <w:color w:val="000000"/>
                <w:kern w:val="0"/>
                <w:szCs w:val="21"/>
                <w:shd w:val="clear" w:color="auto" w:fill="FFFFFF"/>
                <w:lang w:bidi="ar"/>
              </w:rPr>
            </w:pPr>
          </w:p>
        </w:tc>
      </w:tr>
      <w:tr w14:paraId="17F63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4"/>
            <w:vAlign w:val="center"/>
          </w:tcPr>
          <w:p w14:paraId="4589AE69">
            <w:pPr>
              <w:widowControl/>
              <w:jc w:val="center"/>
              <w:rPr>
                <w:rStyle w:val="27"/>
                <w:rFonts w:hint="eastAsia" w:ascii="宋体" w:hAnsi="宋体"/>
                <w:color w:val="000000"/>
                <w:szCs w:val="21"/>
              </w:rPr>
            </w:pPr>
            <w:r>
              <w:rPr>
                <w:rStyle w:val="27"/>
                <w:rFonts w:hint="eastAsia" w:ascii="宋体" w:hAnsi="宋体"/>
                <w:color w:val="000000"/>
                <w:szCs w:val="21"/>
              </w:rPr>
              <w:t>合计金额：大写：                             （小写：¥           元）</w:t>
            </w:r>
          </w:p>
        </w:tc>
      </w:tr>
      <w:tr w14:paraId="3B73C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291AA5E5">
            <w:pPr>
              <w:pStyle w:val="8"/>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68A6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1FF447C2">
            <w:pPr>
              <w:pStyle w:val="8"/>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111B9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4"/>
            <w:vAlign w:val="center"/>
          </w:tcPr>
          <w:p w14:paraId="7D61EC2C">
            <w:pPr>
              <w:widowControl/>
              <w:rPr>
                <w:rStyle w:val="27"/>
                <w:rFonts w:ascii="宋体" w:hAnsi="宋体"/>
                <w:color w:val="000000"/>
                <w:szCs w:val="21"/>
              </w:rPr>
            </w:pPr>
            <w:r>
              <w:rPr>
                <w:rStyle w:val="27"/>
                <w:rFonts w:hint="eastAsia" w:ascii="宋体" w:hAnsi="宋体"/>
                <w:color w:val="000000"/>
                <w:szCs w:val="21"/>
              </w:rPr>
              <w:t>报价要求：</w:t>
            </w:r>
          </w:p>
          <w:p w14:paraId="3D67FC38">
            <w:pPr>
              <w:pStyle w:val="20"/>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1C0C2CF7">
            <w:pPr>
              <w:pStyle w:val="20"/>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2.投标人的投标</w:t>
            </w:r>
            <w:r>
              <w:rPr>
                <w:rFonts w:hint="eastAsia" w:hAnsi="宋体" w:eastAsia="仿宋_GB2312"/>
                <w:color w:val="000000"/>
                <w:sz w:val="24"/>
                <w:szCs w:val="24"/>
                <w:lang w:eastAsia="zh-CN"/>
              </w:rPr>
              <w:t>价不能超过控制价</w:t>
            </w:r>
            <w:r>
              <w:rPr>
                <w:rFonts w:hint="eastAsia" w:hAnsi="宋体" w:eastAsia="仿宋_GB2312"/>
                <w:color w:val="000000"/>
                <w:sz w:val="24"/>
                <w:szCs w:val="24"/>
              </w:rPr>
              <w:t>，否则报价无效。</w:t>
            </w:r>
          </w:p>
        </w:tc>
      </w:tr>
    </w:tbl>
    <w:p w14:paraId="20AC90AA">
      <w:pPr>
        <w:snapToGrid w:val="0"/>
        <w:spacing w:line="300" w:lineRule="auto"/>
        <w:rPr>
          <w:rFonts w:ascii="宋体" w:hAnsi="宋体"/>
          <w:color w:val="000000"/>
          <w:szCs w:val="21"/>
        </w:rPr>
      </w:pPr>
    </w:p>
    <w:p w14:paraId="2DECD649">
      <w:pPr>
        <w:snapToGrid w:val="0"/>
        <w:spacing w:line="300" w:lineRule="auto"/>
        <w:rPr>
          <w:rFonts w:ascii="宋体" w:hAnsi="宋体"/>
          <w:color w:val="000000"/>
          <w:szCs w:val="21"/>
        </w:rPr>
      </w:pPr>
      <w:r>
        <w:rPr>
          <w:rFonts w:hint="eastAsia" w:ascii="宋体" w:hAnsi="宋体"/>
          <w:color w:val="000000"/>
          <w:szCs w:val="21"/>
        </w:rPr>
        <w:t>说明：</w:t>
      </w:r>
    </w:p>
    <w:p w14:paraId="5E6792BB">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6C77AD1F">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3D3FEE31">
      <w:pPr>
        <w:pStyle w:val="8"/>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51956C43">
      <w:pPr>
        <w:pStyle w:val="8"/>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623C0EEF">
      <w:pPr>
        <w:pStyle w:val="8"/>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62730BCF">
      <w:pPr>
        <w:spacing w:line="360" w:lineRule="auto"/>
        <w:jc w:val="left"/>
        <w:rPr>
          <w:rFonts w:hAnsi="宋体"/>
          <w:color w:val="000000"/>
          <w:szCs w:val="21"/>
        </w:rPr>
      </w:pPr>
    </w:p>
    <w:p w14:paraId="26938E50">
      <w:pPr>
        <w:spacing w:line="360" w:lineRule="auto"/>
        <w:jc w:val="left"/>
        <w:rPr>
          <w:rFonts w:hAnsi="宋体"/>
          <w:color w:val="000000"/>
          <w:szCs w:val="21"/>
        </w:rPr>
      </w:pPr>
    </w:p>
    <w:p w14:paraId="7470174F">
      <w:pPr>
        <w:spacing w:line="360" w:lineRule="auto"/>
        <w:jc w:val="left"/>
        <w:rPr>
          <w:rFonts w:hAnsi="宋体"/>
          <w:color w:val="000000"/>
          <w:szCs w:val="21"/>
        </w:rPr>
      </w:pPr>
    </w:p>
    <w:p w14:paraId="55C12878">
      <w:pPr>
        <w:spacing w:line="360" w:lineRule="auto"/>
        <w:jc w:val="left"/>
        <w:rPr>
          <w:rFonts w:hAnsi="宋体"/>
          <w:color w:val="000000"/>
          <w:szCs w:val="21"/>
        </w:rPr>
      </w:pPr>
    </w:p>
    <w:p w14:paraId="7A68F94D">
      <w:pPr>
        <w:spacing w:line="360" w:lineRule="auto"/>
        <w:jc w:val="left"/>
        <w:rPr>
          <w:rFonts w:hAnsi="宋体"/>
          <w:color w:val="000000"/>
          <w:szCs w:val="21"/>
        </w:rPr>
      </w:pPr>
    </w:p>
    <w:p w14:paraId="4AF3447A">
      <w:pPr>
        <w:spacing w:line="360" w:lineRule="auto"/>
        <w:jc w:val="left"/>
        <w:rPr>
          <w:rFonts w:hAnsi="宋体"/>
          <w:color w:val="000000"/>
          <w:szCs w:val="21"/>
        </w:rPr>
      </w:pPr>
    </w:p>
    <w:p w14:paraId="54F7E2C3">
      <w:pPr>
        <w:spacing w:line="360" w:lineRule="auto"/>
        <w:jc w:val="left"/>
        <w:rPr>
          <w:rFonts w:hint="eastAsia" w:ascii="宋体" w:hAnsi="宋体"/>
          <w:b/>
          <w:sz w:val="24"/>
        </w:rPr>
      </w:pPr>
    </w:p>
    <w:p w14:paraId="6FA0C9D7">
      <w:pPr>
        <w:spacing w:line="360" w:lineRule="auto"/>
        <w:jc w:val="left"/>
        <w:rPr>
          <w:rFonts w:hint="eastAsia" w:ascii="宋体" w:hAnsi="宋体"/>
          <w:b/>
          <w:sz w:val="24"/>
        </w:rPr>
      </w:pPr>
    </w:p>
    <w:p w14:paraId="235425F1">
      <w:pPr>
        <w:spacing w:line="360" w:lineRule="auto"/>
        <w:jc w:val="left"/>
        <w:rPr>
          <w:rFonts w:hint="eastAsia" w:ascii="宋体" w:hAnsi="宋体"/>
          <w:b/>
          <w:sz w:val="24"/>
        </w:rPr>
      </w:pPr>
    </w:p>
    <w:p w14:paraId="5D975381">
      <w:pPr>
        <w:spacing w:line="360" w:lineRule="auto"/>
        <w:jc w:val="left"/>
        <w:rPr>
          <w:rFonts w:ascii="宋体" w:hAnsi="宋体"/>
          <w:b/>
          <w:sz w:val="24"/>
        </w:rPr>
      </w:pPr>
      <w:r>
        <w:rPr>
          <w:rFonts w:hint="eastAsia" w:ascii="宋体" w:hAnsi="宋体"/>
          <w:b/>
          <w:sz w:val="24"/>
        </w:rPr>
        <w:t>二、声明书（格式）</w:t>
      </w:r>
    </w:p>
    <w:p w14:paraId="021D02F4">
      <w:pPr>
        <w:spacing w:line="360" w:lineRule="auto"/>
        <w:jc w:val="center"/>
        <w:rPr>
          <w:rFonts w:ascii="宋体" w:hAnsi="宋体"/>
          <w:b/>
          <w:sz w:val="32"/>
          <w:szCs w:val="32"/>
        </w:rPr>
      </w:pPr>
      <w:r>
        <w:rPr>
          <w:rFonts w:hint="eastAsia" w:ascii="宋体" w:hAnsi="宋体"/>
          <w:b/>
          <w:sz w:val="32"/>
          <w:szCs w:val="32"/>
        </w:rPr>
        <w:t>声明书</w:t>
      </w:r>
    </w:p>
    <w:p w14:paraId="23E5B353">
      <w:pPr>
        <w:spacing w:line="320" w:lineRule="exact"/>
        <w:jc w:val="center"/>
        <w:rPr>
          <w:rFonts w:ascii="宋体" w:hAnsi="宋体"/>
          <w:sz w:val="24"/>
          <w:szCs w:val="20"/>
        </w:rPr>
      </w:pPr>
    </w:p>
    <w:p w14:paraId="5F6D488D">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59084A39">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25D9A975">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A82D6C3">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189573C5">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08BB6580">
      <w:pPr>
        <w:spacing w:line="360" w:lineRule="auto"/>
        <w:contextualSpacing/>
        <w:rPr>
          <w:rFonts w:ascii="宋体" w:hAnsi="宋体"/>
          <w:szCs w:val="21"/>
        </w:rPr>
      </w:pPr>
      <w:r>
        <w:rPr>
          <w:rFonts w:hint="eastAsia" w:ascii="宋体" w:hAnsi="宋体"/>
          <w:szCs w:val="21"/>
        </w:rPr>
        <w:t>3.在此，我方宣布同意如下：</w:t>
      </w:r>
    </w:p>
    <w:p w14:paraId="56560E08">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r>
        <w:rPr>
          <w:rFonts w:hint="eastAsia" w:ascii="宋体" w:hAnsi="宋体"/>
          <w:szCs w:val="21"/>
        </w:rPr>
        <w:t>将按采购文件的约定履行合同责任和义务；</w:t>
      </w:r>
    </w:p>
    <w:p w14:paraId="3C522F2B">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r>
        <w:rPr>
          <w:rFonts w:hint="eastAsia" w:ascii="宋体" w:hAnsi="宋体"/>
          <w:szCs w:val="21"/>
        </w:rPr>
        <w:t>已详细审查</w:t>
      </w:r>
      <w:r>
        <w:rPr>
          <w:rFonts w:hint="eastAsia" w:ascii="宋体" w:hAnsi="宋体"/>
          <w:color w:val="011CBF"/>
          <w:szCs w:val="21"/>
        </w:rPr>
        <w:t>全部响应文件</w:t>
      </w:r>
      <w:r>
        <w:rPr>
          <w:rFonts w:hint="eastAsia" w:ascii="宋体" w:hAnsi="宋体"/>
          <w:szCs w:val="21"/>
        </w:rPr>
        <w:t>，包括补遗文件（如有）；</w:t>
      </w:r>
    </w:p>
    <w:p w14:paraId="76360FF5">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3</w:t>
      </w:r>
      <w:r>
        <w:rPr>
          <w:rFonts w:hint="eastAsia" w:ascii="宋体" w:hAnsi="宋体"/>
          <w:szCs w:val="21"/>
          <w:lang w:eastAsia="zh-CN"/>
        </w:rPr>
        <w:t>）</w:t>
      </w:r>
      <w:r>
        <w:rPr>
          <w:rFonts w:hint="eastAsia" w:ascii="宋体" w:hAnsi="宋体"/>
          <w:szCs w:val="21"/>
        </w:rPr>
        <w:t>同意提供按照贵方可能要求的与项目有关的一切数据或资料；</w:t>
      </w:r>
    </w:p>
    <w:p w14:paraId="641BE7AB">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4</w:t>
      </w:r>
      <w:r>
        <w:rPr>
          <w:rFonts w:hint="eastAsia" w:ascii="宋体" w:hAnsi="宋体"/>
          <w:szCs w:val="21"/>
          <w:lang w:eastAsia="zh-CN"/>
        </w:rPr>
        <w:t>）</w:t>
      </w:r>
      <w:r>
        <w:rPr>
          <w:rFonts w:hint="eastAsia" w:ascii="宋体" w:hAnsi="宋体"/>
          <w:szCs w:val="21"/>
        </w:rPr>
        <w:t>响应采购文件规定的竞标有效期。</w:t>
      </w:r>
    </w:p>
    <w:p w14:paraId="7F5EE04D">
      <w:pPr>
        <w:spacing w:line="360" w:lineRule="auto"/>
        <w:contextualSpacing/>
        <w:rPr>
          <w:rFonts w:ascii="宋体" w:hAnsi="宋体"/>
          <w:szCs w:val="21"/>
        </w:rPr>
      </w:pPr>
      <w:r>
        <w:rPr>
          <w:rFonts w:hint="eastAsia" w:ascii="宋体" w:hAnsi="宋体"/>
          <w:szCs w:val="21"/>
        </w:rPr>
        <w:t>4.我方承诺:</w:t>
      </w:r>
    </w:p>
    <w:p w14:paraId="104C10F0">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92DC2C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6DCA58D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1D5B9E1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2241D13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767D87C">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7E775B7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0672170E">
      <w:pPr>
        <w:spacing w:line="360" w:lineRule="auto"/>
        <w:contextualSpacing/>
        <w:rPr>
          <w:rFonts w:ascii="宋体" w:hAnsi="宋体"/>
          <w:szCs w:val="21"/>
        </w:rPr>
      </w:pPr>
      <w:r>
        <w:rPr>
          <w:rFonts w:hint="eastAsia" w:ascii="宋体" w:hAnsi="宋体"/>
          <w:szCs w:val="21"/>
        </w:rPr>
        <w:t>（2）我公司无下列相互串通投标的情形：</w:t>
      </w:r>
    </w:p>
    <w:p w14:paraId="2605E3C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6F7E18D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284363B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62DCD70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5F8A789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5276EF8F">
      <w:pPr>
        <w:spacing w:line="360" w:lineRule="auto"/>
        <w:contextualSpacing/>
        <w:rPr>
          <w:rFonts w:ascii="宋体" w:hAnsi="宋体"/>
          <w:szCs w:val="21"/>
        </w:rPr>
      </w:pPr>
      <w:r>
        <w:rPr>
          <w:rFonts w:hint="eastAsia" w:ascii="宋体" w:hAnsi="宋体"/>
          <w:szCs w:val="21"/>
        </w:rPr>
        <w:t>（3）我公司承诺无下列恶意串通的情形：</w:t>
      </w:r>
    </w:p>
    <w:p w14:paraId="73F5C48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6874812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3AFD50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752B2FB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443D941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06059AF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2CA4D23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3FEC6965">
      <w:pPr>
        <w:spacing w:line="360" w:lineRule="auto"/>
        <w:contextualSpacing/>
        <w:rPr>
          <w:rFonts w:ascii="宋体" w:hAnsi="宋体"/>
          <w:szCs w:val="21"/>
        </w:rPr>
      </w:pPr>
      <w:r>
        <w:rPr>
          <w:rFonts w:hint="eastAsia" w:ascii="宋体" w:hAnsi="宋体"/>
          <w:szCs w:val="21"/>
        </w:rPr>
        <w:t>5.我方在此声明：</w:t>
      </w:r>
    </w:p>
    <w:p w14:paraId="3C3D352E">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7F60A96">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1EDDD99F">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746C4E0F">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FBF5557">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0EBD34D5">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7249CA15">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5797766F">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3DAA922E">
      <w:pPr>
        <w:tabs>
          <w:tab w:val="left" w:pos="939"/>
        </w:tabs>
        <w:spacing w:line="360" w:lineRule="auto"/>
        <w:ind w:left="140" w:leftChars="67"/>
        <w:contextualSpacing/>
        <w:rPr>
          <w:rFonts w:ascii="宋体" w:hAnsi="宋体"/>
          <w:szCs w:val="21"/>
        </w:rPr>
      </w:pPr>
    </w:p>
    <w:p w14:paraId="5B251910">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518D2C20">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765CC248">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52509426">
      <w:pPr>
        <w:snapToGrid w:val="0"/>
        <w:spacing w:before="156" w:after="50"/>
        <w:ind w:left="420"/>
        <w:jc w:val="center"/>
        <w:rPr>
          <w:rFonts w:ascii="宋体" w:hAnsi="宋体"/>
          <w:b/>
          <w:sz w:val="24"/>
        </w:rPr>
      </w:pPr>
    </w:p>
    <w:p w14:paraId="5E25D49D">
      <w:pPr>
        <w:spacing w:line="400" w:lineRule="exact"/>
        <w:rPr>
          <w:rFonts w:ascii="宋体" w:hAnsi="宋体"/>
          <w:sz w:val="28"/>
          <w:szCs w:val="28"/>
        </w:rPr>
      </w:pPr>
      <w:r>
        <w:rPr>
          <w:rFonts w:hint="eastAsia" w:ascii="宋体" w:hAnsi="宋体"/>
          <w:sz w:val="28"/>
          <w:szCs w:val="28"/>
        </w:rPr>
        <w:t xml:space="preserve">  </w:t>
      </w:r>
    </w:p>
    <w:p w14:paraId="622A095E">
      <w:pPr>
        <w:spacing w:line="400" w:lineRule="exact"/>
        <w:rPr>
          <w:rFonts w:ascii="宋体" w:hAnsi="宋体"/>
          <w:sz w:val="28"/>
          <w:szCs w:val="28"/>
        </w:rPr>
      </w:pPr>
    </w:p>
    <w:p w14:paraId="047C60A3">
      <w:pPr>
        <w:spacing w:line="400" w:lineRule="exact"/>
        <w:rPr>
          <w:rFonts w:ascii="宋体" w:hAnsi="宋体"/>
          <w:b/>
          <w:sz w:val="24"/>
        </w:rPr>
      </w:pPr>
      <w:r>
        <w:rPr>
          <w:rFonts w:hint="eastAsia" w:ascii="宋体" w:hAnsi="宋体"/>
          <w:b/>
          <w:sz w:val="24"/>
        </w:rPr>
        <w:t>三、响应及偏离情况说明表</w:t>
      </w:r>
      <w:r>
        <w:rPr>
          <w:rFonts w:hint="eastAsia" w:ascii="宋体" w:hAnsi="宋体" w:eastAsia="宋体" w:cs="Times New Roman"/>
          <w:b/>
          <w:sz w:val="24"/>
        </w:rPr>
        <w:t>（格式）</w:t>
      </w:r>
    </w:p>
    <w:p w14:paraId="529B12F4">
      <w:pPr>
        <w:spacing w:line="400" w:lineRule="exact"/>
        <w:rPr>
          <w:rFonts w:ascii="宋体" w:hAnsi="宋体"/>
          <w:b/>
          <w:sz w:val="32"/>
          <w:szCs w:val="32"/>
        </w:rPr>
      </w:pPr>
    </w:p>
    <w:p w14:paraId="3998D6B0">
      <w:pPr>
        <w:spacing w:line="400" w:lineRule="exact"/>
        <w:jc w:val="center"/>
        <w:rPr>
          <w:rFonts w:ascii="宋体" w:hAnsi="宋体"/>
          <w:b/>
          <w:sz w:val="36"/>
          <w:szCs w:val="36"/>
        </w:rPr>
      </w:pPr>
      <w:r>
        <w:rPr>
          <w:rFonts w:hint="eastAsia" w:ascii="宋体" w:hAnsi="宋体"/>
          <w:b/>
          <w:sz w:val="36"/>
          <w:szCs w:val="36"/>
        </w:rPr>
        <w:t>响应及偏离情况说明表</w:t>
      </w:r>
    </w:p>
    <w:p w14:paraId="6514823C">
      <w:pPr>
        <w:pStyle w:val="9"/>
        <w:spacing w:line="400" w:lineRule="exact"/>
        <w:ind w:firstLine="606" w:firstLineChars="300"/>
        <w:rPr>
          <w:rFonts w:hAnsi="宋体"/>
          <w:sz w:val="21"/>
          <w:szCs w:val="21"/>
        </w:rPr>
      </w:pPr>
    </w:p>
    <w:p w14:paraId="4AA422CE">
      <w:pPr>
        <w:pStyle w:val="9"/>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0114D217">
      <w:pPr>
        <w:spacing w:line="400" w:lineRule="exact"/>
        <w:rPr>
          <w:rFonts w:ascii="宋体" w:hAnsi="宋体"/>
          <w:szCs w:val="21"/>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1508CAA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2C89D194">
            <w:pPr>
              <w:snapToGrid w:val="0"/>
              <w:spacing w:line="400" w:lineRule="exact"/>
              <w:jc w:val="center"/>
              <w:outlineLvl w:val="0"/>
              <w:rPr>
                <w:rFonts w:ascii="宋体" w:hAnsi="宋体"/>
                <w:szCs w:val="21"/>
              </w:rPr>
            </w:pPr>
            <w:bookmarkStart w:id="6" w:name="_Toc9474"/>
            <w:bookmarkStart w:id="7" w:name="_Toc173211900"/>
            <w:bookmarkStart w:id="8" w:name="_Toc254970729"/>
            <w:bookmarkStart w:id="9" w:name="_Toc4675"/>
            <w:bookmarkStart w:id="10" w:name="_Toc254970588"/>
            <w:bookmarkStart w:id="11" w:name="_Toc66377101"/>
            <w:bookmarkStart w:id="12" w:name="_Toc173066401"/>
            <w:bookmarkStart w:id="13" w:name="_Toc31215"/>
            <w:bookmarkStart w:id="14" w:name="_Toc30065"/>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46570A2F">
            <w:pPr>
              <w:snapToGrid w:val="0"/>
              <w:spacing w:line="400" w:lineRule="exact"/>
              <w:jc w:val="center"/>
              <w:outlineLvl w:val="0"/>
              <w:rPr>
                <w:rFonts w:ascii="宋体" w:hAnsi="宋体"/>
                <w:szCs w:val="21"/>
              </w:rPr>
            </w:pPr>
            <w:bookmarkStart w:id="15" w:name="_Toc28242"/>
            <w:bookmarkStart w:id="16" w:name="_Toc21191"/>
            <w:bookmarkStart w:id="17" w:name="_Toc254970730"/>
            <w:bookmarkStart w:id="18" w:name="_Toc66377102"/>
            <w:bookmarkStart w:id="19" w:name="_Toc14333"/>
            <w:bookmarkStart w:id="20" w:name="_Toc173211901"/>
            <w:bookmarkStart w:id="21" w:name="_Toc20462"/>
            <w:bookmarkStart w:id="22" w:name="_Toc254970589"/>
            <w:bookmarkStart w:id="23" w:name="_Toc17306640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7F052612">
            <w:pPr>
              <w:snapToGrid w:val="0"/>
              <w:spacing w:line="400" w:lineRule="exact"/>
              <w:jc w:val="center"/>
              <w:outlineLvl w:val="0"/>
              <w:rPr>
                <w:rFonts w:ascii="宋体" w:hAnsi="宋体"/>
                <w:szCs w:val="21"/>
              </w:rPr>
            </w:pPr>
            <w:bookmarkStart w:id="24" w:name="_Toc254970590"/>
            <w:bookmarkStart w:id="25" w:name="_Toc254970731"/>
            <w:bookmarkStart w:id="26" w:name="_Toc29566"/>
            <w:bookmarkStart w:id="27" w:name="_Toc12746"/>
            <w:bookmarkStart w:id="28" w:name="_Toc17539"/>
            <w:bookmarkStart w:id="29" w:name="_Toc173066403"/>
            <w:bookmarkStart w:id="30" w:name="_Toc173211902"/>
            <w:bookmarkStart w:id="31" w:name="_Toc66377103"/>
            <w:bookmarkStart w:id="32" w:name="_Toc2627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7DA9D0CE">
            <w:pPr>
              <w:snapToGrid w:val="0"/>
              <w:spacing w:line="400" w:lineRule="exact"/>
              <w:jc w:val="center"/>
              <w:outlineLvl w:val="0"/>
              <w:rPr>
                <w:rFonts w:hint="eastAsia" w:ascii="宋体" w:hAnsi="宋体" w:eastAsia="宋体"/>
                <w:szCs w:val="21"/>
                <w:lang w:eastAsia="zh-CN"/>
              </w:rPr>
            </w:pPr>
            <w:bookmarkStart w:id="33" w:name="_Toc173211903"/>
            <w:bookmarkStart w:id="34" w:name="_Toc16085"/>
            <w:bookmarkStart w:id="35" w:name="_Toc254970732"/>
            <w:bookmarkStart w:id="36" w:name="_Toc173066404"/>
            <w:bookmarkStart w:id="37" w:name="_Toc30043"/>
            <w:bookmarkStart w:id="38" w:name="_Toc11968"/>
            <w:bookmarkStart w:id="39" w:name="_Toc66377104"/>
            <w:bookmarkStart w:id="40" w:name="_Toc7045"/>
            <w:bookmarkStart w:id="41" w:name="_Toc254970591"/>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lang w:eastAsia="zh-CN"/>
              </w:rPr>
              <w:t>情况</w:t>
            </w:r>
          </w:p>
        </w:tc>
        <w:tc>
          <w:tcPr>
            <w:tcW w:w="1396" w:type="dxa"/>
            <w:vAlign w:val="center"/>
          </w:tcPr>
          <w:p w14:paraId="1135215F">
            <w:pPr>
              <w:snapToGrid w:val="0"/>
              <w:spacing w:line="400" w:lineRule="exact"/>
              <w:jc w:val="center"/>
              <w:outlineLvl w:val="0"/>
              <w:rPr>
                <w:rFonts w:ascii="宋体" w:hAnsi="宋体"/>
                <w:szCs w:val="21"/>
              </w:rPr>
            </w:pPr>
            <w:bookmarkStart w:id="42" w:name="_Toc21600"/>
            <w:bookmarkStart w:id="43" w:name="_Toc66377105"/>
            <w:bookmarkStart w:id="44" w:name="_Toc6199"/>
            <w:bookmarkStart w:id="45" w:name="_Toc17699"/>
            <w:bookmarkStart w:id="46" w:name="_Toc254970592"/>
            <w:bookmarkStart w:id="47" w:name="_Toc254970733"/>
            <w:bookmarkStart w:id="48" w:name="_Toc18083"/>
            <w:bookmarkStart w:id="49" w:name="_Toc173066405"/>
            <w:bookmarkStart w:id="50" w:name="_Toc173211904"/>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682944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46EB96AC">
            <w:pPr>
              <w:snapToGrid w:val="0"/>
              <w:spacing w:line="400" w:lineRule="exact"/>
              <w:jc w:val="center"/>
              <w:outlineLvl w:val="0"/>
              <w:rPr>
                <w:rFonts w:ascii="宋体" w:hAnsi="宋体"/>
                <w:szCs w:val="21"/>
              </w:rPr>
            </w:pPr>
            <w:bookmarkStart w:id="51" w:name="_Toc837"/>
            <w:bookmarkStart w:id="52" w:name="_Toc17552"/>
            <w:bookmarkStart w:id="53" w:name="_Toc173211905"/>
            <w:bookmarkStart w:id="54" w:name="_Toc66377106"/>
            <w:bookmarkStart w:id="55" w:name="_Toc254970593"/>
            <w:bookmarkStart w:id="56" w:name="_Toc28619"/>
            <w:bookmarkStart w:id="57" w:name="_Toc21677"/>
            <w:bookmarkStart w:id="58" w:name="_Toc254970734"/>
            <w:bookmarkStart w:id="59" w:name="_Toc173066406"/>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45B27F36">
            <w:pPr>
              <w:snapToGrid w:val="0"/>
              <w:spacing w:line="400" w:lineRule="exact"/>
              <w:jc w:val="center"/>
              <w:rPr>
                <w:rFonts w:ascii="宋体" w:hAnsi="宋体"/>
                <w:szCs w:val="21"/>
              </w:rPr>
            </w:pPr>
          </w:p>
        </w:tc>
        <w:tc>
          <w:tcPr>
            <w:tcW w:w="2514" w:type="dxa"/>
            <w:vAlign w:val="center"/>
          </w:tcPr>
          <w:p w14:paraId="725DC3D8">
            <w:pPr>
              <w:snapToGrid w:val="0"/>
              <w:spacing w:line="400" w:lineRule="exact"/>
              <w:jc w:val="center"/>
              <w:rPr>
                <w:rFonts w:ascii="宋体" w:hAnsi="宋体"/>
                <w:szCs w:val="21"/>
              </w:rPr>
            </w:pPr>
          </w:p>
        </w:tc>
        <w:tc>
          <w:tcPr>
            <w:tcW w:w="1571" w:type="dxa"/>
            <w:vAlign w:val="center"/>
          </w:tcPr>
          <w:p w14:paraId="55A5AE20">
            <w:pPr>
              <w:snapToGrid w:val="0"/>
              <w:spacing w:line="400" w:lineRule="exact"/>
              <w:jc w:val="center"/>
              <w:rPr>
                <w:rFonts w:ascii="宋体" w:hAnsi="宋体"/>
                <w:szCs w:val="21"/>
              </w:rPr>
            </w:pPr>
          </w:p>
        </w:tc>
        <w:tc>
          <w:tcPr>
            <w:tcW w:w="1396" w:type="dxa"/>
            <w:vAlign w:val="center"/>
          </w:tcPr>
          <w:p w14:paraId="54A06074">
            <w:pPr>
              <w:snapToGrid w:val="0"/>
              <w:spacing w:line="400" w:lineRule="exact"/>
              <w:jc w:val="center"/>
              <w:rPr>
                <w:rFonts w:ascii="宋体" w:hAnsi="宋体"/>
                <w:szCs w:val="21"/>
              </w:rPr>
            </w:pPr>
          </w:p>
        </w:tc>
      </w:tr>
      <w:tr w14:paraId="1D714AE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CBE2C52">
            <w:pPr>
              <w:snapToGrid w:val="0"/>
              <w:spacing w:line="400" w:lineRule="exact"/>
              <w:jc w:val="center"/>
              <w:outlineLvl w:val="0"/>
              <w:rPr>
                <w:rFonts w:ascii="宋体" w:hAnsi="宋体"/>
                <w:szCs w:val="21"/>
              </w:rPr>
            </w:pPr>
            <w:bookmarkStart w:id="60" w:name="_Toc66377107"/>
            <w:bookmarkStart w:id="61" w:name="_Toc26028"/>
            <w:bookmarkStart w:id="62" w:name="_Toc254970594"/>
            <w:bookmarkStart w:id="63" w:name="_Toc4586"/>
            <w:bookmarkStart w:id="64" w:name="_Toc28313"/>
            <w:bookmarkStart w:id="65" w:name="_Toc15385"/>
            <w:bookmarkStart w:id="66" w:name="_Toc254970735"/>
            <w:bookmarkStart w:id="67" w:name="_Toc173066407"/>
            <w:bookmarkStart w:id="68" w:name="_Toc17321190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264E891F">
            <w:pPr>
              <w:snapToGrid w:val="0"/>
              <w:spacing w:line="400" w:lineRule="exact"/>
              <w:jc w:val="center"/>
              <w:rPr>
                <w:rFonts w:ascii="宋体" w:hAnsi="宋体"/>
                <w:szCs w:val="21"/>
              </w:rPr>
            </w:pPr>
          </w:p>
        </w:tc>
        <w:tc>
          <w:tcPr>
            <w:tcW w:w="2514" w:type="dxa"/>
            <w:vAlign w:val="center"/>
          </w:tcPr>
          <w:p w14:paraId="759F4F74">
            <w:pPr>
              <w:snapToGrid w:val="0"/>
              <w:spacing w:line="400" w:lineRule="exact"/>
              <w:jc w:val="center"/>
              <w:rPr>
                <w:rFonts w:ascii="宋体" w:hAnsi="宋体"/>
                <w:szCs w:val="21"/>
              </w:rPr>
            </w:pPr>
          </w:p>
        </w:tc>
        <w:tc>
          <w:tcPr>
            <w:tcW w:w="1571" w:type="dxa"/>
            <w:vAlign w:val="center"/>
          </w:tcPr>
          <w:p w14:paraId="1D48DFA6">
            <w:pPr>
              <w:snapToGrid w:val="0"/>
              <w:spacing w:line="400" w:lineRule="exact"/>
              <w:jc w:val="center"/>
              <w:rPr>
                <w:rFonts w:ascii="宋体" w:hAnsi="宋体"/>
                <w:szCs w:val="21"/>
              </w:rPr>
            </w:pPr>
          </w:p>
        </w:tc>
        <w:tc>
          <w:tcPr>
            <w:tcW w:w="1396" w:type="dxa"/>
            <w:vAlign w:val="center"/>
          </w:tcPr>
          <w:p w14:paraId="4E2ACE3E">
            <w:pPr>
              <w:snapToGrid w:val="0"/>
              <w:spacing w:line="400" w:lineRule="exact"/>
              <w:jc w:val="center"/>
              <w:rPr>
                <w:rFonts w:ascii="宋体" w:hAnsi="宋体"/>
                <w:szCs w:val="21"/>
              </w:rPr>
            </w:pPr>
          </w:p>
        </w:tc>
      </w:tr>
      <w:tr w14:paraId="3FE7964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0455111">
            <w:pPr>
              <w:snapToGrid w:val="0"/>
              <w:spacing w:line="400" w:lineRule="exact"/>
              <w:jc w:val="center"/>
              <w:outlineLvl w:val="0"/>
              <w:rPr>
                <w:rFonts w:ascii="宋体" w:hAnsi="宋体"/>
                <w:szCs w:val="21"/>
              </w:rPr>
            </w:pPr>
            <w:bookmarkStart w:id="69" w:name="_Toc28990"/>
            <w:bookmarkStart w:id="70" w:name="_Toc16172"/>
            <w:bookmarkStart w:id="71" w:name="_Toc30564"/>
            <w:bookmarkStart w:id="72" w:name="_Toc254970736"/>
            <w:bookmarkStart w:id="73" w:name="_Toc66377108"/>
            <w:bookmarkStart w:id="74" w:name="_Toc173066408"/>
            <w:bookmarkStart w:id="75" w:name="_Toc16103"/>
            <w:bookmarkStart w:id="76" w:name="_Toc173211907"/>
            <w:bookmarkStart w:id="77" w:name="_Toc254970595"/>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1B97F858">
            <w:pPr>
              <w:snapToGrid w:val="0"/>
              <w:spacing w:line="400" w:lineRule="exact"/>
              <w:jc w:val="center"/>
              <w:rPr>
                <w:rFonts w:ascii="宋体" w:hAnsi="宋体"/>
                <w:szCs w:val="21"/>
              </w:rPr>
            </w:pPr>
          </w:p>
        </w:tc>
        <w:tc>
          <w:tcPr>
            <w:tcW w:w="2514" w:type="dxa"/>
            <w:vAlign w:val="center"/>
          </w:tcPr>
          <w:p w14:paraId="31595F7D">
            <w:pPr>
              <w:snapToGrid w:val="0"/>
              <w:spacing w:line="400" w:lineRule="exact"/>
              <w:jc w:val="center"/>
              <w:rPr>
                <w:rFonts w:ascii="宋体" w:hAnsi="宋体"/>
                <w:szCs w:val="21"/>
              </w:rPr>
            </w:pPr>
          </w:p>
        </w:tc>
        <w:tc>
          <w:tcPr>
            <w:tcW w:w="1571" w:type="dxa"/>
            <w:vAlign w:val="center"/>
          </w:tcPr>
          <w:p w14:paraId="7359EA5A">
            <w:pPr>
              <w:snapToGrid w:val="0"/>
              <w:spacing w:line="400" w:lineRule="exact"/>
              <w:jc w:val="center"/>
              <w:rPr>
                <w:rFonts w:ascii="宋体" w:hAnsi="宋体"/>
                <w:szCs w:val="21"/>
              </w:rPr>
            </w:pPr>
          </w:p>
        </w:tc>
        <w:tc>
          <w:tcPr>
            <w:tcW w:w="1396" w:type="dxa"/>
            <w:vAlign w:val="center"/>
          </w:tcPr>
          <w:p w14:paraId="2F64C878">
            <w:pPr>
              <w:snapToGrid w:val="0"/>
              <w:spacing w:line="400" w:lineRule="exact"/>
              <w:jc w:val="center"/>
              <w:rPr>
                <w:rFonts w:ascii="宋体" w:hAnsi="宋体"/>
                <w:szCs w:val="21"/>
              </w:rPr>
            </w:pPr>
          </w:p>
        </w:tc>
      </w:tr>
      <w:tr w14:paraId="754A63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563435A">
            <w:pPr>
              <w:snapToGrid w:val="0"/>
              <w:spacing w:line="400" w:lineRule="exact"/>
              <w:jc w:val="center"/>
              <w:outlineLvl w:val="0"/>
              <w:rPr>
                <w:rFonts w:ascii="宋体" w:hAnsi="宋体"/>
                <w:szCs w:val="21"/>
              </w:rPr>
            </w:pPr>
            <w:bookmarkStart w:id="78" w:name="_Toc20199"/>
            <w:bookmarkStart w:id="79" w:name="_Toc12641"/>
            <w:bookmarkStart w:id="80" w:name="_Toc2236"/>
            <w:bookmarkStart w:id="81" w:name="_Toc66377109"/>
            <w:bookmarkStart w:id="82" w:name="_Toc2580"/>
            <w:r>
              <w:rPr>
                <w:rFonts w:hint="eastAsia" w:ascii="宋体" w:hAnsi="宋体"/>
                <w:szCs w:val="21"/>
              </w:rPr>
              <w:t>4</w:t>
            </w:r>
            <w:bookmarkEnd w:id="78"/>
            <w:bookmarkEnd w:id="79"/>
            <w:bookmarkEnd w:id="80"/>
            <w:bookmarkEnd w:id="81"/>
            <w:bookmarkEnd w:id="82"/>
          </w:p>
        </w:tc>
        <w:tc>
          <w:tcPr>
            <w:tcW w:w="3483" w:type="dxa"/>
            <w:vAlign w:val="center"/>
          </w:tcPr>
          <w:p w14:paraId="59423BB3">
            <w:pPr>
              <w:snapToGrid w:val="0"/>
              <w:spacing w:line="400" w:lineRule="exact"/>
              <w:jc w:val="center"/>
              <w:rPr>
                <w:rFonts w:ascii="宋体" w:hAnsi="宋体"/>
                <w:szCs w:val="21"/>
              </w:rPr>
            </w:pPr>
          </w:p>
        </w:tc>
        <w:tc>
          <w:tcPr>
            <w:tcW w:w="2514" w:type="dxa"/>
            <w:vAlign w:val="center"/>
          </w:tcPr>
          <w:p w14:paraId="1C410AE0">
            <w:pPr>
              <w:snapToGrid w:val="0"/>
              <w:spacing w:line="400" w:lineRule="exact"/>
              <w:jc w:val="center"/>
              <w:rPr>
                <w:rFonts w:ascii="宋体" w:hAnsi="宋体"/>
                <w:szCs w:val="21"/>
              </w:rPr>
            </w:pPr>
          </w:p>
        </w:tc>
        <w:tc>
          <w:tcPr>
            <w:tcW w:w="1571" w:type="dxa"/>
            <w:vAlign w:val="center"/>
          </w:tcPr>
          <w:p w14:paraId="117D80A5">
            <w:pPr>
              <w:snapToGrid w:val="0"/>
              <w:spacing w:line="400" w:lineRule="exact"/>
              <w:jc w:val="center"/>
              <w:rPr>
                <w:rFonts w:ascii="宋体" w:hAnsi="宋体"/>
                <w:szCs w:val="21"/>
              </w:rPr>
            </w:pPr>
          </w:p>
        </w:tc>
        <w:tc>
          <w:tcPr>
            <w:tcW w:w="1396" w:type="dxa"/>
            <w:vAlign w:val="center"/>
          </w:tcPr>
          <w:p w14:paraId="2913CD8D">
            <w:pPr>
              <w:snapToGrid w:val="0"/>
              <w:spacing w:line="400" w:lineRule="exact"/>
              <w:jc w:val="center"/>
              <w:rPr>
                <w:rFonts w:ascii="宋体" w:hAnsi="宋体"/>
                <w:szCs w:val="21"/>
              </w:rPr>
            </w:pPr>
          </w:p>
        </w:tc>
      </w:tr>
      <w:tr w14:paraId="7DC0F59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2F7E5D0">
            <w:pPr>
              <w:snapToGrid w:val="0"/>
              <w:spacing w:line="400" w:lineRule="exact"/>
              <w:jc w:val="center"/>
              <w:outlineLvl w:val="0"/>
              <w:rPr>
                <w:rFonts w:ascii="宋体" w:hAnsi="宋体"/>
                <w:szCs w:val="21"/>
              </w:rPr>
            </w:pPr>
            <w:bookmarkStart w:id="83" w:name="_Toc10300"/>
            <w:bookmarkStart w:id="84" w:name="_Toc17272"/>
            <w:bookmarkStart w:id="85" w:name="_Toc31774"/>
            <w:bookmarkStart w:id="86" w:name="_Toc66377110"/>
            <w:bookmarkStart w:id="87" w:name="_Toc4832"/>
            <w:r>
              <w:rPr>
                <w:rFonts w:hint="eastAsia" w:ascii="宋体" w:hAnsi="宋体"/>
                <w:szCs w:val="21"/>
              </w:rPr>
              <w:t>5</w:t>
            </w:r>
            <w:bookmarkEnd w:id="83"/>
            <w:bookmarkEnd w:id="84"/>
            <w:bookmarkEnd w:id="85"/>
            <w:bookmarkEnd w:id="86"/>
            <w:bookmarkEnd w:id="87"/>
          </w:p>
        </w:tc>
        <w:tc>
          <w:tcPr>
            <w:tcW w:w="3483" w:type="dxa"/>
            <w:vAlign w:val="center"/>
          </w:tcPr>
          <w:p w14:paraId="6CBB1189">
            <w:pPr>
              <w:snapToGrid w:val="0"/>
              <w:spacing w:line="400" w:lineRule="exact"/>
              <w:jc w:val="center"/>
              <w:rPr>
                <w:rFonts w:ascii="宋体" w:hAnsi="宋体"/>
                <w:szCs w:val="21"/>
              </w:rPr>
            </w:pPr>
          </w:p>
        </w:tc>
        <w:tc>
          <w:tcPr>
            <w:tcW w:w="2514" w:type="dxa"/>
            <w:vAlign w:val="center"/>
          </w:tcPr>
          <w:p w14:paraId="4C54290F">
            <w:pPr>
              <w:snapToGrid w:val="0"/>
              <w:spacing w:line="400" w:lineRule="exact"/>
              <w:jc w:val="center"/>
              <w:rPr>
                <w:rFonts w:ascii="宋体" w:hAnsi="宋体"/>
                <w:szCs w:val="21"/>
              </w:rPr>
            </w:pPr>
          </w:p>
        </w:tc>
        <w:tc>
          <w:tcPr>
            <w:tcW w:w="1571" w:type="dxa"/>
            <w:vAlign w:val="center"/>
          </w:tcPr>
          <w:p w14:paraId="3B48A494">
            <w:pPr>
              <w:snapToGrid w:val="0"/>
              <w:spacing w:line="400" w:lineRule="exact"/>
              <w:jc w:val="center"/>
              <w:rPr>
                <w:rFonts w:ascii="宋体" w:hAnsi="宋体"/>
                <w:szCs w:val="21"/>
              </w:rPr>
            </w:pPr>
          </w:p>
        </w:tc>
        <w:tc>
          <w:tcPr>
            <w:tcW w:w="1396" w:type="dxa"/>
            <w:vAlign w:val="center"/>
          </w:tcPr>
          <w:p w14:paraId="667FBFEF">
            <w:pPr>
              <w:snapToGrid w:val="0"/>
              <w:spacing w:line="400" w:lineRule="exact"/>
              <w:jc w:val="center"/>
              <w:rPr>
                <w:rFonts w:ascii="宋体" w:hAnsi="宋体"/>
                <w:szCs w:val="21"/>
              </w:rPr>
            </w:pPr>
          </w:p>
        </w:tc>
      </w:tr>
      <w:tr w14:paraId="2BD30A9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AD1040C">
            <w:pPr>
              <w:snapToGrid w:val="0"/>
              <w:spacing w:line="400" w:lineRule="exact"/>
              <w:jc w:val="center"/>
              <w:outlineLvl w:val="0"/>
              <w:rPr>
                <w:rFonts w:ascii="宋体" w:hAnsi="宋体"/>
                <w:szCs w:val="21"/>
              </w:rPr>
            </w:pPr>
            <w:bookmarkStart w:id="88" w:name="_Toc12136"/>
            <w:bookmarkStart w:id="89" w:name="_Toc66377111"/>
            <w:bookmarkStart w:id="90" w:name="_Toc31499"/>
            <w:bookmarkStart w:id="91" w:name="_Toc17802"/>
            <w:bookmarkStart w:id="92" w:name="_Toc254970743"/>
            <w:bookmarkStart w:id="93" w:name="_Toc109"/>
            <w:bookmarkStart w:id="94" w:name="_Toc254970602"/>
            <w:bookmarkStart w:id="95" w:name="_Toc173211914"/>
            <w:bookmarkStart w:id="96" w:name="_Toc173066415"/>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79A3D7A0">
            <w:pPr>
              <w:snapToGrid w:val="0"/>
              <w:spacing w:line="400" w:lineRule="exact"/>
              <w:jc w:val="center"/>
              <w:rPr>
                <w:rFonts w:ascii="宋体" w:hAnsi="宋体"/>
                <w:szCs w:val="21"/>
              </w:rPr>
            </w:pPr>
          </w:p>
        </w:tc>
        <w:tc>
          <w:tcPr>
            <w:tcW w:w="2514" w:type="dxa"/>
            <w:vAlign w:val="center"/>
          </w:tcPr>
          <w:p w14:paraId="26FD6206">
            <w:pPr>
              <w:snapToGrid w:val="0"/>
              <w:spacing w:line="400" w:lineRule="exact"/>
              <w:jc w:val="center"/>
              <w:rPr>
                <w:rFonts w:ascii="宋体" w:hAnsi="宋体"/>
                <w:szCs w:val="21"/>
              </w:rPr>
            </w:pPr>
          </w:p>
        </w:tc>
        <w:tc>
          <w:tcPr>
            <w:tcW w:w="1571" w:type="dxa"/>
            <w:vAlign w:val="center"/>
          </w:tcPr>
          <w:p w14:paraId="53946E76">
            <w:pPr>
              <w:snapToGrid w:val="0"/>
              <w:spacing w:line="400" w:lineRule="exact"/>
              <w:jc w:val="center"/>
              <w:rPr>
                <w:rFonts w:ascii="宋体" w:hAnsi="宋体"/>
                <w:szCs w:val="21"/>
              </w:rPr>
            </w:pPr>
          </w:p>
        </w:tc>
        <w:tc>
          <w:tcPr>
            <w:tcW w:w="1396" w:type="dxa"/>
            <w:vAlign w:val="center"/>
          </w:tcPr>
          <w:p w14:paraId="35E95E25">
            <w:pPr>
              <w:snapToGrid w:val="0"/>
              <w:spacing w:line="400" w:lineRule="exact"/>
              <w:jc w:val="center"/>
              <w:rPr>
                <w:rFonts w:ascii="宋体" w:hAnsi="宋体"/>
                <w:szCs w:val="21"/>
              </w:rPr>
            </w:pPr>
          </w:p>
        </w:tc>
      </w:tr>
    </w:tbl>
    <w:p w14:paraId="10CBBE0F">
      <w:pPr>
        <w:snapToGrid w:val="0"/>
        <w:spacing w:line="400" w:lineRule="exact"/>
        <w:rPr>
          <w:rFonts w:ascii="宋体" w:hAnsi="宋体"/>
          <w:szCs w:val="21"/>
        </w:rPr>
      </w:pPr>
    </w:p>
    <w:p w14:paraId="06DF8842">
      <w:pPr>
        <w:pStyle w:val="9"/>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4CB44909">
      <w:pPr>
        <w:pStyle w:val="8"/>
        <w:spacing w:line="400" w:lineRule="exact"/>
        <w:rPr>
          <w:rFonts w:hAnsi="宋体"/>
          <w:szCs w:val="21"/>
        </w:rPr>
      </w:pPr>
    </w:p>
    <w:p w14:paraId="4B940EBC">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FAABB0B">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101784E">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2791B4F0">
      <w:pPr>
        <w:spacing w:line="400" w:lineRule="exact"/>
        <w:rPr>
          <w:rFonts w:ascii="宋体" w:hAnsi="宋体"/>
          <w:sz w:val="28"/>
          <w:szCs w:val="28"/>
        </w:rPr>
      </w:pPr>
    </w:p>
    <w:p w14:paraId="7C8AF87F">
      <w:pPr>
        <w:pStyle w:val="9"/>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AEF2C8F">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0A09DBA3">
      <w:pPr>
        <w:spacing w:line="400" w:lineRule="exact"/>
        <w:ind w:firstLine="480" w:firstLineChars="200"/>
        <w:rPr>
          <w:rFonts w:ascii="宋体" w:hAnsi="宋体"/>
          <w:b/>
          <w:sz w:val="24"/>
        </w:rPr>
      </w:pPr>
    </w:p>
    <w:p w14:paraId="45E3A6D3">
      <w:pPr>
        <w:spacing w:line="400" w:lineRule="exact"/>
        <w:ind w:firstLine="480" w:firstLineChars="200"/>
        <w:rPr>
          <w:rFonts w:ascii="宋体" w:hAnsi="宋体"/>
          <w:b/>
          <w:sz w:val="24"/>
        </w:rPr>
      </w:pPr>
    </w:p>
    <w:p w14:paraId="765ECBAF">
      <w:pPr>
        <w:spacing w:line="400" w:lineRule="exact"/>
        <w:ind w:firstLine="480" w:firstLineChars="200"/>
        <w:rPr>
          <w:rFonts w:ascii="宋体" w:hAnsi="宋体"/>
          <w:b/>
          <w:sz w:val="24"/>
        </w:rPr>
      </w:pPr>
    </w:p>
    <w:p w14:paraId="7E164799">
      <w:pPr>
        <w:spacing w:line="400" w:lineRule="exact"/>
        <w:rPr>
          <w:rFonts w:ascii="宋体" w:hAnsi="宋体"/>
          <w:b/>
          <w:sz w:val="24"/>
        </w:rPr>
      </w:pPr>
    </w:p>
    <w:p w14:paraId="483C1E62">
      <w:pPr>
        <w:spacing w:line="400" w:lineRule="exact"/>
        <w:ind w:firstLine="480" w:firstLineChars="200"/>
        <w:rPr>
          <w:rFonts w:ascii="宋体" w:hAnsi="宋体"/>
          <w:b/>
          <w:sz w:val="24"/>
        </w:rPr>
      </w:pPr>
    </w:p>
    <w:p w14:paraId="11DDECDF">
      <w:pPr>
        <w:spacing w:line="400" w:lineRule="exact"/>
        <w:rPr>
          <w:rFonts w:ascii="宋体" w:hAnsi="宋体"/>
          <w:b/>
          <w:sz w:val="24"/>
        </w:rPr>
      </w:pPr>
    </w:p>
    <w:p w14:paraId="77DA43FE">
      <w:pPr>
        <w:snapToGrid w:val="0"/>
        <w:spacing w:line="400" w:lineRule="exact"/>
        <w:jc w:val="left"/>
        <w:rPr>
          <w:rFonts w:ascii="宋体" w:hAnsi="宋体"/>
          <w:b/>
          <w:sz w:val="24"/>
          <w:szCs w:val="24"/>
        </w:rPr>
      </w:pPr>
      <w:r>
        <w:rPr>
          <w:rFonts w:hint="eastAsia" w:ascii="宋体" w:hAnsi="宋体"/>
          <w:b/>
          <w:sz w:val="24"/>
          <w:szCs w:val="24"/>
          <w:lang w:eastAsia="zh-CN"/>
        </w:rPr>
        <w:t>四</w:t>
      </w:r>
      <w:r>
        <w:rPr>
          <w:rFonts w:hint="eastAsia" w:ascii="宋体" w:hAnsi="宋体"/>
          <w:b/>
          <w:sz w:val="24"/>
          <w:szCs w:val="24"/>
        </w:rPr>
        <w:t>、法定代表人授权委托书（格式）</w:t>
      </w:r>
    </w:p>
    <w:p w14:paraId="4C06A759">
      <w:pPr>
        <w:spacing w:line="400" w:lineRule="exact"/>
        <w:ind w:firstLine="480" w:firstLineChars="200"/>
        <w:rPr>
          <w:rFonts w:ascii="宋体" w:hAnsi="宋体"/>
          <w:b/>
          <w:sz w:val="24"/>
        </w:rPr>
      </w:pPr>
    </w:p>
    <w:p w14:paraId="5FEB8454">
      <w:pPr>
        <w:spacing w:line="400" w:lineRule="exact"/>
        <w:rPr>
          <w:rFonts w:ascii="宋体" w:hAnsi="宋体"/>
          <w:sz w:val="28"/>
          <w:szCs w:val="28"/>
        </w:rPr>
      </w:pPr>
    </w:p>
    <w:p w14:paraId="10E208CB">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736F4BC">
      <w:pPr>
        <w:snapToGrid w:val="0"/>
        <w:spacing w:line="400" w:lineRule="exact"/>
        <w:rPr>
          <w:rFonts w:ascii="宋体" w:hAnsi="宋体"/>
          <w:sz w:val="24"/>
        </w:rPr>
      </w:pPr>
    </w:p>
    <w:p w14:paraId="7DC4AE05">
      <w:pPr>
        <w:snapToGrid w:val="0"/>
        <w:spacing w:line="400" w:lineRule="exact"/>
        <w:rPr>
          <w:rFonts w:ascii="宋体" w:hAnsi="宋体"/>
          <w:sz w:val="24"/>
        </w:rPr>
      </w:pPr>
    </w:p>
    <w:p w14:paraId="4030109D">
      <w:pPr>
        <w:snapToGrid w:val="0"/>
        <w:spacing w:line="400" w:lineRule="exact"/>
        <w:rPr>
          <w:rFonts w:ascii="宋体" w:hAnsi="宋体"/>
          <w:sz w:val="24"/>
        </w:rPr>
      </w:pPr>
    </w:p>
    <w:p w14:paraId="2D109205">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611CE3A0">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6E868AAA">
      <w:pPr>
        <w:spacing w:line="400" w:lineRule="exact"/>
        <w:rPr>
          <w:rFonts w:ascii="宋体" w:hAnsi="宋体"/>
          <w:sz w:val="24"/>
        </w:rPr>
      </w:pPr>
    </w:p>
    <w:p w14:paraId="7E9D0A54">
      <w:pPr>
        <w:tabs>
          <w:tab w:val="left" w:pos="7350"/>
        </w:tabs>
        <w:spacing w:line="400" w:lineRule="exact"/>
        <w:rPr>
          <w:rFonts w:ascii="宋体" w:hAnsi="宋体"/>
          <w:sz w:val="24"/>
        </w:rPr>
      </w:pPr>
      <w:r>
        <w:tab/>
      </w:r>
    </w:p>
    <w:p w14:paraId="3847087C">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6C7C7B6D">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1E82BF1">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ED383DB">
      <w:pPr>
        <w:spacing w:line="400" w:lineRule="exact"/>
        <w:rPr>
          <w:rFonts w:ascii="宋体" w:hAnsi="宋体"/>
          <w:sz w:val="24"/>
        </w:rPr>
      </w:pPr>
    </w:p>
    <w:p w14:paraId="6E410D58">
      <w:pPr>
        <w:spacing w:line="400" w:lineRule="exact"/>
        <w:rPr>
          <w:rFonts w:ascii="宋体" w:hAnsi="宋体"/>
          <w:sz w:val="24"/>
        </w:rPr>
      </w:pPr>
    </w:p>
    <w:p w14:paraId="2F39F990">
      <w:pPr>
        <w:spacing w:line="400" w:lineRule="exact"/>
        <w:rPr>
          <w:rFonts w:ascii="宋体" w:hAnsi="宋体"/>
          <w:sz w:val="24"/>
        </w:rPr>
      </w:pPr>
    </w:p>
    <w:p w14:paraId="7F734446">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EAE4A0C">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61B6EAAE">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56B39192">
      <w:pPr>
        <w:spacing w:line="400" w:lineRule="exact"/>
        <w:ind w:firstLine="420" w:firstLineChars="200"/>
        <w:rPr>
          <w:rFonts w:ascii="宋体" w:hAnsi="宋体"/>
          <w:szCs w:val="21"/>
        </w:rPr>
      </w:pPr>
    </w:p>
    <w:p w14:paraId="3126E6FB">
      <w:pPr>
        <w:spacing w:line="400" w:lineRule="exact"/>
        <w:rPr>
          <w:rFonts w:hAnsi="宋体"/>
          <w:szCs w:val="21"/>
        </w:rPr>
      </w:pPr>
    </w:p>
    <w:p w14:paraId="5AECB707">
      <w:pPr>
        <w:spacing w:line="400" w:lineRule="exact"/>
        <w:ind w:firstLine="480" w:firstLineChars="200"/>
        <w:rPr>
          <w:rFonts w:ascii="宋体" w:hAnsi="宋体"/>
          <w:b/>
          <w:sz w:val="24"/>
        </w:rPr>
      </w:pPr>
    </w:p>
    <w:p w14:paraId="1465C735">
      <w:pPr>
        <w:spacing w:line="400" w:lineRule="exact"/>
        <w:ind w:firstLine="480" w:firstLineChars="200"/>
        <w:rPr>
          <w:rFonts w:ascii="宋体" w:hAnsi="宋体"/>
          <w:b/>
          <w:sz w:val="24"/>
        </w:rPr>
      </w:pPr>
    </w:p>
    <w:p w14:paraId="6862F4B1">
      <w:pPr>
        <w:spacing w:line="400" w:lineRule="exact"/>
        <w:ind w:firstLine="480" w:firstLineChars="200"/>
        <w:rPr>
          <w:rFonts w:ascii="宋体" w:hAnsi="宋体"/>
          <w:b/>
          <w:sz w:val="24"/>
        </w:rPr>
      </w:pPr>
    </w:p>
    <w:p w14:paraId="13DFCFCE">
      <w:pPr>
        <w:spacing w:line="400" w:lineRule="exact"/>
        <w:rPr>
          <w:rFonts w:hint="eastAsia" w:ascii="宋体" w:hAnsi="宋体"/>
          <w:b/>
          <w:sz w:val="24"/>
          <w:lang w:eastAsia="zh-CN"/>
        </w:rPr>
      </w:pPr>
    </w:p>
    <w:p w14:paraId="2DD5F953">
      <w:pPr>
        <w:spacing w:line="400" w:lineRule="exact"/>
        <w:rPr>
          <w:rFonts w:hint="eastAsia" w:ascii="宋体" w:hAnsi="宋体"/>
          <w:b/>
          <w:sz w:val="24"/>
          <w:lang w:eastAsia="zh-CN"/>
        </w:rPr>
      </w:pPr>
    </w:p>
    <w:p w14:paraId="049516AE">
      <w:pPr>
        <w:spacing w:line="400" w:lineRule="exact"/>
        <w:rPr>
          <w:rFonts w:hint="eastAsia" w:ascii="宋体" w:hAnsi="宋体"/>
          <w:b/>
          <w:sz w:val="24"/>
          <w:lang w:eastAsia="zh-CN"/>
        </w:rPr>
      </w:pPr>
    </w:p>
    <w:p w14:paraId="7ECF115A">
      <w:pPr>
        <w:spacing w:line="400" w:lineRule="exact"/>
        <w:rPr>
          <w:rFonts w:hint="eastAsia" w:ascii="宋体" w:hAnsi="宋体"/>
          <w:b/>
          <w:sz w:val="24"/>
          <w:lang w:eastAsia="zh-CN"/>
        </w:rPr>
      </w:pPr>
    </w:p>
    <w:p w14:paraId="34B8E8AA">
      <w:pPr>
        <w:spacing w:line="400" w:lineRule="exact"/>
        <w:rPr>
          <w:rFonts w:hint="eastAsia" w:ascii="宋体" w:hAnsi="宋体"/>
          <w:b/>
          <w:sz w:val="24"/>
          <w:lang w:eastAsia="zh-CN"/>
        </w:rPr>
      </w:pPr>
    </w:p>
    <w:p w14:paraId="6AA78480">
      <w:pPr>
        <w:spacing w:line="400" w:lineRule="exact"/>
        <w:rPr>
          <w:rFonts w:hint="eastAsia" w:ascii="宋体" w:hAnsi="宋体"/>
          <w:b/>
          <w:sz w:val="24"/>
          <w:lang w:eastAsia="zh-CN"/>
        </w:rPr>
      </w:pPr>
    </w:p>
    <w:p w14:paraId="2DEF1FC2">
      <w:pPr>
        <w:spacing w:line="400" w:lineRule="exact"/>
        <w:rPr>
          <w:rFonts w:hint="eastAsia" w:ascii="宋体" w:hAnsi="宋体"/>
          <w:b/>
          <w:sz w:val="24"/>
          <w:lang w:eastAsia="zh-CN"/>
        </w:rPr>
      </w:pPr>
    </w:p>
    <w:p w14:paraId="2651653E">
      <w:pPr>
        <w:spacing w:line="400" w:lineRule="exact"/>
        <w:rPr>
          <w:rFonts w:hint="eastAsia" w:ascii="宋体" w:hAnsi="宋体"/>
          <w:b/>
          <w:sz w:val="24"/>
          <w:lang w:eastAsia="zh-CN"/>
        </w:rPr>
      </w:pPr>
    </w:p>
    <w:p w14:paraId="4520992B">
      <w:pPr>
        <w:spacing w:line="400" w:lineRule="exact"/>
        <w:rPr>
          <w:rFonts w:hint="eastAsia" w:ascii="宋体" w:hAnsi="宋体"/>
          <w:b/>
          <w:sz w:val="24"/>
          <w:lang w:eastAsia="zh-CN"/>
        </w:rPr>
      </w:pPr>
    </w:p>
    <w:p w14:paraId="197F62F6">
      <w:pPr>
        <w:spacing w:line="400" w:lineRule="exact"/>
        <w:rPr>
          <w:rFonts w:ascii="宋体" w:hAnsi="宋体"/>
          <w:b/>
          <w:sz w:val="24"/>
        </w:rPr>
      </w:pPr>
      <w:r>
        <w:rPr>
          <w:rFonts w:hint="eastAsia" w:ascii="宋体" w:hAnsi="宋体"/>
          <w:b/>
          <w:sz w:val="24"/>
          <w:lang w:eastAsia="zh-CN"/>
        </w:rPr>
        <w:t>五</w:t>
      </w:r>
      <w:r>
        <w:rPr>
          <w:rFonts w:hint="eastAsia" w:ascii="宋体" w:hAnsi="宋体"/>
          <w:b/>
          <w:sz w:val="24"/>
        </w:rPr>
        <w:t>、供应商直接控股、管理关系信息表（格式后附）；（必须提供）；</w:t>
      </w:r>
    </w:p>
    <w:p w14:paraId="4247BB00">
      <w:pPr>
        <w:snapToGrid w:val="0"/>
        <w:spacing w:before="156" w:after="50" w:line="400" w:lineRule="exact"/>
        <w:jc w:val="center"/>
        <w:rPr>
          <w:rFonts w:ascii="Arial Unicode MS" w:hAnsi="Arial Unicode MS" w:eastAsia="Arial Unicode MS"/>
          <w:bCs/>
          <w:sz w:val="32"/>
          <w:szCs w:val="32"/>
        </w:rPr>
      </w:pPr>
    </w:p>
    <w:p w14:paraId="49CB8970">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24131E5F">
      <w:pPr>
        <w:snapToGrid w:val="0"/>
        <w:spacing w:before="50" w:after="156"/>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3CAFC8BB">
        <w:tblPrEx>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09CC4A0">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9B4C0BF">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CC5FB4B">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BCC85B5">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F8DF280">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09D5DAD">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DA0F4C">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A5A03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6E3DC2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B16C6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A3C0F8E">
            <w:pPr>
              <w:widowControl/>
              <w:wordWrap w:val="0"/>
              <w:spacing w:line="200" w:lineRule="atLeast"/>
              <w:jc w:val="center"/>
              <w:rPr>
                <w:rFonts w:ascii="仿宋" w:hAnsi="仿宋" w:eastAsia="仿宋"/>
                <w:kern w:val="0"/>
                <w:sz w:val="28"/>
                <w:szCs w:val="28"/>
              </w:rPr>
            </w:pPr>
          </w:p>
        </w:tc>
      </w:tr>
      <w:tr w14:paraId="333687FE">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3798D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016EB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5EB0A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07FCC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2C79E8">
            <w:pPr>
              <w:widowControl/>
              <w:wordWrap w:val="0"/>
              <w:spacing w:line="200" w:lineRule="atLeast"/>
              <w:jc w:val="center"/>
              <w:rPr>
                <w:rFonts w:ascii="仿宋" w:hAnsi="仿宋" w:eastAsia="仿宋"/>
                <w:kern w:val="0"/>
                <w:sz w:val="28"/>
                <w:szCs w:val="28"/>
              </w:rPr>
            </w:pPr>
          </w:p>
        </w:tc>
      </w:tr>
      <w:tr w14:paraId="74E08542">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F0F2E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504C5E">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DEDC0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A5DB7A7">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FF77B3">
            <w:pPr>
              <w:widowControl/>
              <w:wordWrap w:val="0"/>
              <w:spacing w:line="200" w:lineRule="atLeast"/>
              <w:jc w:val="center"/>
              <w:rPr>
                <w:rFonts w:ascii="仿宋" w:hAnsi="仿宋" w:eastAsia="仿宋"/>
                <w:kern w:val="0"/>
                <w:sz w:val="28"/>
                <w:szCs w:val="28"/>
              </w:rPr>
            </w:pPr>
          </w:p>
        </w:tc>
      </w:tr>
      <w:tr w14:paraId="1B8BDCEB">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36F63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99F40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1593B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261EA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3C30D6F">
            <w:pPr>
              <w:widowControl/>
              <w:wordWrap w:val="0"/>
              <w:spacing w:line="200" w:lineRule="atLeast"/>
              <w:jc w:val="center"/>
              <w:rPr>
                <w:rFonts w:ascii="仿宋" w:hAnsi="仿宋" w:eastAsia="仿宋"/>
                <w:kern w:val="0"/>
                <w:sz w:val="28"/>
                <w:szCs w:val="28"/>
              </w:rPr>
            </w:pPr>
          </w:p>
        </w:tc>
      </w:tr>
    </w:tbl>
    <w:p w14:paraId="5020BF02">
      <w:pPr>
        <w:snapToGrid w:val="0"/>
        <w:spacing w:line="360" w:lineRule="exact"/>
        <w:jc w:val="left"/>
        <w:rPr>
          <w:rFonts w:ascii="宋体" w:hAnsi="宋体"/>
          <w:szCs w:val="21"/>
        </w:rPr>
      </w:pPr>
      <w:r>
        <w:rPr>
          <w:rFonts w:hint="eastAsia" w:ascii="宋体" w:hAnsi="宋体"/>
          <w:szCs w:val="21"/>
        </w:rPr>
        <w:t>注：</w:t>
      </w:r>
    </w:p>
    <w:p w14:paraId="4F7DF1AD">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6C204165">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D387CE6">
      <w:pPr>
        <w:snapToGrid w:val="0"/>
        <w:spacing w:line="360" w:lineRule="exact"/>
        <w:jc w:val="left"/>
        <w:rPr>
          <w:rFonts w:ascii="宋体" w:hAnsi="宋体"/>
          <w:szCs w:val="21"/>
        </w:rPr>
      </w:pPr>
      <w:r>
        <w:rPr>
          <w:rFonts w:hint="eastAsia" w:ascii="宋体" w:hAnsi="宋体"/>
          <w:szCs w:val="21"/>
        </w:rPr>
        <w:t>3.供应商不存在直接控股股东的，则填“无”。</w:t>
      </w:r>
    </w:p>
    <w:p w14:paraId="5C01A16F">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6C36B455">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30D62696">
      <w:pPr>
        <w:snapToGrid w:val="0"/>
        <w:spacing w:line="360" w:lineRule="exact"/>
        <w:ind w:firstLine="6510" w:firstLineChars="3100"/>
        <w:rPr>
          <w:rFonts w:ascii="宋体" w:hAnsi="宋体"/>
          <w:szCs w:val="21"/>
        </w:rPr>
      </w:pPr>
      <w:r>
        <w:rPr>
          <w:rFonts w:hint="eastAsia" w:ascii="宋体" w:hAnsi="宋体"/>
          <w:szCs w:val="21"/>
        </w:rPr>
        <w:t>年    月    日</w:t>
      </w:r>
    </w:p>
    <w:p w14:paraId="7E22C552">
      <w:pPr>
        <w:snapToGrid w:val="0"/>
        <w:rPr>
          <w:rFonts w:ascii="宋体" w:hAnsi="宋体"/>
          <w:b/>
          <w:sz w:val="28"/>
          <w:szCs w:val="28"/>
        </w:rPr>
      </w:pPr>
    </w:p>
    <w:p w14:paraId="1AC14F02">
      <w:pPr>
        <w:snapToGrid w:val="0"/>
        <w:rPr>
          <w:rFonts w:ascii="宋体" w:hAnsi="宋体"/>
          <w:b/>
          <w:bCs/>
          <w:sz w:val="36"/>
          <w:szCs w:val="36"/>
        </w:rPr>
      </w:pPr>
    </w:p>
    <w:p w14:paraId="713524AF">
      <w:pPr>
        <w:snapToGrid w:val="0"/>
        <w:jc w:val="center"/>
        <w:rPr>
          <w:rFonts w:ascii="宋体" w:hAnsi="宋体"/>
          <w:b/>
          <w:bCs/>
          <w:sz w:val="36"/>
          <w:szCs w:val="36"/>
        </w:rPr>
      </w:pPr>
    </w:p>
    <w:p w14:paraId="4540A547">
      <w:pPr>
        <w:snapToGrid w:val="0"/>
        <w:jc w:val="center"/>
        <w:rPr>
          <w:rFonts w:ascii="宋体" w:hAnsi="宋体"/>
          <w:b/>
          <w:bCs/>
          <w:sz w:val="36"/>
          <w:szCs w:val="36"/>
        </w:rPr>
      </w:pPr>
    </w:p>
    <w:p w14:paraId="620EB1E7">
      <w:pPr>
        <w:snapToGrid w:val="0"/>
        <w:jc w:val="center"/>
        <w:rPr>
          <w:rFonts w:ascii="宋体" w:hAnsi="宋体"/>
          <w:b/>
          <w:bCs/>
          <w:sz w:val="36"/>
          <w:szCs w:val="36"/>
        </w:rPr>
      </w:pPr>
    </w:p>
    <w:p w14:paraId="69609158">
      <w:pPr>
        <w:snapToGrid w:val="0"/>
        <w:jc w:val="center"/>
        <w:rPr>
          <w:rFonts w:ascii="宋体" w:hAnsi="宋体"/>
          <w:b/>
          <w:bCs/>
          <w:sz w:val="36"/>
          <w:szCs w:val="36"/>
        </w:rPr>
      </w:pPr>
    </w:p>
    <w:p w14:paraId="7DCDE3D4">
      <w:pPr>
        <w:snapToGrid w:val="0"/>
        <w:jc w:val="center"/>
        <w:rPr>
          <w:rFonts w:ascii="宋体" w:hAnsi="宋体"/>
          <w:b/>
          <w:bCs/>
          <w:sz w:val="36"/>
          <w:szCs w:val="36"/>
        </w:rPr>
      </w:pPr>
    </w:p>
    <w:p w14:paraId="2F267906">
      <w:pPr>
        <w:snapToGrid w:val="0"/>
        <w:jc w:val="center"/>
        <w:rPr>
          <w:rFonts w:ascii="宋体" w:hAnsi="宋体"/>
          <w:b/>
          <w:bCs/>
          <w:sz w:val="36"/>
          <w:szCs w:val="36"/>
        </w:rPr>
      </w:pPr>
    </w:p>
    <w:p w14:paraId="5D1BB6FF">
      <w:pPr>
        <w:snapToGrid w:val="0"/>
        <w:jc w:val="center"/>
        <w:rPr>
          <w:rFonts w:ascii="宋体" w:hAnsi="宋体"/>
          <w:b/>
          <w:bCs/>
          <w:sz w:val="36"/>
          <w:szCs w:val="36"/>
        </w:rPr>
      </w:pPr>
    </w:p>
    <w:p w14:paraId="434311F5">
      <w:pPr>
        <w:snapToGrid w:val="0"/>
        <w:jc w:val="center"/>
        <w:rPr>
          <w:rFonts w:ascii="宋体" w:hAnsi="宋体"/>
          <w:b/>
          <w:bCs/>
          <w:sz w:val="36"/>
          <w:szCs w:val="36"/>
        </w:rPr>
      </w:pPr>
      <w:r>
        <w:rPr>
          <w:rFonts w:hint="eastAsia" w:ascii="宋体" w:hAnsi="宋体"/>
          <w:b/>
          <w:bCs/>
          <w:sz w:val="36"/>
          <w:szCs w:val="36"/>
        </w:rPr>
        <w:t>供应商直接管理关系信息表</w:t>
      </w:r>
    </w:p>
    <w:p w14:paraId="21FA00AE">
      <w:pPr>
        <w:snapToGrid w:val="0"/>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56AB218C">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7CB7515">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736DEA7">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DBC3802">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D226707">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168D6B2">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D832B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58D0A3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40CA6F">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98F94AE">
            <w:pPr>
              <w:widowControl/>
              <w:wordWrap w:val="0"/>
              <w:spacing w:line="200" w:lineRule="atLeast"/>
              <w:jc w:val="center"/>
              <w:rPr>
                <w:rFonts w:ascii="仿宋" w:hAnsi="仿宋" w:eastAsia="仿宋"/>
                <w:kern w:val="0"/>
                <w:sz w:val="28"/>
                <w:szCs w:val="28"/>
              </w:rPr>
            </w:pPr>
          </w:p>
        </w:tc>
      </w:tr>
      <w:tr w14:paraId="5CFF1FAB">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D7355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FC5A6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986369">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BF472C2">
            <w:pPr>
              <w:widowControl/>
              <w:wordWrap w:val="0"/>
              <w:spacing w:line="200" w:lineRule="atLeast"/>
              <w:jc w:val="center"/>
              <w:rPr>
                <w:rFonts w:ascii="仿宋" w:hAnsi="仿宋" w:eastAsia="仿宋"/>
                <w:kern w:val="0"/>
                <w:sz w:val="28"/>
                <w:szCs w:val="28"/>
              </w:rPr>
            </w:pPr>
          </w:p>
        </w:tc>
      </w:tr>
      <w:tr w14:paraId="769F7B2D">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FFCC04C">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C5C2FA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265586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2D6918">
            <w:pPr>
              <w:widowControl/>
              <w:wordWrap w:val="0"/>
              <w:spacing w:line="200" w:lineRule="atLeast"/>
              <w:jc w:val="center"/>
              <w:rPr>
                <w:rFonts w:ascii="仿宋" w:hAnsi="仿宋" w:eastAsia="仿宋"/>
                <w:kern w:val="0"/>
                <w:sz w:val="28"/>
                <w:szCs w:val="28"/>
              </w:rPr>
            </w:pPr>
          </w:p>
        </w:tc>
      </w:tr>
      <w:tr w14:paraId="639F5A00">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E4AA1C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8AA3C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503ACE">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9E3439">
            <w:pPr>
              <w:widowControl/>
              <w:wordWrap w:val="0"/>
              <w:spacing w:line="200" w:lineRule="atLeast"/>
              <w:jc w:val="center"/>
              <w:rPr>
                <w:rFonts w:ascii="仿宋" w:hAnsi="仿宋" w:eastAsia="仿宋"/>
                <w:kern w:val="0"/>
                <w:sz w:val="28"/>
                <w:szCs w:val="28"/>
              </w:rPr>
            </w:pPr>
          </w:p>
        </w:tc>
      </w:tr>
    </w:tbl>
    <w:p w14:paraId="213CFE8D">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DE7934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2FDE92A3">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EB0E84B">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7B798112">
      <w:pPr>
        <w:snapToGrid w:val="0"/>
        <w:jc w:val="left"/>
        <w:rPr>
          <w:rFonts w:ascii="仿宋" w:hAnsi="仿宋" w:eastAsia="仿宋"/>
          <w:sz w:val="28"/>
          <w:szCs w:val="28"/>
        </w:rPr>
      </w:pPr>
    </w:p>
    <w:p w14:paraId="0262F49E">
      <w:pPr>
        <w:snapToGrid w:val="0"/>
        <w:jc w:val="left"/>
        <w:rPr>
          <w:rFonts w:ascii="仿宋" w:hAnsi="仿宋" w:eastAsia="仿宋"/>
          <w:sz w:val="28"/>
          <w:szCs w:val="28"/>
        </w:rPr>
      </w:pPr>
    </w:p>
    <w:p w14:paraId="2225AD4A">
      <w:pPr>
        <w:snapToGrid w:val="0"/>
        <w:jc w:val="left"/>
        <w:rPr>
          <w:rFonts w:ascii="仿宋" w:hAnsi="仿宋" w:eastAsia="仿宋"/>
          <w:sz w:val="28"/>
          <w:szCs w:val="28"/>
        </w:rPr>
      </w:pPr>
    </w:p>
    <w:p w14:paraId="2D229EAD">
      <w:pPr>
        <w:snapToGrid w:val="0"/>
        <w:jc w:val="left"/>
        <w:rPr>
          <w:rFonts w:ascii="仿宋" w:hAnsi="仿宋" w:eastAsia="仿宋"/>
          <w:sz w:val="28"/>
          <w:szCs w:val="28"/>
        </w:rPr>
      </w:pPr>
    </w:p>
    <w:p w14:paraId="757E5AC6">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5576D79B">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3A6A6B0C">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55F482B1">
      <w:pPr>
        <w:pStyle w:val="5"/>
        <w:overflowPunct w:val="0"/>
        <w:spacing w:line="360" w:lineRule="auto"/>
        <w:jc w:val="center"/>
        <w:rPr>
          <w:rFonts w:ascii="宋体" w:hAnsi="宋体"/>
          <w:spacing w:val="20"/>
          <w:szCs w:val="21"/>
          <w:u w:val="single"/>
        </w:rPr>
      </w:pPr>
    </w:p>
    <w:p w14:paraId="0B1A39D5">
      <w:pPr>
        <w:spacing w:line="400" w:lineRule="exact"/>
        <w:ind w:firstLine="420" w:firstLineChars="200"/>
        <w:rPr>
          <w:rFonts w:ascii="宋体" w:hAnsi="宋体"/>
          <w:szCs w:val="21"/>
        </w:rPr>
      </w:pPr>
    </w:p>
    <w:p w14:paraId="6CB12FD3">
      <w:pPr>
        <w:pStyle w:val="20"/>
        <w:ind w:firstLine="0" w:firstLineChars="0"/>
      </w:pPr>
    </w:p>
    <w:p w14:paraId="08BEE2E2">
      <w:pPr>
        <w:pStyle w:val="20"/>
        <w:ind w:firstLine="344"/>
      </w:pPr>
    </w:p>
    <w:p w14:paraId="21345761">
      <w:pPr>
        <w:pStyle w:val="20"/>
        <w:ind w:firstLine="344"/>
      </w:pPr>
    </w:p>
    <w:p w14:paraId="3D1F4F08">
      <w:pPr>
        <w:pStyle w:val="20"/>
        <w:ind w:firstLine="344"/>
      </w:pPr>
    </w:p>
    <w:p w14:paraId="2CACF881">
      <w:pPr>
        <w:pStyle w:val="20"/>
        <w:ind w:firstLine="344"/>
      </w:pPr>
    </w:p>
    <w:p w14:paraId="0F3FB496">
      <w:pPr>
        <w:pStyle w:val="20"/>
        <w:ind w:firstLine="344"/>
      </w:pPr>
    </w:p>
    <w:p w14:paraId="23637669">
      <w:pPr>
        <w:pStyle w:val="20"/>
        <w:ind w:firstLine="344"/>
      </w:pPr>
    </w:p>
    <w:p w14:paraId="4F3A4268">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7F271">
    <w:pPr>
      <w:pStyle w:val="13"/>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94A0FA">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994A0FA">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BD114">
    <w:pPr>
      <w:pStyle w:val="13"/>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3E8F4F5F">
    <w:pPr>
      <w:pStyle w:val="13"/>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C8129">
    <w:pPr>
      <w:pStyle w:val="13"/>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C723AD">
                          <w:pPr>
                            <w:pStyle w:val="1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C723AD">
                    <w:pPr>
                      <w:pStyle w:val="1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0170C1CA">
    <w:pPr>
      <w:pStyle w:val="13"/>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E1B26">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B5AF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63FEDC"/>
    <w:multiLevelType w:val="singleLevel"/>
    <w:tmpl w:val="8663FEDC"/>
    <w:lvl w:ilvl="0" w:tentative="0">
      <w:start w:val="6"/>
      <w:numFmt w:val="decimal"/>
      <w:suff w:val="nothing"/>
      <w:lvlText w:val="%1、"/>
      <w:lvlJc w:val="left"/>
    </w:lvl>
  </w:abstractNum>
  <w:abstractNum w:abstractNumId="1">
    <w:nsid w:val="92D9EBB8"/>
    <w:multiLevelType w:val="singleLevel"/>
    <w:tmpl w:val="92D9EBB8"/>
    <w:lvl w:ilvl="0" w:tentative="0">
      <w:start w:val="2"/>
      <w:numFmt w:val="decimal"/>
      <w:lvlText w:val="(%1)"/>
      <w:lvlJc w:val="left"/>
      <w:pPr>
        <w:tabs>
          <w:tab w:val="left" w:pos="312"/>
        </w:tabs>
      </w:pPr>
    </w:lvl>
  </w:abstractNum>
  <w:abstractNum w:abstractNumId="2">
    <w:nsid w:val="98624D9E"/>
    <w:multiLevelType w:val="singleLevel"/>
    <w:tmpl w:val="98624D9E"/>
    <w:lvl w:ilvl="0" w:tentative="0">
      <w:start w:val="1"/>
      <w:numFmt w:val="chineseCounting"/>
      <w:suff w:val="nothing"/>
      <w:lvlText w:val="%1、"/>
      <w:lvlJc w:val="left"/>
      <w:rPr>
        <w:rFonts w:hint="eastAsia"/>
      </w:rPr>
    </w:lvl>
  </w:abstractNum>
  <w:abstractNum w:abstractNumId="3">
    <w:nsid w:val="A944D122"/>
    <w:multiLevelType w:val="singleLevel"/>
    <w:tmpl w:val="A944D122"/>
    <w:lvl w:ilvl="0" w:tentative="0">
      <w:start w:val="5"/>
      <w:numFmt w:val="decimal"/>
      <w:suff w:val="space"/>
      <w:lvlText w:val="(%1)"/>
      <w:lvlJc w:val="left"/>
    </w:lvl>
  </w:abstractNum>
  <w:abstractNum w:abstractNumId="4">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4"/>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abstractNum w:abstractNumId="5">
    <w:nsid w:val="7A8EDBFD"/>
    <w:multiLevelType w:val="singleLevel"/>
    <w:tmpl w:val="7A8EDBFD"/>
    <w:lvl w:ilvl="0" w:tentative="0">
      <w:start w:val="1"/>
      <w:numFmt w:val="decimal"/>
      <w:suff w:val="nothing"/>
      <w:lvlText w:val="（%1）"/>
      <w:lvlJc w:val="left"/>
    </w:lvl>
  </w:abstractNum>
  <w:num w:numId="1">
    <w:abstractNumId w:val="4"/>
  </w:num>
  <w:num w:numId="2">
    <w:abstractNumId w:val="2"/>
  </w:num>
  <w:num w:numId="3">
    <w:abstractNumId w:val="0"/>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E652DE"/>
    <w:rsid w:val="00F57EE7"/>
    <w:rsid w:val="034877EC"/>
    <w:rsid w:val="05FD48BE"/>
    <w:rsid w:val="060043AE"/>
    <w:rsid w:val="068113B7"/>
    <w:rsid w:val="0A516F86"/>
    <w:rsid w:val="0C85471F"/>
    <w:rsid w:val="106B7917"/>
    <w:rsid w:val="11853D3E"/>
    <w:rsid w:val="139E2979"/>
    <w:rsid w:val="142E658A"/>
    <w:rsid w:val="145A1533"/>
    <w:rsid w:val="16161084"/>
    <w:rsid w:val="16AD3796"/>
    <w:rsid w:val="1ADB7FCD"/>
    <w:rsid w:val="1C4B37EB"/>
    <w:rsid w:val="21930EF4"/>
    <w:rsid w:val="24EA2059"/>
    <w:rsid w:val="25B60C44"/>
    <w:rsid w:val="2626282B"/>
    <w:rsid w:val="28137BB2"/>
    <w:rsid w:val="296342F6"/>
    <w:rsid w:val="2A220E95"/>
    <w:rsid w:val="2A4A387D"/>
    <w:rsid w:val="2B083239"/>
    <w:rsid w:val="2C365A9F"/>
    <w:rsid w:val="2D2D2B79"/>
    <w:rsid w:val="2E772D84"/>
    <w:rsid w:val="2FFD70E5"/>
    <w:rsid w:val="308A5C2E"/>
    <w:rsid w:val="31175F84"/>
    <w:rsid w:val="3217464E"/>
    <w:rsid w:val="33A65CE5"/>
    <w:rsid w:val="33AC5879"/>
    <w:rsid w:val="361C5DEB"/>
    <w:rsid w:val="375B2943"/>
    <w:rsid w:val="38A87E0A"/>
    <w:rsid w:val="38FB618B"/>
    <w:rsid w:val="39A36682"/>
    <w:rsid w:val="39E817C8"/>
    <w:rsid w:val="3AA615FA"/>
    <w:rsid w:val="3AD331DF"/>
    <w:rsid w:val="3CFD2416"/>
    <w:rsid w:val="40212FAA"/>
    <w:rsid w:val="41B31CF9"/>
    <w:rsid w:val="425828A0"/>
    <w:rsid w:val="42936CDF"/>
    <w:rsid w:val="43C72CF2"/>
    <w:rsid w:val="450D212B"/>
    <w:rsid w:val="45D56701"/>
    <w:rsid w:val="46F11B84"/>
    <w:rsid w:val="47AD2D46"/>
    <w:rsid w:val="49B303BC"/>
    <w:rsid w:val="4AD61E0D"/>
    <w:rsid w:val="4B17693A"/>
    <w:rsid w:val="4B214846"/>
    <w:rsid w:val="4B490FD8"/>
    <w:rsid w:val="4C5B5467"/>
    <w:rsid w:val="54526777"/>
    <w:rsid w:val="54977258"/>
    <w:rsid w:val="571050A0"/>
    <w:rsid w:val="583D6144"/>
    <w:rsid w:val="58FC1C40"/>
    <w:rsid w:val="5C844566"/>
    <w:rsid w:val="5C8B76A2"/>
    <w:rsid w:val="5CD642C5"/>
    <w:rsid w:val="5D370221"/>
    <w:rsid w:val="60FA6BA5"/>
    <w:rsid w:val="61025BD2"/>
    <w:rsid w:val="6421269A"/>
    <w:rsid w:val="66990686"/>
    <w:rsid w:val="66B07F62"/>
    <w:rsid w:val="66F66E04"/>
    <w:rsid w:val="68B0601C"/>
    <w:rsid w:val="68EA5751"/>
    <w:rsid w:val="6EE82061"/>
    <w:rsid w:val="704F233D"/>
    <w:rsid w:val="70CA7103"/>
    <w:rsid w:val="711C66C3"/>
    <w:rsid w:val="75AB6D3B"/>
    <w:rsid w:val="764F654C"/>
    <w:rsid w:val="773F7FD1"/>
    <w:rsid w:val="78BB2ED6"/>
    <w:rsid w:val="791969AA"/>
    <w:rsid w:val="7DD763EB"/>
    <w:rsid w:val="7E694F72"/>
    <w:rsid w:val="7F10792A"/>
    <w:rsid w:val="7F686F78"/>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5"/>
    <w:qFormat/>
    <w:uiPriority w:val="0"/>
    <w:pPr>
      <w:keepNext/>
      <w:spacing w:line="340" w:lineRule="exact"/>
      <w:outlineLvl w:val="0"/>
    </w:pPr>
    <w:rPr>
      <w:b/>
      <w:bCs/>
      <w:sz w:val="36"/>
    </w:rPr>
  </w:style>
  <w:style w:type="paragraph" w:styleId="4">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5">
    <w:name w:val="Normal Indent"/>
    <w:basedOn w:val="1"/>
    <w:qFormat/>
    <w:uiPriority w:val="0"/>
    <w:pPr>
      <w:ind w:firstLine="420"/>
    </w:pPr>
    <w:rPr>
      <w:szCs w:val="20"/>
    </w:rPr>
  </w:style>
  <w:style w:type="paragraph" w:styleId="6">
    <w:name w:val="annotation text"/>
    <w:basedOn w:val="1"/>
    <w:semiHidden/>
    <w:unhideWhenUsed/>
    <w:qFormat/>
    <w:uiPriority w:val="99"/>
    <w:pPr>
      <w:jc w:val="left"/>
    </w:pPr>
  </w:style>
  <w:style w:type="paragraph" w:styleId="7">
    <w:name w:val="Body Text"/>
    <w:basedOn w:val="1"/>
    <w:next w:val="8"/>
    <w:qFormat/>
    <w:uiPriority w:val="0"/>
    <w:pPr>
      <w:autoSpaceDE w:val="0"/>
      <w:autoSpaceDN w:val="0"/>
      <w:spacing w:after="120"/>
      <w:jc w:val="left"/>
    </w:pPr>
    <w:rPr>
      <w:rFonts w:ascii="宋体"/>
      <w:kern w:val="0"/>
      <w:sz w:val="34"/>
      <w:szCs w:val="20"/>
    </w:rPr>
  </w:style>
  <w:style w:type="paragraph" w:styleId="8">
    <w:name w:val="Plain Text"/>
    <w:basedOn w:val="1"/>
    <w:qFormat/>
    <w:uiPriority w:val="0"/>
    <w:rPr>
      <w:rFonts w:ascii="宋体" w:hAnsi="Courier New"/>
      <w:szCs w:val="20"/>
    </w:rPr>
  </w:style>
  <w:style w:type="paragraph" w:styleId="9">
    <w:name w:val="Body Text Indent"/>
    <w:basedOn w:val="1"/>
    <w:next w:val="10"/>
    <w:qFormat/>
    <w:uiPriority w:val="0"/>
    <w:pPr>
      <w:spacing w:line="200" w:lineRule="exact"/>
      <w:ind w:firstLine="301"/>
    </w:pPr>
    <w:rPr>
      <w:rFonts w:ascii="宋体" w:hAnsi="Courier New"/>
      <w:spacing w:val="-4"/>
      <w:sz w:val="18"/>
      <w:szCs w:val="20"/>
    </w:rPr>
  </w:style>
  <w:style w:type="paragraph" w:styleId="10">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1">
    <w:name w:val="Date"/>
    <w:basedOn w:val="1"/>
    <w:next w:val="1"/>
    <w:qFormat/>
    <w:uiPriority w:val="0"/>
    <w:pPr>
      <w:ind w:left="100" w:leftChars="2500"/>
    </w:pPr>
    <w:rPr>
      <w:spacing w:val="30"/>
      <w:sz w:val="28"/>
    </w:rPr>
  </w:style>
  <w:style w:type="paragraph" w:styleId="12">
    <w:name w:val="Balloon Text"/>
    <w:basedOn w:val="1"/>
    <w:link w:val="26"/>
    <w:qFormat/>
    <w:uiPriority w:val="0"/>
    <w:rPr>
      <w:sz w:val="18"/>
      <w:szCs w:val="18"/>
    </w:rPr>
  </w:style>
  <w:style w:type="paragraph" w:styleId="13">
    <w:name w:val="footer"/>
    <w:basedOn w:val="1"/>
    <w:qFormat/>
    <w:uiPriority w:val="0"/>
    <w:pPr>
      <w:tabs>
        <w:tab w:val="center" w:pos="4153"/>
        <w:tab w:val="right" w:pos="8306"/>
      </w:tabs>
      <w:snapToGrid w:val="0"/>
      <w:jc w:val="left"/>
    </w:pPr>
    <w:rPr>
      <w:rFonts w:ascii="宋体" w:hAnsi="Courier New"/>
      <w:sz w:val="18"/>
      <w:szCs w:val="20"/>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qFormat/>
    <w:uiPriority w:val="0"/>
    <w:rPr>
      <w:sz w:val="24"/>
    </w:rPr>
  </w:style>
  <w:style w:type="paragraph" w:styleId="18">
    <w:name w:val="index 1"/>
    <w:basedOn w:val="1"/>
    <w:next w:val="1"/>
    <w:qFormat/>
    <w:uiPriority w:val="0"/>
    <w:pPr>
      <w:spacing w:line="360" w:lineRule="exact"/>
      <w:ind w:firstLine="432" w:firstLineChars="240"/>
    </w:pPr>
    <w:rPr>
      <w:rFonts w:ascii="宋体" w:hAnsi="宋体"/>
      <w:bCs/>
      <w:sz w:val="18"/>
      <w:szCs w:val="18"/>
    </w:rPr>
  </w:style>
  <w:style w:type="paragraph" w:styleId="19">
    <w:name w:val="Body Text First Indent"/>
    <w:basedOn w:val="7"/>
    <w:qFormat/>
    <w:uiPriority w:val="0"/>
    <w:pPr>
      <w:snapToGrid w:val="0"/>
      <w:spacing w:line="360" w:lineRule="auto"/>
      <w:ind w:right="240" w:firstLine="420" w:firstLineChars="100"/>
    </w:pPr>
    <w:rPr>
      <w:rFonts w:hAnsi="宋体" w:eastAsia="方正仿宋_GBK"/>
      <w:kern w:val="2"/>
      <w:sz w:val="21"/>
      <w:szCs w:val="28"/>
    </w:rPr>
  </w:style>
  <w:style w:type="paragraph" w:styleId="20">
    <w:name w:val="Body Text First Indent 2"/>
    <w:basedOn w:val="9"/>
    <w:next w:val="19"/>
    <w:qFormat/>
    <w:uiPriority w:val="0"/>
    <w:pPr>
      <w:ind w:firstLine="420" w:firstLineChars="200"/>
    </w:pPr>
  </w:style>
  <w:style w:type="table" w:styleId="22">
    <w:name w:val="Table Grid"/>
    <w:basedOn w:val="21"/>
    <w:qFormat/>
    <w:uiPriority w:val="0"/>
    <w:pPr>
      <w:widowControl w:val="0"/>
      <w:jc w:val="both"/>
    </w:pPr>
    <w:tblPr>
      <w:tblCellMar>
        <w:top w:w="0" w:type="dxa"/>
        <w:left w:w="108" w:type="dxa"/>
        <w:bottom w:w="0" w:type="dxa"/>
        <w:right w:w="108" w:type="dxa"/>
      </w:tblCellMar>
    </w:tblPr>
  </w:style>
  <w:style w:type="character" w:styleId="24">
    <w:name w:val="page number"/>
    <w:qFormat/>
    <w:uiPriority w:val="0"/>
  </w:style>
  <w:style w:type="character" w:customStyle="1" w:styleId="25">
    <w:name w:val="标题 1 Char"/>
    <w:link w:val="3"/>
    <w:qFormat/>
    <w:uiPriority w:val="0"/>
    <w:rPr>
      <w:b/>
      <w:bCs/>
      <w:sz w:val="36"/>
    </w:rPr>
  </w:style>
  <w:style w:type="character" w:customStyle="1" w:styleId="26">
    <w:name w:val="批注框文本 Char"/>
    <w:link w:val="12"/>
    <w:qFormat/>
    <w:uiPriority w:val="0"/>
    <w:rPr>
      <w:kern w:val="2"/>
      <w:sz w:val="18"/>
      <w:szCs w:val="18"/>
    </w:rPr>
  </w:style>
  <w:style w:type="character" w:customStyle="1" w:styleId="27">
    <w:name w:val="NormalCharacter"/>
    <w:qFormat/>
    <w:uiPriority w:val="0"/>
  </w:style>
  <w:style w:type="paragraph" w:customStyle="1" w:styleId="28">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9">
    <w:name w:val="表格文字"/>
    <w:basedOn w:val="1"/>
    <w:qFormat/>
    <w:uiPriority w:val="0"/>
    <w:pPr>
      <w:spacing w:before="25" w:after="25"/>
      <w:jc w:val="left"/>
    </w:pPr>
    <w:rPr>
      <w:bCs/>
      <w:spacing w:val="10"/>
      <w:kern w:val="0"/>
      <w:sz w:val="24"/>
    </w:rPr>
  </w:style>
  <w:style w:type="paragraph" w:customStyle="1" w:styleId="30">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12889</Words>
  <Characters>13362</Characters>
  <Lines>78</Lines>
  <Paragraphs>22</Paragraphs>
  <TotalTime>3</TotalTime>
  <ScaleCrop>false</ScaleCrop>
  <LinksUpToDate>false</LinksUpToDate>
  <CharactersWithSpaces>14407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2025-11-14T09:46:00Z</cp:lastPrinted>
  <dcterms:modified xsi:type="dcterms:W3CDTF">2025-11-26T01:10:14Z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2052-12.1.0.23125</vt:lpwstr>
  </property>
  <property fmtid="{D5CDD505-2E9C-101B-9397-08002B2CF9AE}" pid="4" name="ICV">
    <vt:lpwstr>A426F2A41C484B35B11D4410822F4B56_12</vt:lpwstr>
  </property>
</Properties>
</file>